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7CD1" w:rsidP="00E27CD1">
      <w:pPr>
        <w:pStyle w:val="Title"/>
      </w:pPr>
      <w:r>
        <w:fldChar w:fldCharType="begin"/>
      </w:r>
      <w:r>
        <w:instrText xml:space="preserve"> TITLE   \* MERGEFORMAT </w:instrText>
      </w:r>
      <w:r>
        <w:fldChar w:fldCharType="separate"/>
      </w:r>
      <w:r>
        <w:t>SIFCWHS001 Identify hazards and assess risks in a cemetery or crematorium</w:t>
      </w:r>
      <w:r>
        <w:fldChar w:fldCharType="end"/>
      </w:r>
    </w:p>
    <w:p w:rsidR="00E27CD1" w:rsidP="00E27CD1">
      <w:pPr>
        <w:pStyle w:val="Version"/>
        <w:sectPr w:rsidSect="002C710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C7105" w:rsidP="002C7105">
      <w:pPr>
        <w:pStyle w:val="SuperHeading"/>
      </w:pPr>
      <w:r w:rsidRPr="002C7105">
        <w:t>SIFCWHS001 Identify hazards and</w:t>
      </w:r>
      <w:r w:rsidRPr="002C7105">
        <w:t xml:space="preserve"> assess risks in a cemetery or crematorium</w:t>
      </w:r>
    </w:p>
    <w:p w:rsidR="00000000" w:rsidRPr="002C7105" w:rsidP="002C7105">
      <w:pPr>
        <w:pStyle w:val="Heading1"/>
      </w:pPr>
      <w:bookmarkStart w:id="1" w:name="O_582057"/>
      <w:bookmarkEnd w:id="1"/>
      <w:r w:rsidRPr="002C7105">
        <w:t>Modification History</w:t>
      </w:r>
    </w:p>
    <w:p w:rsidR="00000000" w:rsidRPr="002C7105" w:rsidP="00E27CD1">
      <w:pPr>
        <w:pStyle w:val="BodyText"/>
      </w:pPr>
      <w:r w:rsidRPr="002C7105">
        <w:t>The details of this endorsed unit are in the table below. The latest information is at the top.</w:t>
      </w:r>
    </w:p>
    <w:tbl>
      <w:tblPr>
        <w:tblW w:w="0" w:type="auto"/>
        <w:tblLayout w:type="fixed"/>
        <w:tblCellMar>
          <w:left w:w="62" w:type="dxa"/>
          <w:right w:w="62" w:type="dxa"/>
        </w:tblCellMar>
        <w:tblLook w:val="0000"/>
      </w:tblPr>
      <w:tblGrid>
        <w:gridCol w:w="4513"/>
        <w:gridCol w:w="4621"/>
      </w:tblGrid>
      <w:tr w:rsidTr="002C7105">
        <w:tblPrEx>
          <w:tblW w:w="0" w:type="auto"/>
          <w:tblLayout w:type="fixed"/>
          <w:tblCellMar>
            <w:left w:w="62" w:type="dxa"/>
            <w:right w:w="62" w:type="dxa"/>
          </w:tblCellMar>
          <w:tblLook w:val="0000"/>
        </w:tblPrEx>
        <w:tc>
          <w:tcPr>
            <w:tcW w:w="4513"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2C7105" w:rsidP="002C7105">
            <w:pPr>
              <w:pStyle w:val="BodyText"/>
            </w:pPr>
            <w:r w:rsidRPr="002C7105">
              <w:rPr>
                <w:rStyle w:val="SpecialBold"/>
              </w:rPr>
              <w:t>Release</w:t>
            </w:r>
          </w:p>
        </w:tc>
        <w:tc>
          <w:tcPr>
            <w:tcW w:w="4621"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C7105">
            <w:pPr>
              <w:pStyle w:val="BodyText"/>
              <w:rPr>
                <w:lang w:val="en-NZ"/>
              </w:rPr>
            </w:pPr>
            <w:r w:rsidRPr="002C7105">
              <w:rPr>
                <w:rStyle w:val="SpecialBold"/>
              </w:rPr>
              <w:t>Comments</w:t>
            </w:r>
          </w:p>
        </w:tc>
      </w:tr>
      <w:tr w:rsidTr="002C7105">
        <w:tblPrEx>
          <w:tblW w:w="0" w:type="auto"/>
          <w:tblLayout w:type="fixed"/>
          <w:tblCellMar>
            <w:left w:w="62" w:type="dxa"/>
            <w:right w:w="62" w:type="dxa"/>
          </w:tblCellMar>
          <w:tblLook w:val="0000"/>
        </w:tblPrEx>
        <w:tc>
          <w:tcPr>
            <w:tcW w:w="4513"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C7105">
            <w:pPr>
              <w:pStyle w:val="BodyText"/>
              <w:rPr>
                <w:lang w:val="en-NZ"/>
              </w:rPr>
            </w:pPr>
            <w:r w:rsidRPr="002C7105">
              <w:t>Two</w:t>
            </w:r>
          </w:p>
        </w:tc>
        <w:tc>
          <w:tcPr>
            <w:tcW w:w="4621" w:type="dxa"/>
            <w:tcBorders>
              <w:top w:val="nil"/>
              <w:left w:val="nil"/>
              <w:bottom w:val="single" w:sz="8" w:space="0" w:color="auto"/>
              <w:right w:val="single" w:sz="8" w:space="0" w:color="auto"/>
            </w:tcBorders>
            <w:tcMar>
              <w:top w:w="0" w:type="dxa"/>
              <w:left w:w="62" w:type="dxa"/>
              <w:bottom w:w="0" w:type="dxa"/>
              <w:right w:w="62" w:type="dxa"/>
            </w:tcMar>
          </w:tcPr>
          <w:p w:rsidR="00000000" w:rsidP="002C7105">
            <w:pPr>
              <w:pStyle w:val="BodyText"/>
              <w:rPr>
                <w:lang w:val="en-NZ"/>
              </w:rPr>
            </w:pPr>
            <w:r w:rsidRPr="002C7105">
              <w:t>Formatting error corrected in the Application.</w:t>
            </w:r>
          </w:p>
        </w:tc>
      </w:tr>
      <w:tr w:rsidTr="002C7105">
        <w:tblPrEx>
          <w:tblW w:w="0" w:type="auto"/>
          <w:tblLayout w:type="fixed"/>
          <w:tblCellMar>
            <w:left w:w="62" w:type="dxa"/>
            <w:right w:w="62" w:type="dxa"/>
          </w:tblCellMar>
          <w:tblLook w:val="0000"/>
        </w:tblPrEx>
        <w:tc>
          <w:tcPr>
            <w:tcW w:w="4513"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C7105">
            <w:pPr>
              <w:pStyle w:val="BodyText"/>
              <w:rPr>
                <w:lang w:val="en-NZ"/>
              </w:rPr>
            </w:pPr>
            <w:r w:rsidRPr="002C7105">
              <w:t>One</w:t>
            </w:r>
          </w:p>
        </w:tc>
        <w:tc>
          <w:tcPr>
            <w:tcW w:w="4621" w:type="dxa"/>
            <w:tcBorders>
              <w:top w:val="nil"/>
              <w:left w:val="nil"/>
              <w:bottom w:val="single" w:sz="8" w:space="0" w:color="auto"/>
              <w:right w:val="single" w:sz="8" w:space="0" w:color="auto"/>
            </w:tcBorders>
            <w:tcMar>
              <w:top w:w="0" w:type="dxa"/>
              <w:left w:w="62" w:type="dxa"/>
              <w:bottom w:w="0" w:type="dxa"/>
              <w:right w:w="62" w:type="dxa"/>
            </w:tcMar>
          </w:tcPr>
          <w:p w:rsidR="00000000" w:rsidRPr="002C7105" w:rsidP="002C7105">
            <w:pPr>
              <w:pStyle w:val="BodyText"/>
            </w:pPr>
            <w:r w:rsidRPr="002C7105">
              <w:t xml:space="preserve"> Reflects the Standards for Training Packages.</w:t>
            </w:r>
          </w:p>
        </w:tc>
      </w:tr>
    </w:tbl>
    <w:p w:rsidR="00000000" w:rsidRPr="002C7105" w:rsidP="002C7105">
      <w:pPr>
        <w:pStyle w:val="BodyText"/>
      </w:pPr>
    </w:p>
    <w:p w:rsidR="00000000" w:rsidRPr="002C7105" w:rsidP="002C7105">
      <w:pPr>
        <w:pStyle w:val="AllowPageBreak"/>
      </w:pPr>
    </w:p>
    <w:p w:rsidR="00000000" w:rsidRPr="002C7105" w:rsidP="002C7105">
      <w:pPr>
        <w:pStyle w:val="Heading1"/>
      </w:pPr>
      <w:bookmarkStart w:id="2" w:name="O_582056"/>
      <w:bookmarkEnd w:id="2"/>
      <w:r w:rsidRPr="002C7105">
        <w:t>Application</w:t>
      </w:r>
    </w:p>
    <w:p w:rsidR="00000000" w:rsidRPr="002C7105" w:rsidP="00E27CD1">
      <w:pPr>
        <w:pStyle w:val="BodyText"/>
      </w:pPr>
      <w:r w:rsidRPr="002C7105">
        <w:t xml:space="preserve">This unit describes the performance outcomes, skills and knowledge required to apply risk control processes at a cemetery or crematorium as related to </w:t>
      </w:r>
      <w:r w:rsidRPr="002C7105">
        <w:t>relevant legislation and AS/NZS4360:1999 Risk Management or its authorised update or replacement. It includes identifying hazards; assessing risks; identifying unacceptable risks; identifying, analysing and implementing risk treatment; and completing recor</w:t>
      </w:r>
      <w:r w:rsidRPr="002C7105">
        <w:t>ds and reports associated with entry to confined spaces for maintenance and servicing of crematoria or other necessary reasons, such as preparing graves in green and brownfield sites, reopening and exhuming graves.</w:t>
      </w:r>
    </w:p>
    <w:p w:rsidR="00000000" w:rsidRPr="002C7105" w:rsidP="00E27CD1">
      <w:pPr>
        <w:pStyle w:val="BodyText"/>
      </w:pPr>
      <w:r w:rsidRPr="002C7105">
        <w:t>It applies to cemetery and crematorium s</w:t>
      </w:r>
      <w:r w:rsidRPr="002C7105">
        <w:t xml:space="preserve">taff and contractors who are competent in following confined space requirements and trained in incident response, including first aid or Cardio Pulmonary Resuscitation (CPR). </w:t>
      </w:r>
    </w:p>
    <w:p w:rsidR="00E27CD1" w:rsidP="00E27CD1">
      <w:pPr>
        <w:pStyle w:val="BodyText"/>
      </w:pPr>
      <w:r w:rsidRPr="002C7105">
        <w:t>No licensing, legislative or certification requirements apply to this unit at t</w:t>
      </w:r>
      <w:r w:rsidRPr="002C7105">
        <w:t>he time of publication.</w:t>
      </w:r>
    </w:p>
    <w:p w:rsidR="00000000" w:rsidRPr="002C7105" w:rsidP="002C7105">
      <w:pPr>
        <w:pStyle w:val="Heading1"/>
      </w:pPr>
      <w:bookmarkStart w:id="3" w:name="O_582055"/>
      <w:bookmarkEnd w:id="3"/>
      <w:r w:rsidRPr="002C7105">
        <w:t>Competency Field</w:t>
      </w:r>
    </w:p>
    <w:p w:rsidR="00000000" w:rsidRPr="002C7105" w:rsidP="00E27CD1">
      <w:pPr>
        <w:pStyle w:val="BodyText"/>
      </w:pPr>
      <w:r w:rsidRPr="002C7105">
        <w:t>Work Health and Safety</w:t>
      </w:r>
    </w:p>
    <w:p w:rsidR="00000000" w:rsidRPr="002C7105" w:rsidP="002C7105">
      <w:pPr>
        <w:pStyle w:val="Heading1"/>
      </w:pPr>
      <w:bookmarkStart w:id="4" w:name="O_582054"/>
      <w:bookmarkEnd w:id="4"/>
      <w:r w:rsidRPr="002C7105">
        <w:t>Unit Sector</w:t>
      </w:r>
    </w:p>
    <w:p w:rsidR="00000000" w:rsidRPr="002C7105" w:rsidP="00E27CD1">
      <w:pPr>
        <w:pStyle w:val="BodyText"/>
      </w:pPr>
      <w:r w:rsidRPr="002C7105">
        <w:t>Cemetery and Crematoria</w:t>
      </w:r>
    </w:p>
    <w:p w:rsidR="00000000" w:rsidRPr="002C7105" w:rsidP="002C7105">
      <w:pPr>
        <w:pStyle w:val="Heading1"/>
      </w:pPr>
      <w:bookmarkStart w:id="5" w:name="O_582053"/>
      <w:bookmarkEnd w:id="5"/>
      <w:r w:rsidRPr="002C7105">
        <w:t>Elements and Performance Criteria</w:t>
      </w:r>
    </w:p>
    <w:tbl>
      <w:tblPr>
        <w:tblW w:w="0" w:type="auto"/>
        <w:tblCellMar>
          <w:left w:w="62" w:type="dxa"/>
          <w:right w:w="62" w:type="dxa"/>
        </w:tblCellMar>
        <w:tblLook w:val="0000"/>
      </w:tblPr>
      <w:tblGrid>
        <w:gridCol w:w="4598"/>
        <w:gridCol w:w="4598"/>
      </w:tblGrid>
      <w:tr w:rsidTr="00E27CD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C7105" w:rsidP="002C7105">
            <w:pPr>
              <w:pStyle w:val="BodyText"/>
            </w:pPr>
            <w:r w:rsidRPr="002C7105">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2C7105">
            <w:pPr>
              <w:pStyle w:val="BodyText"/>
              <w:rPr>
                <w:lang w:val="en-NZ"/>
              </w:rPr>
            </w:pPr>
            <w:r w:rsidRPr="002C7105">
              <w:rPr>
                <w:rStyle w:val="SpecialBold"/>
              </w:rPr>
              <w:t>PERFORMANCE CRITERIA</w:t>
            </w:r>
          </w:p>
        </w:tc>
      </w:tr>
      <w:tr w:rsidTr="00E27CD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7105">
            <w:pPr>
              <w:pStyle w:val="BodyText"/>
              <w:rPr>
                <w:lang w:val="en-NZ"/>
              </w:rPr>
            </w:pPr>
            <w:r w:rsidRPr="002C7105">
              <w:t>Elements describe the essential outcome</w:t>
            </w:r>
            <w:r w:rsidRPr="002C7105">
              <w:t>s.</w:t>
            </w:r>
          </w:p>
        </w:tc>
        <w:tc>
          <w:tcPr>
            <w:tcW w:w="0" w:type="auto"/>
            <w:tcBorders>
              <w:top w:val="nil"/>
              <w:left w:val="nil"/>
              <w:bottom w:val="nil"/>
              <w:right w:val="nil"/>
            </w:tcBorders>
            <w:tcMar>
              <w:top w:w="0" w:type="dxa"/>
              <w:left w:w="62" w:type="dxa"/>
              <w:bottom w:w="0" w:type="dxa"/>
              <w:right w:w="62" w:type="dxa"/>
            </w:tcMar>
          </w:tcPr>
          <w:p w:rsidR="00000000" w:rsidP="002C7105">
            <w:pPr>
              <w:pStyle w:val="BodyText"/>
              <w:rPr>
                <w:lang w:val="en-NZ"/>
              </w:rPr>
            </w:pPr>
            <w:r w:rsidRPr="002C7105">
              <w:t>Performance criteria describe the performance needed to demonstrate achievement of the element.</w:t>
            </w:r>
          </w:p>
        </w:tc>
      </w:tr>
      <w:tr w:rsidTr="00E27CD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7105">
            <w:pPr>
              <w:pStyle w:val="List"/>
              <w:rPr>
                <w:lang w:val="en-NZ"/>
              </w:rPr>
            </w:pPr>
            <w:r w:rsidRPr="002C7105">
              <w:t>1.</w:t>
            </w:r>
            <w:r w:rsidRPr="002C7105">
              <w:tab/>
              <w:t>Assess risk and identify unacceptable risk in cemetery and crematorium.</w:t>
            </w:r>
          </w:p>
        </w:tc>
        <w:tc>
          <w:tcPr>
            <w:tcW w:w="0" w:type="auto"/>
            <w:tcBorders>
              <w:top w:val="nil"/>
              <w:left w:val="nil"/>
              <w:bottom w:val="nil"/>
              <w:right w:val="nil"/>
            </w:tcBorders>
            <w:tcMar>
              <w:top w:w="0" w:type="dxa"/>
              <w:left w:w="62" w:type="dxa"/>
              <w:bottom w:w="0" w:type="dxa"/>
              <w:right w:w="62" w:type="dxa"/>
            </w:tcMar>
          </w:tcPr>
          <w:p w:rsidR="00000000" w:rsidRPr="002C7105" w:rsidP="002C7105">
            <w:pPr>
              <w:pStyle w:val="List"/>
            </w:pPr>
            <w:r w:rsidRPr="002C7105">
              <w:t>1.1</w:t>
            </w:r>
            <w:r w:rsidRPr="002C7105">
              <w:tab/>
            </w:r>
            <w:r w:rsidRPr="002C7105">
              <w:t>Conduct a risk assessment of potential hazards in the cemetery or crematorium.</w:t>
            </w:r>
          </w:p>
          <w:p w:rsidR="00000000" w:rsidRPr="002C7105" w:rsidP="002C7105">
            <w:pPr>
              <w:pStyle w:val="List"/>
            </w:pPr>
            <w:r w:rsidRPr="002C7105">
              <w:t>1.2</w:t>
            </w:r>
            <w:r w:rsidRPr="002C7105">
              <w:tab/>
              <w:t>Evaluate and determine consequence if a confined space is present.</w:t>
            </w:r>
          </w:p>
          <w:p w:rsidR="00000000" w:rsidRPr="002C7105" w:rsidP="002C7105">
            <w:pPr>
              <w:pStyle w:val="List"/>
            </w:pPr>
            <w:r w:rsidRPr="002C7105">
              <w:t>1.3</w:t>
            </w:r>
            <w:r w:rsidRPr="002C7105">
              <w:tab/>
              <w:t>Consider and determine likelihood of hazard exposure.</w:t>
            </w:r>
          </w:p>
          <w:p w:rsidR="00000000" w:rsidRPr="002C7105" w:rsidP="002C7105">
            <w:pPr>
              <w:pStyle w:val="List"/>
            </w:pPr>
            <w:r w:rsidRPr="002C7105">
              <w:t>1.4</w:t>
            </w:r>
            <w:r w:rsidRPr="002C7105">
              <w:tab/>
              <w:t>Identify and source criteria for acceptabili</w:t>
            </w:r>
            <w:r w:rsidRPr="002C7105">
              <w:t>ty or unacceptability of the risk.</w:t>
            </w:r>
          </w:p>
          <w:p w:rsidR="00000000" w:rsidRPr="002C7105" w:rsidP="002C7105">
            <w:pPr>
              <w:pStyle w:val="List"/>
            </w:pPr>
            <w:r w:rsidRPr="002C7105">
              <w:t>1.5</w:t>
            </w:r>
            <w:r w:rsidRPr="002C7105">
              <w:tab/>
              <w:t>Evaluate risk against criteria to identify if it warrants ‘unacceptable risk’ status and action or refer to appropriate party as required.</w:t>
            </w:r>
          </w:p>
          <w:p w:rsidR="00000000" w:rsidP="002C7105">
            <w:pPr>
              <w:pStyle w:val="List"/>
              <w:rPr>
                <w:lang w:val="en-NZ"/>
              </w:rPr>
            </w:pPr>
          </w:p>
        </w:tc>
      </w:tr>
      <w:tr w:rsidTr="00E27CD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7105">
            <w:pPr>
              <w:pStyle w:val="List"/>
              <w:rPr>
                <w:lang w:val="en-NZ"/>
              </w:rPr>
            </w:pPr>
            <w:r w:rsidRPr="002C7105">
              <w:t>2.</w:t>
            </w:r>
            <w:r w:rsidRPr="002C7105">
              <w:tab/>
              <w:t>Identify confined space hazards in cemetery and crematorium.</w:t>
            </w:r>
          </w:p>
        </w:tc>
        <w:tc>
          <w:tcPr>
            <w:tcW w:w="0" w:type="auto"/>
            <w:tcBorders>
              <w:top w:val="nil"/>
              <w:left w:val="nil"/>
              <w:bottom w:val="nil"/>
              <w:right w:val="nil"/>
            </w:tcBorders>
            <w:tcMar>
              <w:top w:w="0" w:type="dxa"/>
              <w:left w:w="62" w:type="dxa"/>
              <w:bottom w:w="0" w:type="dxa"/>
              <w:right w:w="62" w:type="dxa"/>
            </w:tcMar>
          </w:tcPr>
          <w:p w:rsidR="00000000" w:rsidRPr="002C7105" w:rsidP="002C7105">
            <w:pPr>
              <w:pStyle w:val="List"/>
            </w:pPr>
            <w:r w:rsidRPr="002C7105">
              <w:t>2.1</w:t>
            </w:r>
            <w:r w:rsidRPr="002C7105">
              <w:tab/>
              <w:t xml:space="preserve">Clearly </w:t>
            </w:r>
            <w:r w:rsidRPr="002C7105">
              <w:t>identify actual and potential confined spaces through review of the nature of the space and its characteristics.</w:t>
            </w:r>
          </w:p>
          <w:p w:rsidR="00000000" w:rsidRPr="002C7105" w:rsidP="002C7105">
            <w:pPr>
              <w:pStyle w:val="List"/>
            </w:pPr>
            <w:r w:rsidRPr="002C7105">
              <w:t>2.2</w:t>
            </w:r>
            <w:r w:rsidRPr="002C7105">
              <w:tab/>
              <w:t>Analyse work area conditions to identify or recognise potential confined space hazards in the workplace.</w:t>
            </w:r>
          </w:p>
          <w:p w:rsidR="00000000" w:rsidRPr="002C7105" w:rsidP="002C7105">
            <w:pPr>
              <w:pStyle w:val="List"/>
            </w:pPr>
            <w:r w:rsidRPr="002C7105">
              <w:t>2.3</w:t>
            </w:r>
            <w:r w:rsidRPr="002C7105">
              <w:tab/>
              <w:t>Access and analyse information</w:t>
            </w:r>
            <w:r w:rsidRPr="002C7105">
              <w:t xml:space="preserve"> on existing risk control practices and use as appropriate.</w:t>
            </w:r>
          </w:p>
          <w:p w:rsidR="00000000" w:rsidRPr="002C7105" w:rsidP="002C7105">
            <w:pPr>
              <w:pStyle w:val="List"/>
            </w:pPr>
            <w:r w:rsidRPr="002C7105">
              <w:t>2.4</w:t>
            </w:r>
            <w:r w:rsidRPr="002C7105">
              <w:tab/>
              <w:t>Recognise type and scope of unresolved confined space hazards and their likely impact.</w:t>
            </w:r>
          </w:p>
          <w:p w:rsidR="00000000" w:rsidP="002C7105">
            <w:pPr>
              <w:pStyle w:val="List"/>
              <w:rPr>
                <w:lang w:val="en-NZ"/>
              </w:rPr>
            </w:pPr>
          </w:p>
        </w:tc>
      </w:tr>
      <w:tr w:rsidTr="00E27CD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7105">
            <w:pPr>
              <w:pStyle w:val="List"/>
              <w:rPr>
                <w:lang w:val="en-NZ"/>
              </w:rPr>
            </w:pPr>
            <w:r w:rsidRPr="002C7105">
              <w:t>3.</w:t>
            </w:r>
            <w:r w:rsidRPr="002C7105">
              <w:tab/>
              <w:t>Identify, analyse and implement risk treatments for an identified confined space.</w:t>
            </w:r>
          </w:p>
        </w:tc>
        <w:tc>
          <w:tcPr>
            <w:tcW w:w="0" w:type="auto"/>
            <w:tcBorders>
              <w:top w:val="nil"/>
              <w:left w:val="nil"/>
              <w:bottom w:val="nil"/>
              <w:right w:val="nil"/>
            </w:tcBorders>
            <w:tcMar>
              <w:top w:w="0" w:type="dxa"/>
              <w:left w:w="62" w:type="dxa"/>
              <w:bottom w:w="0" w:type="dxa"/>
              <w:right w:w="62" w:type="dxa"/>
            </w:tcMar>
          </w:tcPr>
          <w:p w:rsidR="00000000" w:rsidRPr="002C7105" w:rsidP="002C7105">
            <w:pPr>
              <w:pStyle w:val="List"/>
            </w:pPr>
            <w:r w:rsidRPr="002C7105">
              <w:t>3.1</w:t>
            </w:r>
            <w:r w:rsidRPr="002C7105">
              <w:tab/>
              <w:t>Identify and c</w:t>
            </w:r>
            <w:r w:rsidRPr="002C7105">
              <w:t>onsider all possible risk treatment options.</w:t>
            </w:r>
          </w:p>
          <w:p w:rsidR="00000000" w:rsidRPr="002C7105" w:rsidP="002C7105">
            <w:pPr>
              <w:pStyle w:val="List"/>
            </w:pPr>
            <w:r w:rsidRPr="002C7105">
              <w:t>3.2</w:t>
            </w:r>
            <w:r w:rsidRPr="002C7105">
              <w:tab/>
              <w:t>Identify feasible options by preliminary analysis and consideration of possible options.</w:t>
            </w:r>
          </w:p>
          <w:p w:rsidR="00000000" w:rsidRPr="002C7105" w:rsidP="002C7105">
            <w:pPr>
              <w:pStyle w:val="List"/>
            </w:pPr>
            <w:r w:rsidRPr="002C7105">
              <w:t>3.3</w:t>
            </w:r>
            <w:r w:rsidRPr="002C7105">
              <w:tab/>
              <w:t>Analyse feasible risk treatment options and identify resource requirements.</w:t>
            </w:r>
          </w:p>
          <w:p w:rsidR="00000000" w:rsidRPr="002C7105" w:rsidP="002C7105">
            <w:pPr>
              <w:pStyle w:val="List"/>
            </w:pPr>
            <w:r w:rsidRPr="002C7105">
              <w:t>3.4</w:t>
            </w:r>
            <w:r w:rsidRPr="002C7105">
              <w:tab/>
              <w:t>Select most appropriate action for</w:t>
            </w:r>
            <w:r w:rsidRPr="002C7105">
              <w:t xml:space="preserve"> dealing with the risk.</w:t>
            </w:r>
          </w:p>
          <w:p w:rsidR="00000000" w:rsidRPr="002C7105" w:rsidP="002C7105">
            <w:pPr>
              <w:pStyle w:val="List"/>
            </w:pPr>
            <w:r w:rsidRPr="002C7105">
              <w:t>3.5</w:t>
            </w:r>
            <w:r w:rsidRPr="002C7105">
              <w:tab/>
              <w:t>Plan and prepare for risk control in detail and acquire or obtain required resources.</w:t>
            </w:r>
          </w:p>
          <w:p w:rsidR="00000000" w:rsidP="002C7105">
            <w:pPr>
              <w:pStyle w:val="List"/>
              <w:rPr>
                <w:lang w:val="en-NZ"/>
              </w:rPr>
            </w:pPr>
          </w:p>
        </w:tc>
      </w:tr>
      <w:tr w:rsidTr="00E27CD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C7105">
            <w:pPr>
              <w:pStyle w:val="List"/>
              <w:rPr>
                <w:lang w:val="en-NZ"/>
              </w:rPr>
            </w:pPr>
            <w:r w:rsidRPr="002C7105">
              <w:t>4.</w:t>
            </w:r>
            <w:r w:rsidRPr="002C7105">
              <w:tab/>
              <w:t>Complete records and reports.</w:t>
            </w:r>
          </w:p>
        </w:tc>
        <w:tc>
          <w:tcPr>
            <w:tcW w:w="0" w:type="auto"/>
            <w:tcBorders>
              <w:top w:val="nil"/>
              <w:left w:val="nil"/>
              <w:bottom w:val="nil"/>
              <w:right w:val="nil"/>
            </w:tcBorders>
            <w:tcMar>
              <w:top w:w="0" w:type="dxa"/>
              <w:left w:w="62" w:type="dxa"/>
              <w:bottom w:w="0" w:type="dxa"/>
              <w:right w:w="62" w:type="dxa"/>
            </w:tcMar>
          </w:tcPr>
          <w:p w:rsidR="00000000" w:rsidRPr="002C7105" w:rsidP="002C7105">
            <w:pPr>
              <w:pStyle w:val="List"/>
            </w:pPr>
            <w:r w:rsidRPr="002C7105">
              <w:t>4.1</w:t>
            </w:r>
            <w:r w:rsidRPr="002C7105">
              <w:tab/>
              <w:t>Communicate information on risk control implementation to relevant people.</w:t>
            </w:r>
          </w:p>
          <w:p w:rsidR="00000000" w:rsidRPr="002C7105" w:rsidP="002C7105">
            <w:pPr>
              <w:pStyle w:val="List"/>
            </w:pPr>
            <w:r w:rsidRPr="002C7105">
              <w:t>4.2</w:t>
            </w:r>
            <w:r w:rsidRPr="002C7105">
              <w:tab/>
            </w:r>
            <w:r w:rsidRPr="002C7105">
              <w:t xml:space="preserve">Complete records and reports for hazards and risk </w:t>
            </w:r>
            <w:r w:rsidRPr="002C7105">
              <w:t>control actions from personal risk assessment as specified by legislative and site requirements.</w:t>
            </w:r>
          </w:p>
          <w:p w:rsidR="00000000" w:rsidRPr="002C7105" w:rsidP="002C7105">
            <w:pPr>
              <w:pStyle w:val="List"/>
            </w:pPr>
            <w:r w:rsidRPr="002C7105">
              <w:t>4.3</w:t>
            </w:r>
            <w:r w:rsidRPr="002C7105">
              <w:tab/>
              <w:t>Provide feedback and input to WHS practitioners on range of variables associated with confined space work</w:t>
            </w:r>
            <w:r w:rsidRPr="002C7105">
              <w:t xml:space="preserve"> to improve hazard and risk management.</w:t>
            </w:r>
          </w:p>
          <w:p w:rsidR="00000000" w:rsidRPr="002C7105" w:rsidP="002C7105">
            <w:pPr>
              <w:pStyle w:val="List"/>
            </w:pPr>
          </w:p>
        </w:tc>
      </w:tr>
    </w:tbl>
    <w:p w:rsidR="00000000" w:rsidRPr="002C7105" w:rsidP="002C7105">
      <w:pPr>
        <w:pStyle w:val="BodyText"/>
      </w:pPr>
    </w:p>
    <w:p w:rsidR="00000000" w:rsidRPr="002C7105" w:rsidP="002C7105">
      <w:pPr>
        <w:pStyle w:val="AllowPageBreak"/>
      </w:pPr>
    </w:p>
    <w:p w:rsidR="00000000" w:rsidRPr="002C7105" w:rsidP="002C7105">
      <w:pPr>
        <w:pStyle w:val="Heading1"/>
      </w:pPr>
      <w:bookmarkStart w:id="6" w:name="O_582052"/>
      <w:bookmarkEnd w:id="6"/>
      <w:r w:rsidRPr="002C7105">
        <w:t>Foundation Skills</w:t>
      </w:r>
    </w:p>
    <w:p w:rsidR="00000000" w:rsidRPr="002C7105" w:rsidP="00E27CD1">
      <w:pPr>
        <w:pStyle w:val="BodyText"/>
      </w:pPr>
      <w:r w:rsidRPr="002C7105">
        <w:t>This section describes those language, literacy, numeracy and employment skills that are essential to performance.</w:t>
      </w:r>
    </w:p>
    <w:p w:rsidR="00000000" w:rsidRPr="002C7105" w:rsidP="00E27CD1">
      <w:pPr>
        <w:pStyle w:val="BodyText"/>
      </w:pPr>
      <w:r w:rsidRPr="002C7105">
        <w:t>Foundation skills essential to performance are explicit in the</w:t>
      </w:r>
      <w:r w:rsidRPr="002C7105">
        <w:t xml:space="preserve"> performance criteria of this unit of competency.</w:t>
      </w:r>
    </w:p>
    <w:p w:rsidR="00000000" w:rsidRPr="002C7105" w:rsidP="002C7105">
      <w:pPr>
        <w:pStyle w:val="Heading1"/>
      </w:pPr>
      <w:bookmarkStart w:id="7" w:name="O_582051"/>
      <w:bookmarkEnd w:id="7"/>
      <w:r w:rsidRPr="002C7105">
        <w:t>Unit Mapping Information</w:t>
      </w:r>
    </w:p>
    <w:p w:rsidR="00000000" w:rsidRPr="002C7105" w:rsidP="00E27CD1">
      <w:pPr>
        <w:pStyle w:val="BodyText"/>
      </w:pPr>
      <w:r w:rsidRPr="002C7105">
        <w:t>SIFOHS007A Identify hazards and assess risks in a cemetery or crematorium.</w:t>
      </w:r>
    </w:p>
    <w:p w:rsidR="00000000" w:rsidRPr="002C7105" w:rsidP="002C7105">
      <w:pPr>
        <w:pStyle w:val="Heading1"/>
      </w:pPr>
      <w:bookmarkStart w:id="8" w:name="O_582058"/>
      <w:bookmarkEnd w:id="8"/>
      <w:r w:rsidRPr="002C7105">
        <w:t>Links</w:t>
      </w:r>
    </w:p>
    <w:p w:rsidR="00000000" w:rsidRPr="002C7105" w:rsidP="00E27CD1">
      <w:pPr>
        <w:pStyle w:val="BodyText"/>
      </w:pPr>
      <w:r w:rsidRPr="002C7105">
        <w:t xml:space="preserve">Companion Volume implementation guides are found in VETNet - </w:t>
      </w:r>
      <w:r>
        <w:fldChar w:fldCharType="begin"/>
      </w:r>
      <w:r>
        <w:instrText xml:space="preserve"> HYPERLINK "https://vetnet.gov.au/Pages/TrainingDocs.aspx?q=c2c3131e-4418-4aa3-8ff1-a855c95f7fd6" </w:instrText>
      </w:r>
      <w:r>
        <w:fldChar w:fldCharType="separate"/>
      </w:r>
      <w:r w:rsidRPr="003827AA">
        <w:rPr>
          <w:rStyle w:val="Hyperlink"/>
        </w:rPr>
        <w:t>https://vetnet.gov.au/Pages/TrainingDocs.aspx?q=c2c3131e-4418-4aa3-8ff1-a855c95f7fd6</w:t>
      </w:r>
      <w:r>
        <w:fldChar w:fldCharType="end"/>
      </w:r>
    </w:p>
    <w:p w:rsidR="00000000" w:rsidRPr="002C7105" w:rsidP="002C7105"/>
    <w:sectPr w:rsidSect="002C710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1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105" w:rsidRPr="00E27CD1" w:rsidP="00E27C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1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CD1" w:rsidP="002C71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27CD1" w:rsidP="002C710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E27CD1" w:rsidP="002C71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1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C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7105" w:rsidRPr="00E27CD1" w:rsidP="00E27C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1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CD1" w:rsidRPr="002D2AF8" w:rsidP="002C7105">
    <w:pPr>
      <w:pStyle w:val="Header"/>
      <w:framePr w:wrap="around"/>
    </w:pPr>
    <w:r>
      <w:fldChar w:fldCharType="begin"/>
    </w:r>
    <w:r>
      <w:instrText xml:space="preserve"> TITLE   \* MERGEFORMAT </w:instrText>
    </w:r>
    <w:r>
      <w:fldChar w:fldCharType="separate"/>
    </w:r>
    <w:r>
      <w:t>SIFCWHS001 Identify hazards and assess risks in a cemetery or crematorium</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April 2022</w:t>
    </w:r>
    <w:r>
      <w:fldChar w:fldCharType="end"/>
    </w:r>
  </w:p>
  <w:p w:rsidR="00E27CD1" w:rsidP="002C71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71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7105"/>
    <w:pPr>
      <w:spacing w:before="360" w:after="60"/>
      <w:outlineLvl w:val="0"/>
    </w:pPr>
    <w:rPr>
      <w:sz w:val="32"/>
    </w:rPr>
  </w:style>
  <w:style w:type="paragraph" w:styleId="Heading2">
    <w:name w:val="heading 2"/>
    <w:basedOn w:val="HeadingBase"/>
    <w:next w:val="BodyText"/>
    <w:link w:val="Heading2Char"/>
    <w:qFormat/>
    <w:rsid w:val="002C7105"/>
    <w:pPr>
      <w:keepLines/>
      <w:spacing w:before="240" w:after="120"/>
      <w:outlineLvl w:val="1"/>
    </w:pPr>
    <w:rPr>
      <w:sz w:val="28"/>
      <w:szCs w:val="40"/>
    </w:rPr>
  </w:style>
  <w:style w:type="paragraph" w:styleId="Heading3">
    <w:name w:val="heading 3"/>
    <w:basedOn w:val="HeadingBase"/>
    <w:next w:val="BodyText"/>
    <w:link w:val="Heading3Char"/>
    <w:qFormat/>
    <w:rsid w:val="002C7105"/>
    <w:pPr>
      <w:spacing w:before="180" w:after="120"/>
      <w:outlineLvl w:val="2"/>
    </w:pPr>
    <w:rPr>
      <w:spacing w:val="-10"/>
      <w:kern w:val="32"/>
    </w:rPr>
  </w:style>
  <w:style w:type="paragraph" w:styleId="Heading4">
    <w:name w:val="heading 4"/>
    <w:basedOn w:val="HeadingBase"/>
    <w:next w:val="BodyText"/>
    <w:link w:val="Heading4Char"/>
    <w:qFormat/>
    <w:rsid w:val="002C7105"/>
    <w:pPr>
      <w:spacing w:before="160" w:after="120"/>
      <w:outlineLvl w:val="3"/>
    </w:pPr>
    <w:rPr>
      <w:sz w:val="22"/>
    </w:rPr>
  </w:style>
  <w:style w:type="paragraph" w:styleId="Heading5">
    <w:name w:val="heading 5"/>
    <w:basedOn w:val="HeadingBase"/>
    <w:next w:val="Normal"/>
    <w:link w:val="Heading5Char"/>
    <w:qFormat/>
    <w:rsid w:val="002C7105"/>
    <w:pPr>
      <w:spacing w:before="80"/>
      <w:outlineLvl w:val="4"/>
    </w:pPr>
    <w:rPr>
      <w:color w:val="918585"/>
      <w:sz w:val="20"/>
    </w:rPr>
  </w:style>
  <w:style w:type="paragraph" w:styleId="Heading6">
    <w:name w:val="heading 6"/>
    <w:basedOn w:val="HeadingBase"/>
    <w:next w:val="Normal"/>
    <w:link w:val="Heading6Char"/>
    <w:qFormat/>
    <w:rsid w:val="002C7105"/>
    <w:pPr>
      <w:spacing w:before="60"/>
      <w:outlineLvl w:val="5"/>
    </w:pPr>
    <w:rPr>
      <w:color w:val="918585"/>
      <w:sz w:val="20"/>
    </w:rPr>
  </w:style>
  <w:style w:type="paragraph" w:styleId="Heading7">
    <w:name w:val="heading 7"/>
    <w:basedOn w:val="Normal"/>
    <w:next w:val="Normal"/>
    <w:link w:val="Heading7Char"/>
    <w:qFormat/>
    <w:rsid w:val="002C7105"/>
    <w:pPr>
      <w:ind w:left="720"/>
      <w:outlineLvl w:val="6"/>
    </w:pPr>
    <w:rPr>
      <w:i/>
    </w:rPr>
  </w:style>
  <w:style w:type="paragraph" w:styleId="Heading8">
    <w:name w:val="heading 8"/>
    <w:basedOn w:val="Normal"/>
    <w:next w:val="Normal"/>
    <w:link w:val="Heading8Char"/>
    <w:qFormat/>
    <w:rsid w:val="002C7105"/>
    <w:pPr>
      <w:ind w:left="720"/>
      <w:outlineLvl w:val="7"/>
    </w:pPr>
    <w:rPr>
      <w:i/>
    </w:rPr>
  </w:style>
  <w:style w:type="paragraph" w:styleId="Heading9">
    <w:name w:val="heading 9"/>
    <w:basedOn w:val="Normal"/>
    <w:next w:val="Normal"/>
    <w:link w:val="Heading9Char"/>
    <w:qFormat/>
    <w:rsid w:val="002C7105"/>
    <w:pPr>
      <w:ind w:left="720"/>
      <w:outlineLvl w:val="8"/>
    </w:pPr>
    <w:rPr>
      <w:i/>
    </w:rPr>
  </w:style>
  <w:style w:type="character" w:default="1" w:styleId="DefaultParagraphFont">
    <w:name w:val="Default Paragraph Font"/>
    <w:uiPriority w:val="1"/>
    <w:unhideWhenUsed/>
    <w:rsid w:val="002C71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7105"/>
  </w:style>
  <w:style w:type="character" w:customStyle="1" w:styleId="Heading1Char">
    <w:name w:val="Heading 1 Char"/>
    <w:basedOn w:val="DefaultParagraphFont"/>
    <w:link w:val="Heading1"/>
    <w:rsid w:val="002C7105"/>
    <w:rPr>
      <w:rFonts w:ascii="Times New Roman" w:eastAsia="Times New Roman" w:hAnsi="Times New Roman" w:cs="Times New Roman"/>
      <w:b/>
      <w:sz w:val="32"/>
      <w:szCs w:val="20"/>
      <w:lang w:eastAsia="en-US"/>
    </w:rPr>
  </w:style>
  <w:style w:type="paragraph" w:styleId="BodyText">
    <w:name w:val="Body Text"/>
    <w:basedOn w:val="Normal"/>
    <w:link w:val="BodyTextChar"/>
    <w:rsid w:val="002C71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7105"/>
    <w:rPr>
      <w:rFonts w:ascii="Times New Roman" w:eastAsia="Times New Roman" w:hAnsi="Times New Roman" w:cs="Times New Roman"/>
      <w:sz w:val="24"/>
      <w:lang w:eastAsia="en-US"/>
    </w:rPr>
  </w:style>
  <w:style w:type="paragraph" w:styleId="List">
    <w:name w:val="List"/>
    <w:basedOn w:val="BodyText"/>
    <w:next w:val="BodyText"/>
    <w:rsid w:val="002C7105"/>
    <w:pPr>
      <w:tabs>
        <w:tab w:val="left" w:pos="340"/>
      </w:tabs>
      <w:spacing w:before="60" w:after="60"/>
      <w:ind w:left="340" w:hanging="340"/>
    </w:pPr>
  </w:style>
  <w:style w:type="character" w:customStyle="1" w:styleId="SpecialBold">
    <w:name w:val="Special Bold"/>
    <w:basedOn w:val="DefaultParagraphFont"/>
    <w:rsid w:val="002C7105"/>
    <w:rPr>
      <w:b/>
      <w:spacing w:val="0"/>
    </w:rPr>
  </w:style>
  <w:style w:type="paragraph" w:customStyle="1" w:styleId="SuperHeading">
    <w:name w:val="SuperHeading"/>
    <w:basedOn w:val="Normal"/>
    <w:rsid w:val="002C7105"/>
    <w:pPr>
      <w:spacing w:before="240" w:after="120"/>
      <w:outlineLvl w:val="0"/>
    </w:pPr>
    <w:rPr>
      <w:rFonts w:ascii="Times New Roman" w:hAnsi="Times New Roman"/>
      <w:b/>
      <w:sz w:val="32"/>
    </w:rPr>
  </w:style>
  <w:style w:type="paragraph" w:customStyle="1" w:styleId="AllowPageBreak">
    <w:name w:val="AllowPageBreak"/>
    <w:rsid w:val="002C71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C71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71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71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71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71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71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71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7105"/>
    <w:rPr>
      <w:rFonts w:ascii="Courier New" w:eastAsia="Times New Roman" w:hAnsi="Courier New" w:cs="Times New Roman"/>
      <w:i/>
      <w:szCs w:val="20"/>
      <w:lang w:eastAsia="en-US"/>
    </w:rPr>
  </w:style>
  <w:style w:type="paragraph" w:customStyle="1" w:styleId="HeadingBase">
    <w:name w:val="Heading Base"/>
    <w:rsid w:val="002C71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7105"/>
    <w:pPr>
      <w:tabs>
        <w:tab w:val="right" w:leader="dot" w:pos="9072"/>
      </w:tabs>
      <w:ind w:left="567"/>
    </w:pPr>
    <w:rPr>
      <w:szCs w:val="22"/>
    </w:rPr>
  </w:style>
  <w:style w:type="paragraph" w:customStyle="1" w:styleId="TOCBase">
    <w:name w:val="TOC Base"/>
    <w:rsid w:val="002C71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7105"/>
    <w:pPr>
      <w:tabs>
        <w:tab w:val="right" w:leader="dot" w:pos="9072"/>
      </w:tabs>
      <w:spacing w:before="40" w:after="40"/>
      <w:ind w:left="284"/>
    </w:pPr>
    <w:rPr>
      <w:rFonts w:ascii="Times New Roman" w:hAnsi="Times New Roman"/>
    </w:rPr>
  </w:style>
  <w:style w:type="paragraph" w:styleId="TOC1">
    <w:name w:val="toc 1"/>
    <w:basedOn w:val="TOCBase"/>
    <w:next w:val="Normal"/>
    <w:rsid w:val="002C71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71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7105"/>
    <w:rPr>
      <w:rFonts w:ascii="Times New Roman" w:eastAsia="Times New Roman" w:hAnsi="Times New Roman" w:cs="Times New Roman"/>
      <w:sz w:val="16"/>
      <w:lang w:eastAsia="en-US"/>
    </w:rPr>
  </w:style>
  <w:style w:type="paragraph" w:styleId="Title">
    <w:name w:val="Title"/>
    <w:basedOn w:val="HeadingBase"/>
    <w:link w:val="TitleChar"/>
    <w:qFormat/>
    <w:rsid w:val="002C7105"/>
    <w:pPr>
      <w:spacing w:before="5040"/>
      <w:jc w:val="center"/>
    </w:pPr>
    <w:rPr>
      <w:sz w:val="48"/>
      <w:szCs w:val="72"/>
      <w:lang w:val="en-US"/>
    </w:rPr>
  </w:style>
  <w:style w:type="character" w:customStyle="1" w:styleId="TitleChar">
    <w:name w:val="Title Char"/>
    <w:basedOn w:val="DefaultParagraphFont"/>
    <w:link w:val="Title"/>
    <w:rsid w:val="002C71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7105"/>
    <w:pPr>
      <w:tabs>
        <w:tab w:val="left" w:pos="3600"/>
        <w:tab w:val="left" w:pos="3958"/>
      </w:tabs>
    </w:pPr>
  </w:style>
  <w:style w:type="paragraph" w:styleId="ListBullet">
    <w:name w:val="List Bullet"/>
    <w:basedOn w:val="List"/>
    <w:rsid w:val="002C7105"/>
    <w:pPr>
      <w:numPr>
        <w:numId w:val="10"/>
      </w:numPr>
      <w:tabs>
        <w:tab w:val="clear" w:pos="340"/>
      </w:tabs>
      <w:spacing w:before="40" w:after="40"/>
    </w:pPr>
  </w:style>
  <w:style w:type="paragraph" w:customStyle="1" w:styleId="Note">
    <w:name w:val="Note"/>
    <w:basedOn w:val="BodyText"/>
    <w:rsid w:val="002C71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7105"/>
    <w:pPr>
      <w:framePr w:wrap="auto" w:hAnchor="text" w:y="6049"/>
    </w:pPr>
    <w:rPr>
      <w:color w:val="000000"/>
      <w:sz w:val="40"/>
    </w:rPr>
  </w:style>
  <w:style w:type="paragraph" w:customStyle="1" w:styleId="TOCTitle">
    <w:name w:val="TOCTitle"/>
    <w:basedOn w:val="Heading1"/>
    <w:rsid w:val="002C7105"/>
    <w:pPr>
      <w:spacing w:after="240"/>
      <w:jc w:val="center"/>
      <w:outlineLvl w:val="9"/>
    </w:pPr>
    <w:rPr>
      <w:caps/>
    </w:rPr>
  </w:style>
  <w:style w:type="paragraph" w:customStyle="1" w:styleId="Version">
    <w:name w:val="Version"/>
    <w:rsid w:val="002C710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C7105"/>
    <w:pPr>
      <w:numPr>
        <w:numId w:val="11"/>
      </w:numPr>
      <w:tabs>
        <w:tab w:val="clear" w:pos="680"/>
      </w:tabs>
    </w:pPr>
  </w:style>
  <w:style w:type="paragraph" w:styleId="Index1">
    <w:name w:val="index 1"/>
    <w:basedOn w:val="Normal"/>
    <w:next w:val="Normal"/>
    <w:semiHidden/>
    <w:rsid w:val="002C7105"/>
    <w:pPr>
      <w:keepNext w:val="0"/>
      <w:tabs>
        <w:tab w:val="right" w:pos="4176"/>
      </w:tabs>
      <w:ind w:left="198" w:hanging="198"/>
    </w:pPr>
    <w:rPr>
      <w:rFonts w:ascii="Garamond" w:hAnsi="Garamond"/>
    </w:rPr>
  </w:style>
  <w:style w:type="paragraph" w:styleId="IndexHeading">
    <w:name w:val="index heading"/>
    <w:basedOn w:val="Normal"/>
    <w:next w:val="Index1"/>
    <w:semiHidden/>
    <w:rsid w:val="002C7105"/>
    <w:pPr>
      <w:spacing w:before="120" w:after="120"/>
    </w:pPr>
    <w:rPr>
      <w:rFonts w:ascii="Arial" w:hAnsi="Arial"/>
      <w:b/>
      <w:color w:val="918585"/>
      <w:sz w:val="24"/>
    </w:rPr>
  </w:style>
  <w:style w:type="paragraph" w:styleId="Header">
    <w:name w:val="header"/>
    <w:basedOn w:val="Normal"/>
    <w:link w:val="HeaderChar"/>
    <w:rsid w:val="002C71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7105"/>
    <w:rPr>
      <w:rFonts w:ascii="Times New Roman" w:eastAsia="Times New Roman" w:hAnsi="Times New Roman" w:cs="Times New Roman"/>
      <w:sz w:val="16"/>
      <w:szCs w:val="20"/>
      <w:lang w:val="en-GB" w:eastAsia="en-US"/>
    </w:rPr>
  </w:style>
  <w:style w:type="paragraph" w:customStyle="1" w:styleId="Chapter">
    <w:name w:val="Chapter"/>
    <w:basedOn w:val="Normal"/>
    <w:rsid w:val="002C7105"/>
    <w:pPr>
      <w:spacing w:before="240"/>
    </w:pPr>
    <w:rPr>
      <w:rFonts w:ascii="Times New Roman" w:hAnsi="Times New Roman"/>
      <w:smallCaps/>
      <w:spacing w:val="80"/>
      <w:sz w:val="28"/>
    </w:rPr>
  </w:style>
  <w:style w:type="paragraph" w:customStyle="1" w:styleId="InChapter">
    <w:name w:val="InChapter"/>
    <w:basedOn w:val="Heading3"/>
    <w:rsid w:val="002C7105"/>
    <w:pPr>
      <w:spacing w:after="240"/>
      <w:outlineLvl w:val="9"/>
    </w:pPr>
    <w:rPr>
      <w:noProof/>
    </w:rPr>
  </w:style>
  <w:style w:type="paragraph" w:styleId="Index2">
    <w:name w:val="index 2"/>
    <w:basedOn w:val="Normal"/>
    <w:next w:val="Normal"/>
    <w:semiHidden/>
    <w:rsid w:val="002C7105"/>
    <w:pPr>
      <w:tabs>
        <w:tab w:val="right" w:pos="4176"/>
      </w:tabs>
      <w:ind w:left="568" w:hanging="284"/>
    </w:pPr>
    <w:rPr>
      <w:rFonts w:ascii="Garamond" w:hAnsi="Garamond"/>
    </w:rPr>
  </w:style>
  <w:style w:type="paragraph" w:customStyle="1" w:styleId="Byline">
    <w:name w:val="Byline"/>
    <w:rsid w:val="002C71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7105"/>
    <w:pPr>
      <w:tabs>
        <w:tab w:val="clear" w:pos="3600"/>
        <w:tab w:val="clear" w:pos="3958"/>
      </w:tabs>
      <w:jc w:val="right"/>
    </w:pPr>
  </w:style>
  <w:style w:type="character" w:styleId="Emphasis">
    <w:name w:val="Emphasis"/>
    <w:basedOn w:val="DefaultParagraphFont"/>
    <w:qFormat/>
    <w:rsid w:val="002C7105"/>
    <w:rPr>
      <w:i/>
    </w:rPr>
  </w:style>
  <w:style w:type="paragraph" w:styleId="Caption">
    <w:name w:val="caption"/>
    <w:basedOn w:val="BodyText"/>
    <w:next w:val="Normal"/>
    <w:qFormat/>
    <w:rsid w:val="002C7105"/>
    <w:pPr>
      <w:framePr w:w="2268" w:hSpace="181" w:vSpace="181" w:wrap="around" w:vAnchor="text" w:hAnchor="page" w:x="1135" w:y="285" w:anchorLock="1"/>
    </w:pPr>
    <w:rPr>
      <w:i/>
    </w:rPr>
  </w:style>
  <w:style w:type="paragraph" w:customStyle="1" w:styleId="MiniTOCTitle">
    <w:name w:val="MiniTOCTitle"/>
    <w:basedOn w:val="Heading4"/>
    <w:rsid w:val="002C7105"/>
    <w:pPr>
      <w:spacing w:before="240"/>
      <w:outlineLvl w:val="9"/>
    </w:pPr>
    <w:rPr>
      <w:noProof/>
      <w:sz w:val="24"/>
    </w:rPr>
  </w:style>
  <w:style w:type="paragraph" w:customStyle="1" w:styleId="MiniTOCItem">
    <w:name w:val="MiniTOCItem"/>
    <w:basedOn w:val="ListBullet"/>
    <w:rsid w:val="002C7105"/>
    <w:pPr>
      <w:numPr>
        <w:numId w:val="0"/>
      </w:numPr>
      <w:tabs>
        <w:tab w:val="right" w:leader="dot" w:pos="6521"/>
      </w:tabs>
      <w:spacing w:before="0" w:after="0"/>
    </w:pPr>
  </w:style>
  <w:style w:type="paragraph" w:customStyle="1" w:styleId="TOFTitle">
    <w:name w:val="TOFTitle"/>
    <w:basedOn w:val="TOCTitle"/>
    <w:rsid w:val="002C7105"/>
  </w:style>
  <w:style w:type="paragraph" w:styleId="TableofFigures">
    <w:name w:val="table of figures"/>
    <w:basedOn w:val="Normal"/>
    <w:next w:val="Normal"/>
    <w:semiHidden/>
    <w:rsid w:val="002C7105"/>
    <w:pPr>
      <w:tabs>
        <w:tab w:val="right" w:leader="dot" w:pos="9072"/>
      </w:tabs>
      <w:ind w:left="970" w:hanging="403"/>
    </w:pPr>
    <w:rPr>
      <w:rFonts w:ascii="Times New Roman" w:hAnsi="Times New Roman"/>
      <w:b/>
    </w:rPr>
  </w:style>
  <w:style w:type="paragraph" w:styleId="ListNumber">
    <w:name w:val="List Number"/>
    <w:basedOn w:val="List"/>
    <w:rsid w:val="002C7105"/>
    <w:pPr>
      <w:numPr>
        <w:numId w:val="13"/>
      </w:numPr>
      <w:tabs>
        <w:tab w:val="clear" w:pos="340"/>
      </w:tabs>
    </w:pPr>
  </w:style>
  <w:style w:type="character" w:customStyle="1" w:styleId="WingdingSymbols">
    <w:name w:val="Wingding Symbols"/>
    <w:rsid w:val="002C7105"/>
    <w:rPr>
      <w:rFonts w:ascii="Wingdings" w:hAnsi="Wingdings"/>
    </w:rPr>
  </w:style>
  <w:style w:type="paragraph" w:customStyle="1" w:styleId="TableHeading">
    <w:name w:val="Table Heading"/>
    <w:basedOn w:val="HeadingBase"/>
    <w:rsid w:val="002C7105"/>
    <w:pPr>
      <w:keepLines/>
      <w:pBdr>
        <w:bottom w:val="single" w:sz="6" w:space="1" w:color="918585"/>
      </w:pBdr>
      <w:spacing w:before="240"/>
    </w:pPr>
  </w:style>
  <w:style w:type="character" w:customStyle="1" w:styleId="HotSpot">
    <w:name w:val="HotSpot"/>
    <w:rsid w:val="002C7105"/>
    <w:rPr>
      <w:color w:val="0033CC"/>
      <w:u w:val="none"/>
    </w:rPr>
  </w:style>
  <w:style w:type="paragraph" w:customStyle="1" w:styleId="BodyTextRight">
    <w:name w:val="Body Text Right"/>
    <w:basedOn w:val="BodyText"/>
    <w:rsid w:val="002C7105"/>
    <w:pPr>
      <w:spacing w:before="0" w:after="0"/>
      <w:jc w:val="right"/>
    </w:pPr>
  </w:style>
  <w:style w:type="paragraph" w:styleId="Index3">
    <w:name w:val="index 3"/>
    <w:basedOn w:val="ListNumber2"/>
    <w:next w:val="Normal"/>
    <w:semiHidden/>
    <w:rsid w:val="002C7105"/>
    <w:pPr>
      <w:numPr>
        <w:numId w:val="0"/>
      </w:numPr>
      <w:tabs>
        <w:tab w:val="right" w:leader="dot" w:pos="4176"/>
      </w:tabs>
    </w:pPr>
  </w:style>
  <w:style w:type="paragraph" w:styleId="ListNumber2">
    <w:name w:val="List Number 2"/>
    <w:basedOn w:val="List2"/>
    <w:rsid w:val="002C7105"/>
    <w:pPr>
      <w:numPr>
        <w:numId w:val="8"/>
      </w:numPr>
      <w:tabs>
        <w:tab w:val="clear" w:pos="1060"/>
      </w:tabs>
    </w:pPr>
  </w:style>
  <w:style w:type="paragraph" w:customStyle="1" w:styleId="MarginNote">
    <w:name w:val="Margin Note"/>
    <w:basedOn w:val="BodyText"/>
    <w:rsid w:val="002C71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71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71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7105"/>
    <w:rPr>
      <w:sz w:val="32"/>
    </w:rPr>
  </w:style>
  <w:style w:type="paragraph" w:customStyle="1" w:styleId="HeadingProcedure">
    <w:name w:val="Heading Procedure"/>
    <w:basedOn w:val="HeadingBase"/>
    <w:next w:val="Normal"/>
    <w:rsid w:val="002C7105"/>
    <w:pPr>
      <w:tabs>
        <w:tab w:val="left" w:pos="0"/>
      </w:tabs>
      <w:spacing w:before="120" w:after="60"/>
    </w:pPr>
    <w:rPr>
      <w:i/>
      <w:color w:val="918585"/>
      <w:sz w:val="22"/>
    </w:rPr>
  </w:style>
  <w:style w:type="paragraph" w:customStyle="1" w:styleId="TableBodyText">
    <w:name w:val="Table Body Text"/>
    <w:basedOn w:val="BodyText"/>
    <w:rsid w:val="002C7105"/>
    <w:pPr>
      <w:spacing w:before="60" w:after="60"/>
    </w:pPr>
  </w:style>
  <w:style w:type="paragraph" w:styleId="ListContinue">
    <w:name w:val="List Continue"/>
    <w:basedOn w:val="List"/>
    <w:rsid w:val="002C7105"/>
    <w:pPr>
      <w:ind w:firstLine="0"/>
    </w:pPr>
  </w:style>
  <w:style w:type="paragraph" w:customStyle="1" w:styleId="ListNote">
    <w:name w:val="List Note"/>
    <w:basedOn w:val="List"/>
    <w:rsid w:val="002C7105"/>
    <w:pPr>
      <w:pBdr>
        <w:top w:val="single" w:sz="6" w:space="2" w:color="918585"/>
        <w:bottom w:val="single" w:sz="6" w:space="2" w:color="918585"/>
      </w:pBdr>
      <w:tabs>
        <w:tab w:val="left" w:pos="1021"/>
      </w:tabs>
      <w:ind w:firstLine="0"/>
    </w:pPr>
  </w:style>
  <w:style w:type="paragraph" w:customStyle="1" w:styleId="Warning">
    <w:name w:val="Warning"/>
    <w:basedOn w:val="BodyText"/>
    <w:rsid w:val="002C7105"/>
    <w:pPr>
      <w:shd w:val="clear" w:color="auto" w:fill="D9D9D9"/>
      <w:tabs>
        <w:tab w:val="left" w:pos="992"/>
      </w:tabs>
      <w:ind w:left="119" w:right="119"/>
    </w:pPr>
    <w:rPr>
      <w:sz w:val="20"/>
    </w:rPr>
  </w:style>
  <w:style w:type="paragraph" w:customStyle="1" w:styleId="MarginIcons">
    <w:name w:val="Margin Icons"/>
    <w:basedOn w:val="BodyText"/>
    <w:rsid w:val="002C71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7105"/>
    <w:rPr>
      <w:rFonts w:ascii="Courier New" w:hAnsi="Courier New"/>
    </w:rPr>
  </w:style>
  <w:style w:type="paragraph" w:customStyle="1" w:styleId="NoteBullet">
    <w:name w:val="Note Bullet"/>
    <w:basedOn w:val="Note"/>
    <w:rsid w:val="002C7105"/>
    <w:pPr>
      <w:tabs>
        <w:tab w:val="clear" w:pos="680"/>
      </w:tabs>
      <w:spacing w:before="60" w:after="60"/>
    </w:pPr>
  </w:style>
  <w:style w:type="paragraph" w:customStyle="1" w:styleId="SubHeading2">
    <w:name w:val="SubHeading2"/>
    <w:basedOn w:val="HeadingBase"/>
    <w:rsid w:val="002C7105"/>
    <w:pPr>
      <w:spacing w:before="240" w:after="60"/>
    </w:pPr>
    <w:rPr>
      <w:sz w:val="20"/>
    </w:rPr>
  </w:style>
  <w:style w:type="paragraph" w:customStyle="1" w:styleId="SubHeading1">
    <w:name w:val="SubHeading1"/>
    <w:basedOn w:val="HeadingBase"/>
    <w:rsid w:val="002C7105"/>
    <w:pPr>
      <w:spacing w:before="240" w:after="60"/>
    </w:pPr>
    <w:rPr>
      <w:color w:val="918585"/>
      <w:sz w:val="22"/>
    </w:rPr>
  </w:style>
  <w:style w:type="paragraph" w:customStyle="1" w:styleId="SideHeading">
    <w:name w:val="Side Heading"/>
    <w:basedOn w:val="HeadingBase"/>
    <w:rsid w:val="002C71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7105"/>
    <w:pPr>
      <w:numPr>
        <w:numId w:val="9"/>
      </w:numPr>
    </w:pPr>
  </w:style>
  <w:style w:type="paragraph" w:styleId="PlainText">
    <w:name w:val="Plain Text"/>
    <w:basedOn w:val="Normal"/>
    <w:link w:val="PlainTextChar"/>
    <w:rsid w:val="002C7105"/>
    <w:rPr>
      <w:sz w:val="20"/>
    </w:rPr>
  </w:style>
  <w:style w:type="character" w:customStyle="1" w:styleId="PlainTextChar">
    <w:name w:val="Plain Text Char"/>
    <w:basedOn w:val="DefaultParagraphFont"/>
    <w:link w:val="PlainText"/>
    <w:rsid w:val="002C7105"/>
    <w:rPr>
      <w:rFonts w:ascii="Courier New" w:eastAsia="Times New Roman" w:hAnsi="Courier New" w:cs="Times New Roman"/>
      <w:sz w:val="20"/>
      <w:szCs w:val="20"/>
      <w:lang w:eastAsia="en-US"/>
    </w:rPr>
  </w:style>
  <w:style w:type="character" w:customStyle="1" w:styleId="MenuOption">
    <w:name w:val="Menu Option"/>
    <w:basedOn w:val="DefaultParagraphFont"/>
    <w:rsid w:val="002C7105"/>
    <w:rPr>
      <w:b/>
      <w:smallCaps/>
    </w:rPr>
  </w:style>
  <w:style w:type="paragraph" w:customStyle="1" w:styleId="TableListNumber">
    <w:name w:val="Table List Number"/>
    <w:basedOn w:val="ListNumber"/>
    <w:rsid w:val="002C7105"/>
    <w:pPr>
      <w:numPr>
        <w:numId w:val="0"/>
      </w:numPr>
    </w:pPr>
  </w:style>
  <w:style w:type="paragraph" w:styleId="TOC4">
    <w:name w:val="toc 4"/>
    <w:basedOn w:val="TOCBase"/>
    <w:next w:val="Normal"/>
    <w:semiHidden/>
    <w:rsid w:val="002C7105"/>
    <w:pPr>
      <w:tabs>
        <w:tab w:val="right" w:leader="dot" w:pos="9071"/>
      </w:tabs>
      <w:ind w:left="1701"/>
    </w:pPr>
  </w:style>
  <w:style w:type="paragraph" w:customStyle="1" w:styleId="ListAlpha">
    <w:name w:val="List Alpha"/>
    <w:basedOn w:val="List"/>
    <w:rsid w:val="002C7105"/>
    <w:pPr>
      <w:numPr>
        <w:numId w:val="7"/>
      </w:numPr>
    </w:pPr>
  </w:style>
  <w:style w:type="paragraph" w:customStyle="1" w:styleId="ListAlpha2">
    <w:name w:val="List Alpha 2"/>
    <w:basedOn w:val="List2"/>
    <w:rsid w:val="002C7105"/>
    <w:pPr>
      <w:numPr>
        <w:numId w:val="6"/>
      </w:numPr>
    </w:pPr>
  </w:style>
  <w:style w:type="paragraph" w:styleId="List2">
    <w:name w:val="List 2"/>
    <w:basedOn w:val="BodyText"/>
    <w:rsid w:val="002C7105"/>
    <w:pPr>
      <w:tabs>
        <w:tab w:val="left" w:pos="680"/>
      </w:tabs>
      <w:spacing w:before="60" w:after="60"/>
      <w:ind w:left="680" w:hanging="340"/>
    </w:pPr>
  </w:style>
  <w:style w:type="paragraph" w:styleId="List3">
    <w:name w:val="List 3"/>
    <w:basedOn w:val="BodyText"/>
    <w:rsid w:val="002C7105"/>
    <w:pPr>
      <w:tabs>
        <w:tab w:val="left" w:pos="1021"/>
      </w:tabs>
      <w:spacing w:before="60" w:after="60"/>
      <w:ind w:left="1020" w:hanging="340"/>
    </w:pPr>
  </w:style>
  <w:style w:type="paragraph" w:styleId="List4">
    <w:name w:val="List 4"/>
    <w:basedOn w:val="BodyText"/>
    <w:rsid w:val="002C7105"/>
    <w:pPr>
      <w:tabs>
        <w:tab w:val="left" w:pos="1361"/>
      </w:tabs>
      <w:spacing w:before="60" w:after="60"/>
      <w:ind w:left="1361" w:hanging="340"/>
    </w:pPr>
  </w:style>
  <w:style w:type="paragraph" w:styleId="List5">
    <w:name w:val="List 5"/>
    <w:basedOn w:val="BodyText"/>
    <w:rsid w:val="002C7105"/>
    <w:pPr>
      <w:tabs>
        <w:tab w:val="left" w:pos="1701"/>
      </w:tabs>
      <w:spacing w:before="60" w:after="60"/>
      <w:ind w:left="1701" w:hanging="340"/>
    </w:pPr>
  </w:style>
  <w:style w:type="paragraph" w:styleId="ListBullet3">
    <w:name w:val="List Bullet 3"/>
    <w:basedOn w:val="List3"/>
    <w:rsid w:val="002C7105"/>
    <w:pPr>
      <w:numPr>
        <w:numId w:val="12"/>
      </w:numPr>
      <w:tabs>
        <w:tab w:val="clear" w:pos="1021"/>
      </w:tabs>
      <w:ind w:left="1037" w:hanging="357"/>
    </w:pPr>
  </w:style>
  <w:style w:type="paragraph" w:styleId="ListBullet4">
    <w:name w:val="List Bullet 4"/>
    <w:basedOn w:val="List4"/>
    <w:rsid w:val="002C7105"/>
    <w:pPr>
      <w:numPr>
        <w:numId w:val="1"/>
      </w:numPr>
      <w:tabs>
        <w:tab w:val="clear" w:pos="1361"/>
      </w:tabs>
    </w:pPr>
  </w:style>
  <w:style w:type="paragraph" w:styleId="ListBullet5">
    <w:name w:val="List Bullet 5"/>
    <w:basedOn w:val="List5"/>
    <w:rsid w:val="002C7105"/>
    <w:pPr>
      <w:numPr>
        <w:numId w:val="2"/>
      </w:numPr>
    </w:pPr>
  </w:style>
  <w:style w:type="paragraph" w:styleId="ListContinue2">
    <w:name w:val="List Continue 2"/>
    <w:basedOn w:val="List2"/>
    <w:rsid w:val="002C7105"/>
    <w:pPr>
      <w:ind w:firstLine="0"/>
    </w:pPr>
  </w:style>
  <w:style w:type="paragraph" w:styleId="ListContinue3">
    <w:name w:val="List Continue 3"/>
    <w:basedOn w:val="List3"/>
    <w:rsid w:val="002C7105"/>
    <w:pPr>
      <w:ind w:left="1021" w:firstLine="0"/>
    </w:pPr>
  </w:style>
  <w:style w:type="paragraph" w:styleId="ListContinue4">
    <w:name w:val="List Continue 4"/>
    <w:basedOn w:val="List4"/>
    <w:rsid w:val="002C7105"/>
    <w:pPr>
      <w:ind w:firstLine="0"/>
    </w:pPr>
  </w:style>
  <w:style w:type="paragraph" w:styleId="ListContinue5">
    <w:name w:val="List Continue 5"/>
    <w:basedOn w:val="List5"/>
    <w:rsid w:val="002C7105"/>
    <w:pPr>
      <w:ind w:firstLine="0"/>
    </w:pPr>
  </w:style>
  <w:style w:type="paragraph" w:styleId="ListNumber3">
    <w:name w:val="List Number 3"/>
    <w:basedOn w:val="List3"/>
    <w:rsid w:val="002C7105"/>
    <w:pPr>
      <w:numPr>
        <w:numId w:val="3"/>
      </w:numPr>
    </w:pPr>
  </w:style>
  <w:style w:type="paragraph" w:styleId="ListNumber4">
    <w:name w:val="List Number 4"/>
    <w:basedOn w:val="List4"/>
    <w:rsid w:val="002C7105"/>
    <w:pPr>
      <w:numPr>
        <w:numId w:val="4"/>
      </w:numPr>
    </w:pPr>
  </w:style>
  <w:style w:type="paragraph" w:styleId="ListNumber5">
    <w:name w:val="List Number 5"/>
    <w:basedOn w:val="List5"/>
    <w:rsid w:val="002C7105"/>
    <w:pPr>
      <w:numPr>
        <w:numId w:val="5"/>
      </w:numPr>
    </w:pPr>
  </w:style>
  <w:style w:type="paragraph" w:styleId="BlockText">
    <w:name w:val="Block Text"/>
    <w:basedOn w:val="Normal"/>
    <w:rsid w:val="002C7105"/>
    <w:pPr>
      <w:spacing w:after="120"/>
      <w:ind w:left="1440" w:right="1440"/>
    </w:pPr>
  </w:style>
  <w:style w:type="character" w:customStyle="1" w:styleId="Subscript">
    <w:name w:val="Subscript"/>
    <w:basedOn w:val="DefaultParagraphFont"/>
    <w:rsid w:val="002C7105"/>
    <w:rPr>
      <w:sz w:val="16"/>
      <w:vertAlign w:val="subscript"/>
    </w:rPr>
  </w:style>
  <w:style w:type="character" w:customStyle="1" w:styleId="Superscript">
    <w:name w:val="Superscript"/>
    <w:basedOn w:val="DefaultParagraphFont"/>
    <w:rsid w:val="002C7105"/>
    <w:rPr>
      <w:sz w:val="16"/>
      <w:vertAlign w:val="superscript"/>
    </w:rPr>
  </w:style>
  <w:style w:type="character" w:customStyle="1" w:styleId="Symbols">
    <w:name w:val="Symbols"/>
    <w:basedOn w:val="DefaultParagraphFont"/>
    <w:rsid w:val="002C7105"/>
    <w:rPr>
      <w:rFonts w:ascii="Symbol" w:hAnsi="Symbol"/>
    </w:rPr>
  </w:style>
  <w:style w:type="character" w:customStyle="1" w:styleId="MenuOptions">
    <w:name w:val="Menu Options"/>
    <w:basedOn w:val="DefaultParagraphFont"/>
    <w:rsid w:val="002C7105"/>
    <w:rPr>
      <w:rFonts w:ascii="Arial Narrow" w:hAnsi="Arial Narrow"/>
      <w:smallCaps/>
    </w:rPr>
  </w:style>
  <w:style w:type="character" w:customStyle="1" w:styleId="Buttons">
    <w:name w:val="Buttons"/>
    <w:basedOn w:val="DefaultParagraphFont"/>
    <w:rsid w:val="002C7105"/>
    <w:rPr>
      <w:b/>
    </w:rPr>
  </w:style>
  <w:style w:type="character" w:customStyle="1" w:styleId="Underlined">
    <w:name w:val="Underlined"/>
    <w:basedOn w:val="DefaultParagraphFont"/>
    <w:rsid w:val="002C7105"/>
    <w:rPr>
      <w:u w:val="single"/>
    </w:rPr>
  </w:style>
  <w:style w:type="paragraph" w:customStyle="1" w:styleId="TableBodyTextRight">
    <w:name w:val="Table Body Text Right"/>
    <w:basedOn w:val="TableBodyText"/>
    <w:rsid w:val="002C7105"/>
    <w:pPr>
      <w:widowControl w:val="0"/>
      <w:autoSpaceDE w:val="0"/>
      <w:autoSpaceDN w:val="0"/>
      <w:adjustRightInd w:val="0"/>
      <w:jc w:val="right"/>
    </w:pPr>
    <w:rPr>
      <w:rFonts w:cs="Arial"/>
      <w:szCs w:val="18"/>
    </w:rPr>
  </w:style>
  <w:style w:type="paragraph" w:customStyle="1" w:styleId="CopyrightText">
    <w:name w:val="Copyright Text"/>
    <w:basedOn w:val="BodyText"/>
    <w:rsid w:val="002C7105"/>
    <w:rPr>
      <w:sz w:val="18"/>
    </w:rPr>
  </w:style>
  <w:style w:type="paragraph" w:customStyle="1" w:styleId="BodySmallRight">
    <w:name w:val="Body Small Right"/>
    <w:basedOn w:val="BodyTextRight"/>
    <w:rsid w:val="002C7105"/>
    <w:rPr>
      <w:sz w:val="18"/>
      <w:szCs w:val="18"/>
    </w:rPr>
  </w:style>
  <w:style w:type="paragraph" w:customStyle="1" w:styleId="MarginEdition">
    <w:name w:val="Margin Edition"/>
    <w:basedOn w:val="MarginNote"/>
    <w:rsid w:val="002C7105"/>
    <w:pPr>
      <w:spacing w:before="0" w:after="0"/>
    </w:pPr>
    <w:rPr>
      <w:rFonts w:ascii="Times New Roman" w:hAnsi="Times New Roman"/>
      <w:color w:val="999999"/>
    </w:rPr>
  </w:style>
  <w:style w:type="paragraph" w:customStyle="1" w:styleId="Spacer">
    <w:name w:val="Spacer"/>
    <w:basedOn w:val="Normal"/>
    <w:rsid w:val="002C7105"/>
    <w:rPr>
      <w:sz w:val="2"/>
      <w:szCs w:val="2"/>
    </w:rPr>
  </w:style>
  <w:style w:type="character" w:customStyle="1" w:styleId="Small">
    <w:name w:val="Small"/>
    <w:basedOn w:val="DefaultParagraphFont"/>
    <w:rsid w:val="002C7105"/>
    <w:rPr>
      <w:sz w:val="16"/>
    </w:rPr>
  </w:style>
  <w:style w:type="paragraph" w:customStyle="1" w:styleId="WideTable">
    <w:name w:val="Wide Table"/>
    <w:basedOn w:val="Normal"/>
    <w:rsid w:val="002C7105"/>
    <w:pPr>
      <w:ind w:left="-1418"/>
    </w:pPr>
    <w:rPr>
      <w:sz w:val="2"/>
      <w:szCs w:val="2"/>
    </w:rPr>
  </w:style>
  <w:style w:type="character" w:styleId="PageNumber">
    <w:name w:val="page number"/>
    <w:basedOn w:val="DefaultParagraphFont"/>
    <w:rsid w:val="002C7105"/>
  </w:style>
  <w:style w:type="paragraph" w:styleId="Quote">
    <w:name w:val="Quote"/>
    <w:basedOn w:val="Heading1"/>
    <w:link w:val="QuoteChar"/>
    <w:qFormat/>
    <w:rsid w:val="002C7105"/>
    <w:rPr>
      <w:b w:val="0"/>
      <w:sz w:val="72"/>
      <w:szCs w:val="72"/>
      <w:lang w:val="en-NZ"/>
    </w:rPr>
  </w:style>
  <w:style w:type="character" w:customStyle="1" w:styleId="QuoteChar">
    <w:name w:val="Quote Char"/>
    <w:basedOn w:val="DefaultParagraphFont"/>
    <w:link w:val="Quote"/>
    <w:rsid w:val="002C71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7105"/>
    <w:pPr>
      <w:pageBreakBefore/>
    </w:pPr>
  </w:style>
  <w:style w:type="paragraph" w:customStyle="1" w:styleId="Border">
    <w:name w:val="Border"/>
    <w:basedOn w:val="Normal"/>
    <w:qFormat/>
    <w:rsid w:val="002C71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7105"/>
    <w:rPr>
      <w:b/>
      <w:bCs/>
      <w:i/>
      <w:iCs/>
      <w:color w:val="auto"/>
    </w:rPr>
  </w:style>
  <w:style w:type="paragraph" w:styleId="IntenseQuote">
    <w:name w:val="Intense Quote"/>
    <w:basedOn w:val="Normal"/>
    <w:next w:val="Normal"/>
    <w:link w:val="IntenseQuoteChar"/>
    <w:uiPriority w:val="30"/>
    <w:qFormat/>
    <w:rsid w:val="002C71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71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7105"/>
    <w:rPr>
      <w:smallCaps/>
      <w:color w:val="auto"/>
      <w:u w:val="single"/>
    </w:rPr>
  </w:style>
  <w:style w:type="character" w:styleId="IntenseReference">
    <w:name w:val="Intense Reference"/>
    <w:basedOn w:val="DefaultParagraphFont"/>
    <w:uiPriority w:val="32"/>
    <w:qFormat/>
    <w:rsid w:val="002C7105"/>
    <w:rPr>
      <w:b/>
      <w:bCs/>
      <w:smallCaps/>
      <w:color w:val="auto"/>
      <w:spacing w:val="5"/>
      <w:u w:val="single"/>
    </w:rPr>
  </w:style>
  <w:style w:type="paragraph" w:customStyle="1" w:styleId="2ColumnHeading">
    <w:name w:val="2Column Heading"/>
    <w:basedOn w:val="BodyText"/>
    <w:qFormat/>
    <w:rsid w:val="002C7105"/>
    <w:pPr>
      <w:spacing w:after="60"/>
      <w:ind w:left="-2268"/>
    </w:pPr>
    <w:rPr>
      <w:b/>
    </w:rPr>
  </w:style>
  <w:style w:type="paragraph" w:customStyle="1" w:styleId="Heading1TOC">
    <w:name w:val="Heading1 TOC"/>
    <w:basedOn w:val="Normal"/>
    <w:qFormat/>
    <w:rsid w:val="002C7105"/>
    <w:pPr>
      <w:spacing w:before="240" w:after="120"/>
    </w:pPr>
    <w:rPr>
      <w:rFonts w:ascii="Times New Roman" w:hAnsi="Times New Roman"/>
      <w:b/>
      <w:sz w:val="32"/>
    </w:rPr>
  </w:style>
  <w:style w:type="paragraph" w:customStyle="1" w:styleId="Heading2TOC">
    <w:name w:val="Heading2 TOC"/>
    <w:basedOn w:val="Normal"/>
    <w:qFormat/>
    <w:rsid w:val="002C7105"/>
    <w:pPr>
      <w:spacing w:before="240" w:after="60"/>
    </w:pPr>
    <w:rPr>
      <w:rFonts w:ascii="Times New Roman" w:hAnsi="Times New Roman"/>
      <w:b/>
      <w:sz w:val="28"/>
    </w:rPr>
  </w:style>
  <w:style w:type="character" w:customStyle="1" w:styleId="Underline">
    <w:name w:val="Underline"/>
    <w:basedOn w:val="DefaultParagraphFont"/>
    <w:qFormat/>
    <w:rsid w:val="002C7105"/>
    <w:rPr>
      <w:u w:val="single"/>
    </w:rPr>
  </w:style>
  <w:style w:type="character" w:customStyle="1" w:styleId="BoldandItalics">
    <w:name w:val="Bold and Italics"/>
    <w:qFormat/>
    <w:rsid w:val="002C7105"/>
    <w:rPr>
      <w:b/>
      <w:i/>
      <w:u w:val="none"/>
    </w:rPr>
  </w:style>
  <w:style w:type="paragraph" w:styleId="BalloonText">
    <w:name w:val="Balloon Text"/>
    <w:basedOn w:val="Normal"/>
    <w:link w:val="BalloonTextChar"/>
    <w:rsid w:val="002C7105"/>
    <w:rPr>
      <w:rFonts w:ascii="Tahoma" w:hAnsi="Tahoma" w:cs="Tahoma"/>
      <w:sz w:val="16"/>
      <w:szCs w:val="16"/>
    </w:rPr>
  </w:style>
  <w:style w:type="character" w:customStyle="1" w:styleId="BalloonTextChar">
    <w:name w:val="Balloon Text Char"/>
    <w:basedOn w:val="DefaultParagraphFont"/>
    <w:link w:val="BalloonText"/>
    <w:rsid w:val="002C71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71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71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7105"/>
    <w:rPr>
      <w:b/>
      <w:color w:val="660033"/>
      <w:spacing w:val="0"/>
    </w:rPr>
  </w:style>
  <w:style w:type="paragraph" w:customStyle="1" w:styleId="Nameditemlist">
    <w:name w:val="Named item list"/>
    <w:basedOn w:val="BodyText"/>
    <w:qFormat/>
    <w:rsid w:val="002C7105"/>
    <w:pPr>
      <w:tabs>
        <w:tab w:val="left" w:pos="2835"/>
      </w:tabs>
      <w:ind w:left="2835" w:hanging="2835"/>
    </w:pPr>
  </w:style>
  <w:style w:type="paragraph" w:customStyle="1" w:styleId="BodyTextnopadding">
    <w:name w:val="Body Text no padding"/>
    <w:basedOn w:val="BodyText"/>
    <w:qFormat/>
    <w:rsid w:val="002C7105"/>
    <w:pPr>
      <w:spacing w:before="0" w:after="0"/>
    </w:pPr>
  </w:style>
  <w:style w:type="paragraph" w:customStyle="1" w:styleId="BodyTextBold">
    <w:name w:val="Body Text Bold"/>
    <w:basedOn w:val="BodyText"/>
    <w:qFormat/>
    <w:rsid w:val="002C7105"/>
    <w:rPr>
      <w:b/>
    </w:rPr>
  </w:style>
  <w:style w:type="character" w:styleId="Hyperlink">
    <w:name w:val="Hyperlink"/>
    <w:basedOn w:val="DefaultParagraphFont"/>
    <w:uiPriority w:val="99"/>
    <w:unhideWhenUsed/>
    <w:rsid w:val="00E27C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587</Words>
  <Characters>3605</Characters>
  <Application>Microsoft Office Word</Application>
  <DocSecurity>0</DocSecurity>
  <Lines>116</Lines>
  <Paragraphs>62</Paragraphs>
  <ScaleCrop>false</ScaleCrop>
  <Company>Author-it Software Corporation Ltd.</Company>
  <LinksUpToDate>false</LinksUpToDate>
  <CharactersWithSpaces>4130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SIFCWHS001 Identify hazards and assess risks in a cemetery or crematorium</dc:title>
  <dc:subject>Approved</dc:subject>
  <dc:creator>SkillsIQ</dc:creator>
  <cp:keywords>Release: 2</cp:keywords>
  <dc:description>Review Date: 12 April 2008</dc:description>
  <cp:lastModifiedBy>HSD_TPCMSd.prod</cp:lastModifiedBy>
  <cp:revision>3</cp:revision>
  <dcterms:created xsi:type="dcterms:W3CDTF">2022-04-04T01:30:00Z</dcterms:created>
  <dcterms:modified xsi:type="dcterms:W3CDTF">2022-04-04T01:30:00Z</dcterms:modified>
</cp:coreProperties>
</file>