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1CE1" w:rsidP="00E61C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SIFCCAC009 Coordinate monument installations</w:t>
      </w:r>
      <w:r>
        <w:fldChar w:fldCharType="end"/>
      </w:r>
    </w:p>
    <w:p w:rsidR="00E61CE1" w:rsidP="00E61CE1">
      <w:pPr>
        <w:pStyle w:val="Version"/>
        <w:sectPr w:rsidSect="00352C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52C1C" w:rsidP="00352C1C">
      <w:pPr>
        <w:pStyle w:val="SuperHeading"/>
      </w:pPr>
      <w:r w:rsidRPr="00352C1C">
        <w:t>SIFCCAC009 Coordinate monument installations</w:t>
      </w:r>
    </w:p>
    <w:p w:rsidR="00000000" w:rsidRPr="00352C1C" w:rsidP="00352C1C">
      <w:pPr>
        <w:pStyle w:val="Heading1"/>
      </w:pPr>
      <w:bookmarkStart w:id="1" w:name="O_582041"/>
      <w:bookmarkEnd w:id="1"/>
      <w:r w:rsidRPr="00352C1C">
        <w:t>Modification History</w:t>
      </w:r>
    </w:p>
    <w:p w:rsidR="00000000" w:rsidRPr="00352C1C" w:rsidP="00E61CE1">
      <w:pPr>
        <w:pStyle w:val="BodyText"/>
      </w:pPr>
      <w:r w:rsidRPr="00352C1C">
        <w:t>The details of this endorsed unit are in the table below. The latest information is at the top.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13"/>
        <w:gridCol w:w="4621"/>
      </w:tblGrid>
      <w:tr w:rsidTr="00352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C1C" w:rsidP="00352C1C">
            <w:pPr>
              <w:pStyle w:val="BodyText"/>
            </w:pPr>
            <w:r w:rsidRPr="00352C1C">
              <w:rPr>
                <w:rStyle w:val="SpecialBold"/>
              </w:rPr>
              <w:t>Release</w:t>
            </w:r>
          </w:p>
        </w:tc>
        <w:tc>
          <w:tcPr>
            <w:tcW w:w="4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C1C">
            <w:pPr>
              <w:pStyle w:val="BodyText"/>
              <w:rPr>
                <w:lang w:val="en-NZ"/>
              </w:rPr>
            </w:pPr>
            <w:r w:rsidRPr="00352C1C">
              <w:rPr>
                <w:rStyle w:val="SpecialBold"/>
              </w:rPr>
              <w:t>Comments</w:t>
            </w:r>
          </w:p>
        </w:tc>
      </w:tr>
      <w:tr w:rsidTr="00352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C1C">
            <w:pPr>
              <w:pStyle w:val="BodyText"/>
              <w:rPr>
                <w:lang w:val="en-NZ"/>
              </w:rPr>
            </w:pPr>
            <w:r w:rsidRPr="00352C1C">
              <w:t>Two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C1C">
            <w:pPr>
              <w:pStyle w:val="BodyText"/>
              <w:rPr>
                <w:lang w:val="en-NZ"/>
              </w:rPr>
            </w:pPr>
            <w:r w:rsidRPr="00352C1C">
              <w:t>Formatting error corrected in the Elements and Performance Criteria.</w:t>
            </w:r>
          </w:p>
        </w:tc>
      </w:tr>
      <w:tr w:rsidTr="00352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C1C">
            <w:pPr>
              <w:pStyle w:val="BodyText"/>
              <w:rPr>
                <w:lang w:val="en-NZ"/>
              </w:rPr>
            </w:pPr>
            <w:r w:rsidRPr="00352C1C">
              <w:t>One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C1C" w:rsidP="00352C1C">
            <w:pPr>
              <w:pStyle w:val="BodyText"/>
            </w:pPr>
            <w:r w:rsidRPr="00352C1C">
              <w:t xml:space="preserve"> Reflects the Standards for Training Packag</w:t>
            </w:r>
            <w:r w:rsidRPr="00352C1C">
              <w:t>es.</w:t>
            </w:r>
          </w:p>
        </w:tc>
      </w:tr>
    </w:tbl>
    <w:p w:rsidR="00000000" w:rsidRPr="00352C1C" w:rsidP="00352C1C">
      <w:pPr>
        <w:pStyle w:val="BodyText"/>
      </w:pPr>
    </w:p>
    <w:p w:rsidR="00000000" w:rsidRPr="00352C1C" w:rsidP="00352C1C">
      <w:pPr>
        <w:pStyle w:val="AllowPageBreak"/>
      </w:pPr>
    </w:p>
    <w:p w:rsidR="00000000" w:rsidRPr="00352C1C" w:rsidP="00352C1C">
      <w:pPr>
        <w:pStyle w:val="Heading1"/>
      </w:pPr>
      <w:bookmarkStart w:id="2" w:name="O_582040"/>
      <w:bookmarkEnd w:id="2"/>
      <w:r w:rsidRPr="00352C1C">
        <w:t>Application</w:t>
      </w:r>
    </w:p>
    <w:p w:rsidR="00000000" w:rsidRPr="00352C1C" w:rsidP="00E61CE1">
      <w:pPr>
        <w:pStyle w:val="BodyText"/>
      </w:pPr>
      <w:r w:rsidRPr="00352C1C">
        <w:t>This unit describes the performance outcomes, skills and knowledge required to oversee the installation of monuments by monumental stonemasons. It applies to cemetery and crematorium supervisory staff who ensure th</w:t>
      </w:r>
      <w:r w:rsidRPr="00352C1C">
        <w:t>at work is carried out according to work health and safety, relevant legislation and workplace policies and procedures.</w:t>
      </w:r>
    </w:p>
    <w:p w:rsidR="00000000" w:rsidRPr="00352C1C" w:rsidP="00E61CE1">
      <w:pPr>
        <w:pStyle w:val="BodyText"/>
      </w:pPr>
      <w:r w:rsidRPr="00352C1C">
        <w:t>No licensing, legislative or certification requirements apply to this unit at the time of publication.</w:t>
      </w:r>
    </w:p>
    <w:p w:rsidR="00000000" w:rsidRPr="00352C1C" w:rsidP="00352C1C">
      <w:pPr>
        <w:pStyle w:val="Heading1"/>
      </w:pPr>
      <w:bookmarkStart w:id="3" w:name="O_582039"/>
      <w:bookmarkEnd w:id="3"/>
      <w:r w:rsidRPr="00352C1C">
        <w:t>Competency Fiel</w:t>
      </w:r>
      <w:r w:rsidRPr="00352C1C">
        <w:t>d</w:t>
      </w:r>
    </w:p>
    <w:p w:rsidR="00000000" w:rsidRPr="00352C1C" w:rsidP="00E61CE1">
      <w:pPr>
        <w:pStyle w:val="BodyText"/>
      </w:pPr>
      <w:r w:rsidRPr="00352C1C">
        <w:t>Cemetery and Crematoria Administration and Coordination</w:t>
      </w:r>
    </w:p>
    <w:p w:rsidR="00000000" w:rsidRPr="00352C1C" w:rsidP="00352C1C">
      <w:pPr>
        <w:pStyle w:val="Heading1"/>
      </w:pPr>
      <w:bookmarkStart w:id="4" w:name="O_582038"/>
      <w:bookmarkEnd w:id="4"/>
      <w:r w:rsidRPr="00352C1C">
        <w:t>Unit Sector</w:t>
      </w:r>
    </w:p>
    <w:p w:rsidR="00000000" w:rsidRPr="00352C1C" w:rsidP="00E61CE1">
      <w:pPr>
        <w:pStyle w:val="BodyText"/>
      </w:pPr>
      <w:r w:rsidRPr="00352C1C">
        <w:t>Cemetery and Crematoria</w:t>
      </w:r>
    </w:p>
    <w:p w:rsidR="00000000" w:rsidRPr="00352C1C" w:rsidP="00352C1C">
      <w:pPr>
        <w:pStyle w:val="Heading1"/>
      </w:pPr>
      <w:bookmarkStart w:id="5" w:name="O_582037"/>
      <w:bookmarkEnd w:id="5"/>
      <w:r w:rsidRPr="00352C1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E61C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C1C" w:rsidP="00352C1C">
            <w:pPr>
              <w:pStyle w:val="BodyText"/>
            </w:pPr>
            <w:r w:rsidRPr="00352C1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C1C">
            <w:pPr>
              <w:pStyle w:val="BodyText"/>
              <w:rPr>
                <w:lang w:val="en-NZ"/>
              </w:rPr>
            </w:pPr>
            <w:r w:rsidRPr="00352C1C">
              <w:rPr>
                <w:rStyle w:val="SpecialBold"/>
              </w:rPr>
              <w:t>PERFORMANCE CRITERIA</w:t>
            </w:r>
          </w:p>
        </w:tc>
      </w:tr>
      <w:tr w:rsidTr="00E61C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C1C">
            <w:pPr>
              <w:pStyle w:val="BodyText"/>
              <w:rPr>
                <w:lang w:val="en-NZ"/>
              </w:rPr>
            </w:pPr>
            <w:r w:rsidRPr="00352C1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C1C">
            <w:pPr>
              <w:pStyle w:val="BodyText"/>
              <w:rPr>
                <w:lang w:val="en-NZ"/>
              </w:rPr>
            </w:pPr>
            <w:r w:rsidRPr="00352C1C">
              <w:t xml:space="preserve">Performance criteria </w:t>
            </w:r>
            <w:r w:rsidRPr="00352C1C">
              <w:t xml:space="preserve">describe the performance needed to demonstrate achievement of the element. </w:t>
            </w:r>
          </w:p>
        </w:tc>
      </w:tr>
      <w:tr w:rsidTr="00E61C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C1C">
            <w:pPr>
              <w:pStyle w:val="List"/>
              <w:rPr>
                <w:lang w:val="en-NZ"/>
              </w:rPr>
            </w:pPr>
            <w:r w:rsidRPr="00352C1C">
              <w:t>1.</w:t>
            </w:r>
            <w:r w:rsidRPr="00352C1C">
              <w:tab/>
              <w:t>Identify and confirm monument installation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C1C" w:rsidP="00352C1C">
            <w:pPr>
              <w:pStyle w:val="List"/>
            </w:pPr>
            <w:r w:rsidRPr="00352C1C">
              <w:t>1.1</w:t>
            </w:r>
            <w:r w:rsidRPr="00352C1C">
              <w:tab/>
              <w:t>Liaise with appropriate personnel to confirm monument installation requirements.</w:t>
            </w:r>
          </w:p>
          <w:p w:rsidR="00000000" w:rsidRPr="00352C1C" w:rsidP="00352C1C">
            <w:pPr>
              <w:pStyle w:val="List"/>
            </w:pPr>
            <w:r w:rsidRPr="00352C1C">
              <w:t>1.2</w:t>
            </w:r>
            <w:r w:rsidRPr="00352C1C">
              <w:tab/>
            </w:r>
            <w:r w:rsidRPr="00352C1C">
              <w:t xml:space="preserve">Advise relevant staff of relevant legislation and workplace policies and procedures for carrying </w:t>
            </w:r>
            <w:r w:rsidRPr="00352C1C">
              <w:t>out monument installation as required.</w:t>
            </w:r>
          </w:p>
          <w:p w:rsidR="00000000" w:rsidRPr="00352C1C" w:rsidP="00352C1C">
            <w:pPr>
              <w:pStyle w:val="List"/>
            </w:pPr>
            <w:r w:rsidRPr="00352C1C">
              <w:t>1.3</w:t>
            </w:r>
            <w:r w:rsidRPr="00352C1C">
              <w:tab/>
              <w:t>Issue permits for installation of monuments to stonemasons.</w:t>
            </w:r>
          </w:p>
          <w:p w:rsidR="00000000" w:rsidP="00352C1C">
            <w:pPr>
              <w:pStyle w:val="List"/>
              <w:rPr>
                <w:lang w:val="en-NZ"/>
              </w:rPr>
            </w:pPr>
          </w:p>
        </w:tc>
      </w:tr>
      <w:tr w:rsidTr="00E61C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C1C">
            <w:pPr>
              <w:pStyle w:val="List"/>
              <w:rPr>
                <w:lang w:val="en-NZ"/>
              </w:rPr>
            </w:pPr>
            <w:r w:rsidRPr="00352C1C">
              <w:t>2.</w:t>
            </w:r>
            <w:r w:rsidRPr="00352C1C">
              <w:tab/>
              <w:t>Oversee installation of monuments.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C1C" w:rsidP="00352C1C">
            <w:pPr>
              <w:pStyle w:val="List"/>
            </w:pPr>
            <w:r w:rsidRPr="00352C1C">
              <w:t>2.1</w:t>
            </w:r>
            <w:r w:rsidRPr="00352C1C">
              <w:tab/>
              <w:t>Monitor monu</w:t>
            </w:r>
            <w:r w:rsidRPr="00352C1C">
              <w:t>ment installations.</w:t>
            </w:r>
          </w:p>
          <w:p w:rsidR="00000000" w:rsidRPr="00352C1C" w:rsidP="00352C1C">
            <w:pPr>
              <w:pStyle w:val="List"/>
            </w:pPr>
            <w:r w:rsidRPr="00352C1C">
              <w:t>2.2</w:t>
            </w:r>
            <w:r w:rsidRPr="00352C1C">
              <w:tab/>
              <w:t>Liaise with monumental stonemasons using appropriate communication techniques.</w:t>
            </w:r>
          </w:p>
          <w:p w:rsidR="00000000" w:rsidRPr="00352C1C" w:rsidP="00352C1C">
            <w:pPr>
              <w:pStyle w:val="List"/>
            </w:pPr>
            <w:r w:rsidRPr="00352C1C">
              <w:t>2.3</w:t>
            </w:r>
            <w:r w:rsidRPr="00352C1C">
              <w:tab/>
              <w:t>Address problems that arise during and after monument installations and assist staff in their resolution as appropriate.</w:t>
            </w:r>
          </w:p>
          <w:p w:rsidR="00000000" w:rsidRPr="00352C1C" w:rsidP="00352C1C">
            <w:pPr>
              <w:pStyle w:val="List"/>
            </w:pPr>
            <w:r w:rsidRPr="00352C1C">
              <w:t>2.4</w:t>
            </w:r>
            <w:r w:rsidRPr="00352C1C">
              <w:tab/>
              <w:t xml:space="preserve">Recognise any potential </w:t>
            </w:r>
            <w:r w:rsidRPr="00352C1C">
              <w:t>or actual breaches of relevant legislation or workplace policies and procedures and take appropriate action.</w:t>
            </w:r>
          </w:p>
          <w:p w:rsidR="00000000" w:rsidRPr="00352C1C" w:rsidP="00352C1C">
            <w:pPr>
              <w:pStyle w:val="List"/>
            </w:pPr>
            <w:r w:rsidRPr="00352C1C">
              <w:t>2.5</w:t>
            </w:r>
            <w:r w:rsidRPr="00352C1C">
              <w:tab/>
              <w:t>Evaluate efficiency of operations for continuous improvement.</w:t>
            </w:r>
          </w:p>
          <w:p w:rsidR="00000000" w:rsidRPr="00352C1C" w:rsidP="00352C1C">
            <w:pPr>
              <w:pStyle w:val="List"/>
            </w:pPr>
          </w:p>
        </w:tc>
      </w:tr>
    </w:tbl>
    <w:p w:rsidR="00000000" w:rsidRPr="00352C1C" w:rsidP="00352C1C">
      <w:pPr>
        <w:pStyle w:val="BodyText"/>
      </w:pPr>
    </w:p>
    <w:p w:rsidR="00000000" w:rsidRPr="00352C1C" w:rsidP="00352C1C">
      <w:pPr>
        <w:pStyle w:val="AllowPageBreak"/>
      </w:pPr>
    </w:p>
    <w:p w:rsidR="00000000" w:rsidRPr="00352C1C" w:rsidP="00352C1C">
      <w:pPr>
        <w:pStyle w:val="Heading1"/>
      </w:pPr>
      <w:bookmarkStart w:id="6" w:name="O_582036"/>
      <w:bookmarkEnd w:id="6"/>
      <w:r w:rsidRPr="00352C1C">
        <w:t>Foundation Skills</w:t>
      </w:r>
    </w:p>
    <w:p w:rsidR="00000000" w:rsidRPr="00352C1C" w:rsidP="00E61CE1">
      <w:pPr>
        <w:pStyle w:val="BodyText"/>
      </w:pPr>
      <w:r w:rsidRPr="00352C1C">
        <w:t>This section describes those language, lite</w:t>
      </w:r>
      <w:r w:rsidRPr="00352C1C">
        <w:t>racy, numeracy and employment skills that are essential to performance.</w:t>
      </w:r>
    </w:p>
    <w:p w:rsidR="00000000" w:rsidRPr="00352C1C" w:rsidP="00E61CE1">
      <w:pPr>
        <w:pStyle w:val="BodyText"/>
      </w:pPr>
      <w:r w:rsidRPr="00352C1C">
        <w:t>Foundation skills essential to performance are explicit in the performance criteria of this unit of competency.</w:t>
      </w:r>
    </w:p>
    <w:p w:rsidR="00000000" w:rsidRPr="00352C1C" w:rsidP="00352C1C">
      <w:pPr>
        <w:pStyle w:val="Heading1"/>
      </w:pPr>
      <w:bookmarkStart w:id="7" w:name="O_582035"/>
      <w:bookmarkEnd w:id="7"/>
      <w:r w:rsidRPr="00352C1C">
        <w:t>Unit Mapping Information</w:t>
      </w:r>
    </w:p>
    <w:p w:rsidR="00000000" w:rsidRPr="00352C1C" w:rsidP="00E61CE1">
      <w:pPr>
        <w:pStyle w:val="BodyText"/>
      </w:pPr>
      <w:r w:rsidRPr="00352C1C">
        <w:t>SIFBCR022A Coordinate monument installation.</w:t>
      </w:r>
    </w:p>
    <w:p w:rsidR="00000000" w:rsidRPr="00352C1C" w:rsidP="00352C1C">
      <w:pPr>
        <w:pStyle w:val="Heading1"/>
      </w:pPr>
      <w:bookmarkStart w:id="8" w:name="O_582042"/>
      <w:bookmarkEnd w:id="8"/>
      <w:r w:rsidRPr="00352C1C">
        <w:t>Links</w:t>
      </w:r>
    </w:p>
    <w:p w:rsidR="00000000" w:rsidRPr="00352C1C" w:rsidP="00E61CE1">
      <w:pPr>
        <w:pStyle w:val="BodyText"/>
      </w:pPr>
      <w:r w:rsidRPr="00352C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B0531C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352C1C" w:rsidP="00E61CE1">
      <w:pPr>
        <w:pStyle w:val="BodyText"/>
        <w:sectPr w:rsidSect="00352C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2C1C" w:rsidP="00352C1C">
      <w:pPr>
        <w:pStyle w:val="SuperHeading"/>
      </w:pPr>
      <w:r w:rsidRPr="00352C1C">
        <w:t>Assessment Requirements for SIFCCAC009 Coordinate monument installations</w:t>
      </w:r>
    </w:p>
    <w:p w:rsidR="00000000" w:rsidRPr="00352C1C" w:rsidP="00352C1C">
      <w:pPr>
        <w:pStyle w:val="Heading1"/>
      </w:pPr>
      <w:bookmarkStart w:id="9" w:name="O_582032"/>
      <w:bookmarkEnd w:id="9"/>
      <w:r w:rsidRPr="00352C1C">
        <w:t>Modification History</w:t>
      </w:r>
    </w:p>
    <w:p w:rsidR="00000000" w:rsidRPr="00352C1C" w:rsidP="00E61CE1">
      <w:pPr>
        <w:pStyle w:val="BodyText"/>
      </w:pPr>
      <w:r w:rsidRPr="00352C1C">
        <w:t>The details of this endorsed unit are in the table below. The latest information is at the top.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13"/>
        <w:gridCol w:w="4621"/>
      </w:tblGrid>
      <w:tr w:rsidTr="00352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C1C" w:rsidP="00352C1C">
            <w:pPr>
              <w:pStyle w:val="BodyText"/>
            </w:pPr>
            <w:r w:rsidRPr="00352C1C">
              <w:rPr>
                <w:rStyle w:val="SpecialBold"/>
              </w:rPr>
              <w:t>Release</w:t>
            </w:r>
          </w:p>
        </w:tc>
        <w:tc>
          <w:tcPr>
            <w:tcW w:w="4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C1C">
            <w:pPr>
              <w:pStyle w:val="BodyText"/>
              <w:rPr>
                <w:lang w:val="en-NZ"/>
              </w:rPr>
            </w:pPr>
            <w:r w:rsidRPr="00352C1C">
              <w:rPr>
                <w:rStyle w:val="SpecialBold"/>
              </w:rPr>
              <w:t>Comments</w:t>
            </w:r>
          </w:p>
        </w:tc>
      </w:tr>
      <w:tr w:rsidTr="00352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C1C">
            <w:pPr>
              <w:pStyle w:val="BodyText"/>
              <w:rPr>
                <w:lang w:val="en-NZ"/>
              </w:rPr>
            </w:pPr>
            <w:r w:rsidRPr="00352C1C">
              <w:t>Two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C1C">
            <w:pPr>
              <w:pStyle w:val="BodyText"/>
              <w:rPr>
                <w:lang w:val="en-NZ"/>
              </w:rPr>
            </w:pPr>
            <w:r w:rsidRPr="00352C1C">
              <w:t>Grammatical error corre</w:t>
            </w:r>
            <w:r w:rsidRPr="00352C1C">
              <w:t>cted in the Performance Evidence.</w:t>
            </w:r>
          </w:p>
        </w:tc>
      </w:tr>
      <w:tr w:rsidTr="00352C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C1C">
            <w:pPr>
              <w:pStyle w:val="BodyText"/>
              <w:rPr>
                <w:lang w:val="en-NZ"/>
              </w:rPr>
            </w:pPr>
            <w:r w:rsidRPr="00352C1C">
              <w:t>One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C1C" w:rsidP="00352C1C">
            <w:pPr>
              <w:pStyle w:val="BodyText"/>
            </w:pPr>
            <w:r w:rsidRPr="00352C1C">
              <w:t xml:space="preserve"> Reflects the Standards for Training Packages.</w:t>
            </w:r>
          </w:p>
        </w:tc>
      </w:tr>
    </w:tbl>
    <w:p w:rsidR="00000000" w:rsidRPr="00352C1C" w:rsidP="00352C1C">
      <w:pPr>
        <w:pStyle w:val="BodyText"/>
      </w:pPr>
    </w:p>
    <w:p w:rsidR="00000000" w:rsidRPr="00352C1C" w:rsidP="00352C1C">
      <w:pPr>
        <w:pStyle w:val="AllowPageBreak"/>
      </w:pPr>
    </w:p>
    <w:p w:rsidR="00000000" w:rsidRPr="00352C1C" w:rsidP="00352C1C">
      <w:pPr>
        <w:pStyle w:val="Heading1"/>
      </w:pPr>
      <w:bookmarkStart w:id="10" w:name="O_582031"/>
      <w:bookmarkEnd w:id="10"/>
      <w:r w:rsidRPr="00352C1C">
        <w:t>Performance Evidence</w:t>
      </w:r>
    </w:p>
    <w:p w:rsidR="00000000" w:rsidRPr="00352C1C" w:rsidP="00E61CE1">
      <w:pPr>
        <w:pStyle w:val="BodyText"/>
      </w:pPr>
      <w:r w:rsidRPr="00352C1C">
        <w:t>Evidence of the ability to:</w:t>
      </w:r>
    </w:p>
    <w:p w:rsidR="00000000" w:rsidRPr="00352C1C" w:rsidP="00352C1C">
      <w:pPr>
        <w:pStyle w:val="ListBullet"/>
      </w:pPr>
      <w:r w:rsidRPr="00352C1C">
        <w:t>determine and communicate work requirements to monumental stonemasons, including workplace policies and procedures, and relevant legislation</w:t>
      </w:r>
    </w:p>
    <w:p w:rsidR="00000000" w:rsidRPr="00352C1C" w:rsidP="00352C1C">
      <w:pPr>
        <w:pStyle w:val="ListBullet"/>
      </w:pPr>
      <w:r w:rsidRPr="00352C1C">
        <w:t>apply clear and accurate communication with colleagues</w:t>
      </w:r>
    </w:p>
    <w:p w:rsidR="00000000" w:rsidRPr="00352C1C" w:rsidP="00352C1C">
      <w:pPr>
        <w:pStyle w:val="ListBullet"/>
      </w:pPr>
      <w:r w:rsidRPr="00352C1C">
        <w:t>supervise the safe and efficient installation of monuments.</w:t>
      </w:r>
    </w:p>
    <w:p w:rsidR="00000000" w:rsidRPr="00352C1C" w:rsidP="00352C1C">
      <w:pPr>
        <w:pStyle w:val="BodyText"/>
      </w:pPr>
    </w:p>
    <w:p w:rsidR="00000000" w:rsidRPr="00352C1C" w:rsidP="00E61CE1">
      <w:pPr>
        <w:pStyle w:val="BodyText"/>
      </w:pPr>
      <w:r w:rsidRPr="00352C1C">
        <w:t>Evidence of performance of coordinating installations of five or more monuments is required to demonstrate consistency of performance and ability to respond to different situations.</w:t>
      </w:r>
    </w:p>
    <w:p w:rsidR="00000000" w:rsidRPr="00352C1C" w:rsidP="00352C1C">
      <w:pPr>
        <w:pStyle w:val="Heading1"/>
      </w:pPr>
      <w:bookmarkStart w:id="11" w:name="O_582030"/>
      <w:bookmarkEnd w:id="11"/>
      <w:r w:rsidRPr="00352C1C">
        <w:t>Knowledge Evidence</w:t>
      </w:r>
    </w:p>
    <w:p w:rsidR="00000000" w:rsidRPr="00352C1C" w:rsidP="00E61CE1">
      <w:pPr>
        <w:pStyle w:val="BodyText"/>
      </w:pPr>
      <w:r w:rsidRPr="00352C1C">
        <w:t>Demonstrated knowledge of:</w:t>
      </w:r>
    </w:p>
    <w:p w:rsidR="00000000" w:rsidRPr="00352C1C" w:rsidP="00352C1C">
      <w:pPr>
        <w:pStyle w:val="ListBullet"/>
      </w:pPr>
      <w:r w:rsidRPr="00352C1C">
        <w:t xml:space="preserve">monument </w:t>
      </w:r>
      <w:r w:rsidRPr="00352C1C">
        <w:t>installation procedures</w:t>
      </w:r>
    </w:p>
    <w:p w:rsidR="00000000" w:rsidRPr="00352C1C" w:rsidP="00352C1C">
      <w:pPr>
        <w:pStyle w:val="ListBullet"/>
      </w:pPr>
      <w:r w:rsidRPr="00352C1C">
        <w:t>roles and responsibilities of stonemason and other personnel associated with monument installations</w:t>
      </w:r>
    </w:p>
    <w:p w:rsidR="00000000" w:rsidRPr="00352C1C" w:rsidP="00352C1C">
      <w:pPr>
        <w:pStyle w:val="ListBullet"/>
      </w:pPr>
      <w:r w:rsidRPr="00352C1C">
        <w:t>federal, state or territory, and local government legislation and regulations relating to work health and safety/occupational health</w:t>
      </w:r>
      <w:r w:rsidRPr="00352C1C">
        <w:t xml:space="preserve"> and safety and monument installation</w:t>
      </w:r>
    </w:p>
    <w:p w:rsidR="00000000" w:rsidRPr="00352C1C" w:rsidP="00352C1C">
      <w:pPr>
        <w:pStyle w:val="ListBullet"/>
      </w:pPr>
      <w:r w:rsidRPr="00352C1C">
        <w:t xml:space="preserve">workplace policies and procedures regarding installation of monuments </w:t>
      </w:r>
    </w:p>
    <w:p w:rsidR="00000000" w:rsidRPr="00352C1C" w:rsidP="00352C1C">
      <w:pPr>
        <w:pStyle w:val="ListBullet"/>
      </w:pPr>
      <w:r w:rsidRPr="00352C1C">
        <w:t>monument installations requirements, including:</w:t>
      </w:r>
    </w:p>
    <w:p w:rsidR="00000000" w:rsidRPr="00352C1C" w:rsidP="00352C1C">
      <w:pPr>
        <w:pStyle w:val="ListBullet2"/>
      </w:pPr>
      <w:r w:rsidRPr="00352C1C">
        <w:t>location of monument</w:t>
      </w:r>
    </w:p>
    <w:p w:rsidR="00000000" w:rsidRPr="00352C1C" w:rsidP="00352C1C">
      <w:pPr>
        <w:pStyle w:val="ListBullet2"/>
      </w:pPr>
      <w:r w:rsidRPr="00352C1C">
        <w:t>timeframe of installation</w:t>
      </w:r>
    </w:p>
    <w:p w:rsidR="00000000" w:rsidRPr="00352C1C" w:rsidP="00352C1C">
      <w:pPr>
        <w:pStyle w:val="ListBullet2"/>
      </w:pPr>
      <w:r w:rsidRPr="00352C1C">
        <w:t xml:space="preserve">installation procedures, including: </w:t>
      </w:r>
    </w:p>
    <w:p w:rsidR="00000000" w:rsidRPr="00352C1C" w:rsidP="00352C1C">
      <w:pPr>
        <w:pStyle w:val="ListBullet3"/>
      </w:pPr>
      <w:r w:rsidRPr="00352C1C">
        <w:t>size and design of monument</w:t>
      </w:r>
    </w:p>
    <w:p w:rsidR="00000000" w:rsidRPr="00352C1C" w:rsidP="00352C1C">
      <w:pPr>
        <w:pStyle w:val="ListBullet3"/>
      </w:pPr>
      <w:r w:rsidRPr="00352C1C">
        <w:t>selection of material used</w:t>
      </w:r>
    </w:p>
    <w:p w:rsidR="00000000" w:rsidRPr="00352C1C" w:rsidP="00352C1C">
      <w:pPr>
        <w:pStyle w:val="ListBullet2"/>
      </w:pPr>
      <w:r w:rsidRPr="00352C1C">
        <w:t>engineering specifications</w:t>
      </w:r>
    </w:p>
    <w:p w:rsidR="00000000" w:rsidRPr="00352C1C" w:rsidP="00352C1C">
      <w:pPr>
        <w:pStyle w:val="ListBullet"/>
      </w:pPr>
      <w:r w:rsidRPr="00352C1C">
        <w:t>strategies for addressing potential or actual breaches including:</w:t>
      </w:r>
    </w:p>
    <w:p w:rsidR="00000000" w:rsidRPr="00352C1C" w:rsidP="00352C1C">
      <w:pPr>
        <w:pStyle w:val="ListBullet2"/>
      </w:pPr>
      <w:r w:rsidRPr="00352C1C">
        <w:t>inappropriate staff behaviour</w:t>
      </w:r>
    </w:p>
    <w:p w:rsidR="00000000" w:rsidRPr="00352C1C" w:rsidP="00352C1C">
      <w:pPr>
        <w:pStyle w:val="ListBullet2"/>
      </w:pPr>
      <w:r w:rsidRPr="00352C1C">
        <w:t>inefficient work performance</w:t>
      </w:r>
    </w:p>
    <w:p w:rsidR="00000000" w:rsidRPr="00352C1C" w:rsidP="00352C1C">
      <w:pPr>
        <w:pStyle w:val="ListBullet"/>
      </w:pPr>
      <w:r w:rsidRPr="00352C1C">
        <w:t>unsafe work practices.</w:t>
      </w:r>
    </w:p>
    <w:p w:rsidR="00000000" w:rsidRPr="00352C1C" w:rsidP="00352C1C">
      <w:pPr>
        <w:pStyle w:val="AllowPageBreak"/>
      </w:pPr>
    </w:p>
    <w:p w:rsidR="00000000" w:rsidRPr="00352C1C" w:rsidP="00352C1C">
      <w:pPr>
        <w:pStyle w:val="Heading1"/>
      </w:pPr>
      <w:bookmarkStart w:id="12" w:name="O_582029"/>
      <w:bookmarkEnd w:id="12"/>
      <w:r w:rsidRPr="00352C1C">
        <w:t>Assessment Conditions</w:t>
      </w:r>
    </w:p>
    <w:p w:rsidR="00000000" w:rsidRPr="00352C1C" w:rsidP="00E61CE1">
      <w:pPr>
        <w:pStyle w:val="BodyText"/>
      </w:pPr>
      <w:r w:rsidRPr="00352C1C">
        <w:t>Skills must be demonstrated in a cemetery or crematorium workplace:</w:t>
      </w:r>
    </w:p>
    <w:p w:rsidR="00000000" w:rsidRPr="00352C1C" w:rsidP="00352C1C">
      <w:pPr>
        <w:pStyle w:val="ListBullet"/>
      </w:pPr>
      <w:r w:rsidRPr="00352C1C">
        <w:t>using suitable equipment and resources, including:</w:t>
      </w:r>
    </w:p>
    <w:p w:rsidR="00000000" w:rsidRPr="00352C1C" w:rsidP="00352C1C">
      <w:pPr>
        <w:pStyle w:val="ListBullet2"/>
      </w:pPr>
      <w:r w:rsidRPr="00352C1C">
        <w:t>personal protective equipment</w:t>
      </w:r>
    </w:p>
    <w:p w:rsidR="00000000" w:rsidRPr="00352C1C" w:rsidP="00352C1C">
      <w:pPr>
        <w:pStyle w:val="ListBullet2"/>
      </w:pPr>
      <w:r w:rsidRPr="00352C1C">
        <w:t>work permits</w:t>
      </w:r>
    </w:p>
    <w:p w:rsidR="00000000" w:rsidRPr="00352C1C" w:rsidP="00352C1C">
      <w:pPr>
        <w:pStyle w:val="ListBullet"/>
      </w:pPr>
      <w:r w:rsidRPr="00352C1C">
        <w:t>under industry operating conditions where there is:</w:t>
      </w:r>
    </w:p>
    <w:p w:rsidR="00000000" w:rsidRPr="00352C1C" w:rsidP="00352C1C">
      <w:pPr>
        <w:pStyle w:val="ListBullet2"/>
      </w:pPr>
      <w:r w:rsidRPr="00352C1C">
        <w:t>integration of t</w:t>
      </w:r>
      <w:r w:rsidRPr="00352C1C">
        <w:t xml:space="preserve">asks with possible interruptions to work typical of the job role </w:t>
      </w:r>
    </w:p>
    <w:p w:rsidR="00000000" w:rsidRPr="00352C1C" w:rsidP="00352C1C">
      <w:pPr>
        <w:pStyle w:val="ListBullet2"/>
      </w:pPr>
      <w:r w:rsidRPr="00352C1C">
        <w:t xml:space="preserve">speed and timing requirements that reflect commercial operating conditions </w:t>
      </w:r>
    </w:p>
    <w:p w:rsidR="00000000" w:rsidRPr="00352C1C" w:rsidP="00352C1C">
      <w:pPr>
        <w:pStyle w:val="ListBullet2"/>
      </w:pPr>
      <w:r w:rsidRPr="00352C1C">
        <w:t>interaction with relevant personnel</w:t>
      </w:r>
    </w:p>
    <w:p w:rsidR="00000000" w:rsidRPr="00352C1C" w:rsidP="00352C1C">
      <w:pPr>
        <w:pStyle w:val="BodyText"/>
      </w:pPr>
    </w:p>
    <w:p w:rsidR="00000000" w:rsidRPr="00352C1C" w:rsidP="00E61CE1">
      <w:pPr>
        <w:pStyle w:val="BodyText"/>
      </w:pPr>
      <w:r w:rsidRPr="00352C1C">
        <w:t>Assessors must satisfy the NVR/AQTF mandatory competency requirements for assessors.</w:t>
      </w:r>
    </w:p>
    <w:p w:rsidR="00000000" w:rsidRPr="00352C1C" w:rsidP="00352C1C">
      <w:pPr>
        <w:pStyle w:val="Heading1"/>
      </w:pPr>
      <w:bookmarkStart w:id="13" w:name="O_582033"/>
      <w:bookmarkEnd w:id="13"/>
      <w:r w:rsidRPr="00352C1C">
        <w:t>Links</w:t>
      </w:r>
    </w:p>
    <w:p w:rsidR="00000000" w:rsidRPr="00352C1C" w:rsidP="00E61CE1">
      <w:pPr>
        <w:pStyle w:val="BodyText"/>
      </w:pPr>
      <w:r w:rsidRPr="00352C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B0531C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352C1C" w:rsidP="00352C1C"/>
    <w:sectPr w:rsidSect="00352C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C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C1C" w:rsidRPr="00E61CE1" w:rsidP="00E61C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C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E1" w:rsidP="00352C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1CE1" w:rsidP="00352C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61CE1" w:rsidP="00352C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C1C" w:rsidP="00352C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1CE1">
      <w:t>Approved</w:t>
    </w:r>
    <w:r w:rsidR="00E61C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1CE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1CE1">
      <w:rPr>
        <w:noProof/>
      </w:rPr>
      <w:t>4</w:t>
    </w:r>
    <w:r>
      <w:rPr>
        <w:noProof/>
      </w:rPr>
      <w:fldChar w:fldCharType="end"/>
    </w:r>
  </w:p>
  <w:p w:rsidR="00352C1C" w:rsidP="00352C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1C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1CE1">
      <w:t>Service and Creative Skills Australia</w:t>
    </w:r>
    <w:r w:rsidR="00E61CE1">
      <w:fldChar w:fldCharType="end"/>
    </w:r>
  </w:p>
  <w:p w:rsidR="00352C1C" w:rsidP="00352C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C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2C1C" w:rsidRPr="00E61CE1" w:rsidP="00E61C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C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E1" w:rsidRPr="002D2AF8" w:rsidP="00352C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SIFCCAC009 Coordinate monument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1CE1" w:rsidP="00352C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C1C" w:rsidRPr="002D2AF8" w:rsidP="00352C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1CE1">
      <w:t>SIFCCAC009 Coordinate monument installations</w:t>
    </w:r>
    <w:r w:rsidR="00E61C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1CE1">
      <w:rPr>
        <w:noProof/>
      </w:rPr>
      <w:t>2 March 2025</w:t>
    </w:r>
    <w:r>
      <w:fldChar w:fldCharType="end"/>
    </w:r>
  </w:p>
  <w:p w:rsidR="00352C1C" w:rsidP="00352C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881C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1628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C8F4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C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2C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2C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2C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2C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2C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2C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2C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2C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2C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2C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2C1C"/>
  </w:style>
  <w:style w:type="character" w:customStyle="1" w:styleId="Heading1Char">
    <w:name w:val="Heading 1 Char"/>
    <w:basedOn w:val="DefaultParagraphFont"/>
    <w:link w:val="Heading1"/>
    <w:rsid w:val="00352C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2C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2C1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2C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2C1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2C1C"/>
    <w:rPr>
      <w:b/>
      <w:spacing w:val="0"/>
    </w:rPr>
  </w:style>
  <w:style w:type="paragraph" w:styleId="ListBullet2">
    <w:name w:val="List Bullet 2"/>
    <w:basedOn w:val="List2"/>
    <w:rsid w:val="00352C1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2C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2C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52C1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52C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2C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2C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2C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2C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2C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2C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2C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2C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2C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2C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2C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2C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2C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2C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2C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2C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2C1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52C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2C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2C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2C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2C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2C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2C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2C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2C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2C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2C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2C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2C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2C1C"/>
    <w:rPr>
      <w:i/>
    </w:rPr>
  </w:style>
  <w:style w:type="paragraph" w:styleId="Caption">
    <w:name w:val="caption"/>
    <w:basedOn w:val="BodyText"/>
    <w:next w:val="Normal"/>
    <w:qFormat/>
    <w:rsid w:val="00352C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2C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2C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2C1C"/>
  </w:style>
  <w:style w:type="paragraph" w:styleId="TableofFigures">
    <w:name w:val="table of figures"/>
    <w:basedOn w:val="Normal"/>
    <w:next w:val="Normal"/>
    <w:semiHidden/>
    <w:rsid w:val="00352C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2C1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52C1C"/>
    <w:rPr>
      <w:rFonts w:ascii="Wingdings" w:hAnsi="Wingdings"/>
    </w:rPr>
  </w:style>
  <w:style w:type="paragraph" w:customStyle="1" w:styleId="TableHeading">
    <w:name w:val="Table Heading"/>
    <w:basedOn w:val="HeadingBase"/>
    <w:rsid w:val="00352C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2C1C"/>
    <w:rPr>
      <w:color w:val="0033CC"/>
      <w:u w:val="none"/>
    </w:rPr>
  </w:style>
  <w:style w:type="paragraph" w:customStyle="1" w:styleId="BodyTextRight">
    <w:name w:val="Body Text Right"/>
    <w:basedOn w:val="BodyText"/>
    <w:rsid w:val="00352C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2C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2C1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2C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2C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2C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2C1C"/>
    <w:rPr>
      <w:sz w:val="32"/>
    </w:rPr>
  </w:style>
  <w:style w:type="paragraph" w:customStyle="1" w:styleId="HeadingProcedure">
    <w:name w:val="Heading Procedure"/>
    <w:basedOn w:val="HeadingBase"/>
    <w:next w:val="Normal"/>
    <w:rsid w:val="00352C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2C1C"/>
    <w:pPr>
      <w:spacing w:before="60" w:after="60"/>
    </w:pPr>
  </w:style>
  <w:style w:type="paragraph" w:styleId="ListContinue">
    <w:name w:val="List Continue"/>
    <w:basedOn w:val="List"/>
    <w:rsid w:val="00352C1C"/>
    <w:pPr>
      <w:ind w:firstLine="0"/>
    </w:pPr>
  </w:style>
  <w:style w:type="paragraph" w:customStyle="1" w:styleId="ListNote">
    <w:name w:val="List Note"/>
    <w:basedOn w:val="List"/>
    <w:rsid w:val="00352C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2C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2C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2C1C"/>
    <w:rPr>
      <w:rFonts w:ascii="Courier New" w:hAnsi="Courier New"/>
    </w:rPr>
  </w:style>
  <w:style w:type="paragraph" w:customStyle="1" w:styleId="NoteBullet">
    <w:name w:val="Note Bullet"/>
    <w:basedOn w:val="Note"/>
    <w:rsid w:val="00352C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2C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2C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2C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2C1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52C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2C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2C1C"/>
    <w:rPr>
      <w:b/>
      <w:smallCaps/>
    </w:rPr>
  </w:style>
  <w:style w:type="paragraph" w:customStyle="1" w:styleId="TableListNumber">
    <w:name w:val="Table List Number"/>
    <w:basedOn w:val="ListNumber"/>
    <w:rsid w:val="00352C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2C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2C1C"/>
    <w:pPr>
      <w:numPr>
        <w:numId w:val="10"/>
      </w:numPr>
    </w:pPr>
  </w:style>
  <w:style w:type="paragraph" w:customStyle="1" w:styleId="ListAlpha2">
    <w:name w:val="List Alpha 2"/>
    <w:basedOn w:val="List2"/>
    <w:rsid w:val="00352C1C"/>
    <w:pPr>
      <w:numPr>
        <w:numId w:val="9"/>
      </w:numPr>
    </w:pPr>
  </w:style>
  <w:style w:type="paragraph" w:styleId="List2">
    <w:name w:val="List 2"/>
    <w:basedOn w:val="BodyText"/>
    <w:rsid w:val="00352C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2C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2C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2C1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52C1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52C1C"/>
    <w:pPr>
      <w:numPr>
        <w:numId w:val="5"/>
      </w:numPr>
    </w:pPr>
  </w:style>
  <w:style w:type="paragraph" w:styleId="ListContinue2">
    <w:name w:val="List Continue 2"/>
    <w:basedOn w:val="List2"/>
    <w:rsid w:val="00352C1C"/>
    <w:pPr>
      <w:ind w:firstLine="0"/>
    </w:pPr>
  </w:style>
  <w:style w:type="paragraph" w:styleId="ListContinue3">
    <w:name w:val="List Continue 3"/>
    <w:basedOn w:val="List3"/>
    <w:rsid w:val="00352C1C"/>
    <w:pPr>
      <w:ind w:left="1021" w:firstLine="0"/>
    </w:pPr>
  </w:style>
  <w:style w:type="paragraph" w:styleId="ListContinue4">
    <w:name w:val="List Continue 4"/>
    <w:basedOn w:val="List4"/>
    <w:rsid w:val="00352C1C"/>
    <w:pPr>
      <w:ind w:firstLine="0"/>
    </w:pPr>
  </w:style>
  <w:style w:type="paragraph" w:styleId="ListContinue5">
    <w:name w:val="List Continue 5"/>
    <w:basedOn w:val="List5"/>
    <w:rsid w:val="00352C1C"/>
    <w:pPr>
      <w:ind w:firstLine="0"/>
    </w:pPr>
  </w:style>
  <w:style w:type="paragraph" w:styleId="ListNumber3">
    <w:name w:val="List Number 3"/>
    <w:basedOn w:val="List3"/>
    <w:rsid w:val="00352C1C"/>
    <w:pPr>
      <w:numPr>
        <w:numId w:val="6"/>
      </w:numPr>
    </w:pPr>
  </w:style>
  <w:style w:type="paragraph" w:styleId="ListNumber4">
    <w:name w:val="List Number 4"/>
    <w:basedOn w:val="List4"/>
    <w:rsid w:val="00352C1C"/>
    <w:pPr>
      <w:numPr>
        <w:numId w:val="7"/>
      </w:numPr>
    </w:pPr>
  </w:style>
  <w:style w:type="paragraph" w:styleId="ListNumber5">
    <w:name w:val="List Number 5"/>
    <w:basedOn w:val="List5"/>
    <w:rsid w:val="00352C1C"/>
    <w:pPr>
      <w:numPr>
        <w:numId w:val="8"/>
      </w:numPr>
    </w:pPr>
  </w:style>
  <w:style w:type="paragraph" w:styleId="BlockText">
    <w:name w:val="Block Text"/>
    <w:basedOn w:val="Normal"/>
    <w:rsid w:val="00352C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2C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2C1C"/>
    <w:rPr>
      <w:sz w:val="16"/>
      <w:vertAlign w:val="superscript"/>
    </w:rPr>
  </w:style>
  <w:style w:type="character" w:customStyle="1" w:styleId="Symbols">
    <w:name w:val="Symbols"/>
    <w:basedOn w:val="DefaultParagraphFont"/>
    <w:rsid w:val="00352C1C"/>
    <w:rPr>
      <w:rFonts w:ascii="Symbol" w:hAnsi="Symbol"/>
    </w:rPr>
  </w:style>
  <w:style w:type="character" w:customStyle="1" w:styleId="MenuOptions">
    <w:name w:val="Menu Options"/>
    <w:basedOn w:val="DefaultParagraphFont"/>
    <w:rsid w:val="00352C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2C1C"/>
    <w:rPr>
      <w:b/>
    </w:rPr>
  </w:style>
  <w:style w:type="character" w:customStyle="1" w:styleId="Underlined">
    <w:name w:val="Underlined"/>
    <w:basedOn w:val="DefaultParagraphFont"/>
    <w:rsid w:val="00352C1C"/>
    <w:rPr>
      <w:u w:val="single"/>
    </w:rPr>
  </w:style>
  <w:style w:type="paragraph" w:customStyle="1" w:styleId="TableBodyTextRight">
    <w:name w:val="Table Body Text Right"/>
    <w:basedOn w:val="TableBodyText"/>
    <w:rsid w:val="00352C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2C1C"/>
    <w:rPr>
      <w:sz w:val="18"/>
    </w:rPr>
  </w:style>
  <w:style w:type="paragraph" w:customStyle="1" w:styleId="BodySmallRight">
    <w:name w:val="Body Small Right"/>
    <w:basedOn w:val="BodyTextRight"/>
    <w:rsid w:val="00352C1C"/>
    <w:rPr>
      <w:sz w:val="18"/>
      <w:szCs w:val="18"/>
    </w:rPr>
  </w:style>
  <w:style w:type="paragraph" w:customStyle="1" w:styleId="MarginEdition">
    <w:name w:val="Margin Edition"/>
    <w:basedOn w:val="MarginNote"/>
    <w:rsid w:val="00352C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2C1C"/>
    <w:rPr>
      <w:sz w:val="2"/>
      <w:szCs w:val="2"/>
    </w:rPr>
  </w:style>
  <w:style w:type="character" w:customStyle="1" w:styleId="Small">
    <w:name w:val="Small"/>
    <w:basedOn w:val="DefaultParagraphFont"/>
    <w:rsid w:val="00352C1C"/>
    <w:rPr>
      <w:sz w:val="16"/>
    </w:rPr>
  </w:style>
  <w:style w:type="paragraph" w:customStyle="1" w:styleId="WideTable">
    <w:name w:val="Wide Table"/>
    <w:basedOn w:val="Normal"/>
    <w:rsid w:val="00352C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2C1C"/>
  </w:style>
  <w:style w:type="paragraph" w:styleId="Quote">
    <w:name w:val="Quote"/>
    <w:basedOn w:val="Heading1"/>
    <w:link w:val="QuoteChar"/>
    <w:qFormat/>
    <w:rsid w:val="00352C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2C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2C1C"/>
    <w:pPr>
      <w:pageBreakBefore/>
    </w:pPr>
  </w:style>
  <w:style w:type="paragraph" w:customStyle="1" w:styleId="Border">
    <w:name w:val="Border"/>
    <w:basedOn w:val="Normal"/>
    <w:qFormat/>
    <w:rsid w:val="00352C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2C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C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C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2C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2C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2C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2C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2C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2C1C"/>
    <w:rPr>
      <w:u w:val="single"/>
    </w:rPr>
  </w:style>
  <w:style w:type="character" w:customStyle="1" w:styleId="BoldandItalics">
    <w:name w:val="Bold and Italics"/>
    <w:qFormat/>
    <w:rsid w:val="00352C1C"/>
    <w:rPr>
      <w:b/>
      <w:i/>
      <w:u w:val="none"/>
    </w:rPr>
  </w:style>
  <w:style w:type="paragraph" w:styleId="BalloonText">
    <w:name w:val="Balloon Text"/>
    <w:basedOn w:val="Normal"/>
    <w:link w:val="BalloonTextChar"/>
    <w:rsid w:val="00352C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2C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2C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2C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2C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2C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2C1C"/>
    <w:pPr>
      <w:spacing w:before="0" w:after="0"/>
    </w:pPr>
  </w:style>
  <w:style w:type="paragraph" w:customStyle="1" w:styleId="BodyTextBold">
    <w:name w:val="Body Text Bold"/>
    <w:basedOn w:val="BodyText"/>
    <w:qFormat/>
    <w:rsid w:val="00352C1C"/>
    <w:rPr>
      <w:b/>
    </w:rPr>
  </w:style>
  <w:style w:type="character" w:styleId="Hyperlink">
    <w:name w:val="Hyperlink"/>
    <w:basedOn w:val="DefaultParagraphFont"/>
    <w:uiPriority w:val="99"/>
    <w:unhideWhenUsed/>
    <w:rsid w:val="00E61C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617</Words>
  <Characters>4353</Characters>
  <Application>Microsoft Office Word</Application>
  <DocSecurity>0</DocSecurity>
  <Lines>145</Lines>
  <Paragraphs>101</Paragraphs>
  <ScaleCrop>false</ScaleCrop>
  <Company>Author-it Software Corporation Ltd.</Company>
  <LinksUpToDate>false</LinksUpToDate>
  <CharactersWithSpaces>4869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SIFCCAC009 Coordinate monument installations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2025-03-01T17:05:00Z</dcterms:created>
  <dcterms:modified xsi:type="dcterms:W3CDTF">2025-03-01T17:05:00Z</dcterms:modified>
</cp:coreProperties>
</file>