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17A2" w:rsidP="00F717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SIFCCAC002 Schedule burials or cremations</w:t>
      </w:r>
      <w:r>
        <w:fldChar w:fldCharType="end"/>
      </w:r>
    </w:p>
    <w:p w:rsidR="00F717A2" w:rsidP="00F717A2">
      <w:pPr>
        <w:pStyle w:val="Version"/>
        <w:sectPr w:rsidSect="00A92E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2EFF" w:rsidP="00A92EFF">
      <w:pPr>
        <w:pStyle w:val="SuperHeading"/>
      </w:pPr>
      <w:r w:rsidRPr="00A92EFF">
        <w:t>Assessment Requirements for SIFCCAC002 Schedule burials or cremations</w:t>
      </w:r>
    </w:p>
    <w:p w:rsidR="00000000" w:rsidRPr="00A92EFF" w:rsidP="00A92EFF">
      <w:pPr>
        <w:pStyle w:val="Heading1"/>
      </w:pPr>
      <w:bookmarkStart w:id="1" w:name="O_571389"/>
      <w:bookmarkEnd w:id="1"/>
      <w:r w:rsidRPr="00A92EFF">
        <w:t>Modification History</w:t>
      </w:r>
    </w:p>
    <w:p w:rsidR="00000000" w:rsidRPr="00A92EFF" w:rsidP="00A92EFF">
      <w:pPr>
        <w:pStyle w:val="BodyText"/>
      </w:pPr>
      <w:r w:rsidRPr="00A92EFF">
        <w:t>Not applicable.</w:t>
      </w:r>
    </w:p>
    <w:p w:rsidR="00000000" w:rsidRPr="00A92EFF" w:rsidP="00A92EFF">
      <w:pPr>
        <w:pStyle w:val="AllowPageBreak"/>
      </w:pPr>
    </w:p>
    <w:p w:rsidR="00000000" w:rsidRPr="00A92EFF" w:rsidP="00A92EFF">
      <w:pPr>
        <w:pStyle w:val="Heading1"/>
      </w:pPr>
      <w:bookmarkStart w:id="2" w:name="O_571390"/>
      <w:bookmarkEnd w:id="2"/>
      <w:r w:rsidRPr="00A92EFF">
        <w:t>Performance Evidence</w:t>
      </w:r>
    </w:p>
    <w:p w:rsidR="00000000" w:rsidRPr="00A92EFF" w:rsidP="00A92EFF">
      <w:pPr>
        <w:pStyle w:val="BodyText"/>
      </w:pPr>
      <w:r w:rsidRPr="00A92EFF">
        <w:t>Evidence of the ability to:</w:t>
      </w:r>
    </w:p>
    <w:p w:rsidR="00000000" w:rsidRPr="00A92EFF" w:rsidP="00A92EFF">
      <w:pPr>
        <w:pStyle w:val="ListBullet"/>
      </w:pPr>
      <w:r w:rsidRPr="00A92EFF">
        <w:t>handle enquiries and communicate with funeral home personnel to schedule burials or cremations in a manner that meets all parties’ needs</w:t>
      </w:r>
    </w:p>
    <w:p w:rsidR="00000000" w:rsidRPr="00A92EFF" w:rsidP="00A92EFF">
      <w:pPr>
        <w:pStyle w:val="ListBullet"/>
      </w:pPr>
      <w:r w:rsidRPr="00A92EFF">
        <w:t>identify details of burial or cremation and service requirements, including social, cultural and religious requirements</w:t>
      </w:r>
    </w:p>
    <w:p w:rsidR="00000000" w:rsidRPr="00A92EFF" w:rsidP="00A92EFF">
      <w:pPr>
        <w:pStyle w:val="ListBullet"/>
      </w:pPr>
      <w:r w:rsidRPr="00A92EFF">
        <w:t>communicate scheduling information to relevant personnel.</w:t>
      </w:r>
    </w:p>
    <w:p w:rsidR="00000000" w:rsidRPr="00A92EFF" w:rsidP="00A92EFF">
      <w:pPr>
        <w:pStyle w:val="BodyText"/>
      </w:pPr>
    </w:p>
    <w:p w:rsidR="00000000" w:rsidRPr="00A92EFF" w:rsidP="00A92EFF">
      <w:pPr>
        <w:pStyle w:val="BodyText"/>
      </w:pPr>
      <w:r w:rsidRPr="00A92EFF">
        <w:t>Evidence of performance of scheduling burials or cremations on two or more occasions is required to demonstrate consistency of performance and ability to respond to different situations.</w:t>
      </w:r>
    </w:p>
    <w:p w:rsidR="00000000" w:rsidRPr="00A92EFF" w:rsidP="00A92EFF">
      <w:pPr>
        <w:pStyle w:val="AllowPageBreak"/>
      </w:pPr>
    </w:p>
    <w:p w:rsidR="00000000" w:rsidRPr="00A92EFF" w:rsidP="00A92EFF">
      <w:pPr>
        <w:pStyle w:val="Heading1"/>
      </w:pPr>
      <w:bookmarkStart w:id="3" w:name="O_571391"/>
      <w:bookmarkEnd w:id="3"/>
      <w:r w:rsidRPr="00A92EFF">
        <w:t>Knowledge Evidence</w:t>
      </w:r>
    </w:p>
    <w:p w:rsidR="00000000" w:rsidRPr="00A92EFF" w:rsidP="00A92EFF">
      <w:pPr>
        <w:pStyle w:val="BodyText"/>
      </w:pPr>
      <w:r w:rsidRPr="00A92EFF">
        <w:t>Demonstrated knowledge of:</w:t>
      </w:r>
    </w:p>
    <w:p w:rsidR="00000000" w:rsidRPr="00A92EFF" w:rsidP="00A92EFF">
      <w:pPr>
        <w:pStyle w:val="ListBullet"/>
      </w:pPr>
      <w:r w:rsidRPr="00A92EFF">
        <w:t xml:space="preserve">roles and responsibilities of funeral home and cemetery and crematoria personnel </w:t>
      </w:r>
    </w:p>
    <w:p w:rsidR="00000000" w:rsidRPr="00A92EFF" w:rsidP="00A92EFF">
      <w:pPr>
        <w:pStyle w:val="ListBullet"/>
      </w:pPr>
      <w:r w:rsidRPr="00A92EFF">
        <w:t>burial or cremation procedures</w:t>
      </w:r>
    </w:p>
    <w:p w:rsidR="00000000" w:rsidRPr="00A92EFF" w:rsidP="00A92EFF">
      <w:pPr>
        <w:pStyle w:val="ListBullet"/>
      </w:pPr>
      <w:r w:rsidRPr="00A92EFF">
        <w:t>workplace information systems used to schedule burial or cremations, including electroni</w:t>
      </w:r>
      <w:r w:rsidRPr="00A92EFF">
        <w:t>c and manual</w:t>
      </w:r>
    </w:p>
    <w:p w:rsidR="00000000" w:rsidRPr="00A92EFF" w:rsidP="00A92EFF">
      <w:pPr>
        <w:pStyle w:val="ListBullet"/>
      </w:pPr>
      <w:r w:rsidRPr="00A92EFF">
        <w:t>documentation in relation to scheduling burials or cremations, including:</w:t>
      </w:r>
    </w:p>
    <w:p w:rsidR="00000000" w:rsidRPr="00A92EFF" w:rsidP="00A92EFF">
      <w:pPr>
        <w:pStyle w:val="ListBullet2"/>
      </w:pPr>
      <w:r w:rsidRPr="00A92EFF">
        <w:t>Death Certificate</w:t>
      </w:r>
    </w:p>
    <w:p w:rsidR="00000000" w:rsidRPr="00A92EFF" w:rsidP="00A92EFF">
      <w:pPr>
        <w:pStyle w:val="ListBullet2"/>
      </w:pPr>
      <w:r w:rsidRPr="00A92EFF">
        <w:t>standard operating procedures</w:t>
      </w:r>
    </w:p>
    <w:p w:rsidR="00000000" w:rsidRPr="00A92EFF" w:rsidP="00A92EFF">
      <w:pPr>
        <w:pStyle w:val="ListBullet2"/>
      </w:pPr>
      <w:r w:rsidRPr="00A92EFF">
        <w:t>work orders</w:t>
      </w:r>
    </w:p>
    <w:p w:rsidR="00000000" w:rsidRPr="00A92EFF" w:rsidP="00A92EFF">
      <w:pPr>
        <w:pStyle w:val="ListBullet2"/>
      </w:pPr>
      <w:r w:rsidRPr="00A92EFF">
        <w:t>burial documentation</w:t>
      </w:r>
    </w:p>
    <w:p w:rsidR="00000000" w:rsidRPr="00A92EFF" w:rsidP="00A92EFF">
      <w:pPr>
        <w:pStyle w:val="ListBullet2"/>
      </w:pPr>
      <w:r w:rsidRPr="00A92EFF">
        <w:t>cremation documentation</w:t>
      </w:r>
    </w:p>
    <w:p w:rsidR="00000000" w:rsidRPr="00A92EFF" w:rsidP="00A92EFF">
      <w:pPr>
        <w:pStyle w:val="ListBullet2"/>
      </w:pPr>
      <w:r w:rsidRPr="00A92EFF">
        <w:t>council permits</w:t>
      </w:r>
    </w:p>
    <w:p w:rsidR="00000000" w:rsidRPr="00A92EFF" w:rsidP="00A92EFF">
      <w:pPr>
        <w:pStyle w:val="ListBullet2"/>
      </w:pPr>
      <w:r w:rsidRPr="00A92EFF">
        <w:t>schedule running sheets</w:t>
      </w:r>
    </w:p>
    <w:p w:rsidR="00000000" w:rsidRPr="00A92EFF" w:rsidP="00A92EFF">
      <w:pPr>
        <w:pStyle w:val="ListBullet2"/>
      </w:pPr>
      <w:r w:rsidRPr="00A92EFF">
        <w:t>site identification details</w:t>
      </w:r>
    </w:p>
    <w:p w:rsidR="00000000" w:rsidRPr="00A92EFF" w:rsidP="00A92EFF">
      <w:pPr>
        <w:pStyle w:val="ListBullet2"/>
      </w:pPr>
      <w:r w:rsidRPr="00A92EFF">
        <w:t>cemetery plan or map</w:t>
      </w:r>
    </w:p>
    <w:p w:rsidR="00000000" w:rsidRPr="00A92EFF" w:rsidP="00A92EFF">
      <w:pPr>
        <w:pStyle w:val="ListBullet"/>
      </w:pPr>
      <w:r w:rsidRPr="00A92EFF">
        <w:t>social, religious and cultural differences and traditions in relation to burials or cremations</w:t>
      </w:r>
    </w:p>
    <w:p w:rsidR="00000000" w:rsidRPr="00A92EFF" w:rsidP="00A92EFF">
      <w:pPr>
        <w:pStyle w:val="ListBullet"/>
      </w:pPr>
      <w:r w:rsidRPr="00A92EFF">
        <w:t>workplace policies and procedures regarding scheduling burials or cremations</w:t>
      </w:r>
    </w:p>
    <w:p w:rsidR="00000000" w:rsidRPr="00A92EFF" w:rsidP="00A92EFF">
      <w:pPr>
        <w:pStyle w:val="ListBullet"/>
      </w:pPr>
      <w:r w:rsidRPr="00A92EFF">
        <w:t>federal, state or territory, and l</w:t>
      </w:r>
      <w:r w:rsidRPr="00A92EFF">
        <w:t>ocal government legislation and regulations relating to documentation and confidentiality requirements for burials and cremations</w:t>
      </w:r>
    </w:p>
    <w:p w:rsidR="00000000" w:rsidRPr="00A92EFF" w:rsidP="00A92EFF">
      <w:pPr>
        <w:pStyle w:val="ListBullet"/>
      </w:pPr>
      <w:r w:rsidRPr="00A92EFF">
        <w:t>professional funeral services industry parameters when dealing with the bereaved.</w:t>
      </w:r>
    </w:p>
    <w:p w:rsidR="00000000" w:rsidRPr="00A92EFF" w:rsidP="00A92EFF">
      <w:pPr>
        <w:pStyle w:val="AllowPageBreak"/>
      </w:pPr>
    </w:p>
    <w:p w:rsidR="00000000" w:rsidRPr="00A92EFF" w:rsidP="00A92EFF">
      <w:pPr>
        <w:pStyle w:val="Heading1"/>
      </w:pPr>
      <w:bookmarkStart w:id="4" w:name="O_571392"/>
      <w:bookmarkEnd w:id="4"/>
      <w:r w:rsidRPr="00A92EFF">
        <w:t>Assessment Conditions</w:t>
      </w:r>
    </w:p>
    <w:p w:rsidR="00000000" w:rsidRPr="00A92EFF" w:rsidP="00A92EFF">
      <w:pPr>
        <w:pStyle w:val="BodyText"/>
      </w:pPr>
      <w:r w:rsidRPr="00A92EFF">
        <w:t xml:space="preserve">Skills must be demonstrated in the workplace or in a simulated environment that is as industry realistic as possible. In a simulated environment, it is essential that assessment is conducted: </w:t>
      </w:r>
    </w:p>
    <w:p w:rsidR="00000000" w:rsidRPr="00A92EFF" w:rsidP="00A92EFF">
      <w:pPr>
        <w:pStyle w:val="ListBullet"/>
      </w:pPr>
      <w:r w:rsidRPr="00A92EFF">
        <w:t>using suitable facilities, equipment and resources, including:</w:t>
      </w:r>
    </w:p>
    <w:p w:rsidR="00000000" w:rsidRPr="00A92EFF" w:rsidP="00A92EFF">
      <w:pPr>
        <w:pStyle w:val="ListBullet2"/>
      </w:pPr>
      <w:r w:rsidRPr="00A92EFF">
        <w:t>a cemeteries or crematoria office environment</w:t>
      </w:r>
    </w:p>
    <w:p w:rsidR="00000000" w:rsidRPr="00A92EFF" w:rsidP="00A92EFF">
      <w:pPr>
        <w:pStyle w:val="ListBullet2"/>
      </w:pPr>
      <w:r w:rsidRPr="00A92EFF">
        <w:t>communication equipment, computers, printers, information programs, record systems and software programs to control scheduling of burials and cremations</w:t>
      </w:r>
    </w:p>
    <w:p w:rsidR="00000000" w:rsidRPr="00A92EFF" w:rsidP="00A92EFF">
      <w:pPr>
        <w:pStyle w:val="ListBullet"/>
      </w:pPr>
      <w:r w:rsidRPr="00A92EFF">
        <w:t xml:space="preserve">under industry conditions where there is: </w:t>
      </w:r>
    </w:p>
    <w:p w:rsidR="00000000" w:rsidRPr="00A92EFF" w:rsidP="00A92EFF">
      <w:pPr>
        <w:pStyle w:val="ListBullet2"/>
      </w:pPr>
      <w:r w:rsidRPr="00A92EFF">
        <w:t>integratio</w:t>
      </w:r>
      <w:r w:rsidRPr="00A92EFF">
        <w:t xml:space="preserve">n of tasks with possible interruptions to work typical of the job role </w:t>
      </w:r>
    </w:p>
    <w:p w:rsidR="00000000" w:rsidRPr="00A92EFF" w:rsidP="00A92EFF">
      <w:pPr>
        <w:pStyle w:val="ListBullet2"/>
      </w:pPr>
      <w:r w:rsidRPr="00A92EFF">
        <w:t xml:space="preserve">speed and timing requirements that reflect commercial operating conditions </w:t>
      </w:r>
    </w:p>
    <w:p w:rsidR="00000000" w:rsidRPr="00A92EFF" w:rsidP="00A92EFF">
      <w:pPr>
        <w:pStyle w:val="ListBullet2"/>
      </w:pPr>
      <w:r w:rsidRPr="00A92EFF">
        <w:t>interaction with team members and relevant personnel</w:t>
      </w:r>
    </w:p>
    <w:p w:rsidR="00000000" w:rsidRPr="00A92EFF" w:rsidP="00A92EFF">
      <w:pPr>
        <w:pStyle w:val="BodyText"/>
      </w:pPr>
    </w:p>
    <w:p w:rsidR="00000000" w:rsidRPr="00A92EFF" w:rsidP="00A92EFF">
      <w:pPr>
        <w:pStyle w:val="BodyText"/>
      </w:pPr>
      <w:r w:rsidRPr="00A92EFF">
        <w:t>Assessors must satisfy the NVR/AQTF mandatory competen</w:t>
      </w:r>
      <w:r w:rsidRPr="00A92EFF">
        <w:t>cy requirements for assessors.</w:t>
      </w:r>
    </w:p>
    <w:p w:rsidR="00000000" w:rsidRPr="00A92EFF" w:rsidP="00A92EFF">
      <w:pPr>
        <w:pStyle w:val="AllowPageBreak"/>
      </w:pPr>
    </w:p>
    <w:p w:rsidR="00000000" w:rsidRPr="00A92EFF" w:rsidP="00A92EFF">
      <w:pPr>
        <w:pStyle w:val="Heading1"/>
      </w:pPr>
      <w:bookmarkStart w:id="5" w:name="O_571394"/>
      <w:bookmarkEnd w:id="5"/>
      <w:r w:rsidRPr="00A92EFF">
        <w:t>Links</w:t>
      </w:r>
    </w:p>
    <w:p w:rsidR="00000000" w:rsidRPr="00A92EFF" w:rsidP="00A92EFF">
      <w:pPr>
        <w:pStyle w:val="BodyText"/>
      </w:pPr>
      <w:r w:rsidRPr="00A92EFF">
        <w:t>Companion Volume Implementation Guide - http://www.serviceskills.com.au/resources</w:t>
      </w:r>
    </w:p>
    <w:p w:rsidR="00000000" w:rsidRPr="00A92EFF" w:rsidP="00A92EFF"/>
    <w:sectPr w:rsidSect="00A92E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E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EFF" w:rsidRPr="00F717A2" w:rsidP="00F717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E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7A2" w:rsidP="00A92E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17A2" w:rsidP="00A92E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F717A2" w:rsidP="00A92E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E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EFF" w:rsidRPr="00F717A2" w:rsidP="00F717A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E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7A2" w:rsidRPr="002D2AF8" w:rsidP="00A92E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SIFCCAC002 Schedule burials or cremations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2015</w:t>
    </w:r>
    <w:r>
      <w:fldChar w:fldCharType="end"/>
    </w:r>
  </w:p>
  <w:p w:rsidR="00F717A2" w:rsidP="00A92E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E208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4475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F61A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E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2E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2E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2E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2E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2E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2E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2E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2E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2E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2E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2EFF"/>
  </w:style>
  <w:style w:type="character" w:customStyle="1" w:styleId="Heading1Char">
    <w:name w:val="Heading 1 Char"/>
    <w:basedOn w:val="DefaultParagraphFont"/>
    <w:link w:val="Heading1"/>
    <w:rsid w:val="00A92E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2EF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2E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2EF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92EF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2E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2E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2E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2E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2E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2E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2E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2E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2E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2E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2E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2E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2E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2E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2E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2E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2E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2E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2E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2E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2E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2E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2EFF"/>
    <w:rPr>
      <w:b/>
      <w:spacing w:val="0"/>
    </w:rPr>
  </w:style>
  <w:style w:type="paragraph" w:customStyle="1" w:styleId="SuperTitle">
    <w:name w:val="SuperTitle"/>
    <w:basedOn w:val="Title"/>
    <w:rsid w:val="00A92E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2E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2E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2E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2E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2E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2E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2E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2E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2E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2E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2E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2EFF"/>
    <w:rPr>
      <w:i/>
    </w:rPr>
  </w:style>
  <w:style w:type="paragraph" w:styleId="Caption">
    <w:name w:val="caption"/>
    <w:basedOn w:val="BodyText"/>
    <w:next w:val="Normal"/>
    <w:qFormat/>
    <w:rsid w:val="00A92E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2E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2E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2EFF"/>
  </w:style>
  <w:style w:type="paragraph" w:styleId="TableofFigures">
    <w:name w:val="table of figures"/>
    <w:basedOn w:val="Normal"/>
    <w:next w:val="Normal"/>
    <w:semiHidden/>
    <w:rsid w:val="00A92E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2EFF"/>
    <w:pPr>
      <w:numPr>
        <w:numId w:val="11"/>
      </w:numPr>
    </w:pPr>
  </w:style>
  <w:style w:type="character" w:customStyle="1" w:styleId="WingdingSymbols">
    <w:name w:val="Wingding Symbols"/>
    <w:rsid w:val="00A92EFF"/>
    <w:rPr>
      <w:rFonts w:ascii="Wingdings" w:hAnsi="Wingdings"/>
    </w:rPr>
  </w:style>
  <w:style w:type="paragraph" w:customStyle="1" w:styleId="TableHeading">
    <w:name w:val="Table Heading"/>
    <w:basedOn w:val="HeadingBase"/>
    <w:rsid w:val="00A92E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2EFF"/>
    <w:rPr>
      <w:color w:val="0033CC"/>
      <w:u w:val="none"/>
    </w:rPr>
  </w:style>
  <w:style w:type="paragraph" w:customStyle="1" w:styleId="BodyTextRight">
    <w:name w:val="Body Text Right"/>
    <w:basedOn w:val="BodyText"/>
    <w:rsid w:val="00A92E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2E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2E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2E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2E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2E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2EFF"/>
    <w:rPr>
      <w:sz w:val="32"/>
    </w:rPr>
  </w:style>
  <w:style w:type="paragraph" w:customStyle="1" w:styleId="HeadingProcedure">
    <w:name w:val="Heading Procedure"/>
    <w:basedOn w:val="HeadingBase"/>
    <w:next w:val="Normal"/>
    <w:rsid w:val="00A92E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2EFF"/>
    <w:pPr>
      <w:spacing w:before="60" w:after="60"/>
    </w:pPr>
  </w:style>
  <w:style w:type="paragraph" w:styleId="ListContinue">
    <w:name w:val="List Continue"/>
    <w:basedOn w:val="List"/>
    <w:rsid w:val="00A92EFF"/>
    <w:pPr>
      <w:ind w:firstLine="0"/>
    </w:pPr>
  </w:style>
  <w:style w:type="paragraph" w:customStyle="1" w:styleId="ListNote">
    <w:name w:val="List Note"/>
    <w:basedOn w:val="List"/>
    <w:rsid w:val="00A92E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2E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2E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2EFF"/>
    <w:rPr>
      <w:rFonts w:ascii="Courier New" w:hAnsi="Courier New"/>
    </w:rPr>
  </w:style>
  <w:style w:type="paragraph" w:customStyle="1" w:styleId="NoteBullet">
    <w:name w:val="Note Bullet"/>
    <w:basedOn w:val="Note"/>
    <w:rsid w:val="00A92E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2E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2E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2E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2EF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92E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2E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2EFF"/>
    <w:rPr>
      <w:b/>
      <w:smallCaps/>
    </w:rPr>
  </w:style>
  <w:style w:type="paragraph" w:customStyle="1" w:styleId="TableListNumber">
    <w:name w:val="Table List Number"/>
    <w:basedOn w:val="ListNumber"/>
    <w:rsid w:val="00A92E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2E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2EFF"/>
    <w:pPr>
      <w:numPr>
        <w:numId w:val="9"/>
      </w:numPr>
    </w:pPr>
  </w:style>
  <w:style w:type="paragraph" w:customStyle="1" w:styleId="ListAlpha2">
    <w:name w:val="List Alpha 2"/>
    <w:basedOn w:val="List2"/>
    <w:rsid w:val="00A92EFF"/>
    <w:pPr>
      <w:numPr>
        <w:numId w:val="8"/>
      </w:numPr>
    </w:pPr>
  </w:style>
  <w:style w:type="paragraph" w:styleId="List2">
    <w:name w:val="List 2"/>
    <w:basedOn w:val="BodyText"/>
    <w:rsid w:val="00A92E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2E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2E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2E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2EF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2E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2EFF"/>
    <w:pPr>
      <w:numPr>
        <w:numId w:val="4"/>
      </w:numPr>
    </w:pPr>
  </w:style>
  <w:style w:type="paragraph" w:styleId="ListContinue2">
    <w:name w:val="List Continue 2"/>
    <w:basedOn w:val="List2"/>
    <w:rsid w:val="00A92EFF"/>
    <w:pPr>
      <w:ind w:firstLine="0"/>
    </w:pPr>
  </w:style>
  <w:style w:type="paragraph" w:styleId="ListContinue3">
    <w:name w:val="List Continue 3"/>
    <w:basedOn w:val="List3"/>
    <w:rsid w:val="00A92EFF"/>
    <w:pPr>
      <w:ind w:left="1021" w:firstLine="0"/>
    </w:pPr>
  </w:style>
  <w:style w:type="paragraph" w:styleId="ListContinue4">
    <w:name w:val="List Continue 4"/>
    <w:basedOn w:val="List4"/>
    <w:rsid w:val="00A92EFF"/>
    <w:pPr>
      <w:ind w:firstLine="0"/>
    </w:pPr>
  </w:style>
  <w:style w:type="paragraph" w:styleId="ListContinue5">
    <w:name w:val="List Continue 5"/>
    <w:basedOn w:val="List5"/>
    <w:rsid w:val="00A92EFF"/>
    <w:pPr>
      <w:ind w:firstLine="0"/>
    </w:pPr>
  </w:style>
  <w:style w:type="paragraph" w:styleId="ListNumber3">
    <w:name w:val="List Number 3"/>
    <w:basedOn w:val="List3"/>
    <w:rsid w:val="00A92EFF"/>
    <w:pPr>
      <w:numPr>
        <w:numId w:val="5"/>
      </w:numPr>
    </w:pPr>
  </w:style>
  <w:style w:type="paragraph" w:styleId="ListNumber4">
    <w:name w:val="List Number 4"/>
    <w:basedOn w:val="List4"/>
    <w:rsid w:val="00A92EFF"/>
    <w:pPr>
      <w:numPr>
        <w:numId w:val="6"/>
      </w:numPr>
    </w:pPr>
  </w:style>
  <w:style w:type="paragraph" w:styleId="ListNumber5">
    <w:name w:val="List Number 5"/>
    <w:basedOn w:val="List5"/>
    <w:rsid w:val="00A92EFF"/>
    <w:pPr>
      <w:numPr>
        <w:numId w:val="7"/>
      </w:numPr>
    </w:pPr>
  </w:style>
  <w:style w:type="paragraph" w:styleId="BlockText">
    <w:name w:val="Block Text"/>
    <w:basedOn w:val="Normal"/>
    <w:rsid w:val="00A92E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2E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2EFF"/>
    <w:rPr>
      <w:sz w:val="16"/>
      <w:vertAlign w:val="superscript"/>
    </w:rPr>
  </w:style>
  <w:style w:type="character" w:customStyle="1" w:styleId="Symbols">
    <w:name w:val="Symbols"/>
    <w:basedOn w:val="DefaultParagraphFont"/>
    <w:rsid w:val="00A92EFF"/>
    <w:rPr>
      <w:rFonts w:ascii="Symbol" w:hAnsi="Symbol"/>
    </w:rPr>
  </w:style>
  <w:style w:type="character" w:customStyle="1" w:styleId="MenuOptions">
    <w:name w:val="Menu Options"/>
    <w:basedOn w:val="DefaultParagraphFont"/>
    <w:rsid w:val="00A92E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2EFF"/>
    <w:rPr>
      <w:b/>
    </w:rPr>
  </w:style>
  <w:style w:type="character" w:customStyle="1" w:styleId="Underlined">
    <w:name w:val="Underlined"/>
    <w:basedOn w:val="DefaultParagraphFont"/>
    <w:rsid w:val="00A92EFF"/>
    <w:rPr>
      <w:u w:val="single"/>
    </w:rPr>
  </w:style>
  <w:style w:type="paragraph" w:customStyle="1" w:styleId="TableBodyTextRight">
    <w:name w:val="Table Body Text Right"/>
    <w:basedOn w:val="TableBodyText"/>
    <w:rsid w:val="00A92E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2EFF"/>
    <w:rPr>
      <w:sz w:val="18"/>
    </w:rPr>
  </w:style>
  <w:style w:type="paragraph" w:customStyle="1" w:styleId="BodySmallRight">
    <w:name w:val="Body Small Right"/>
    <w:basedOn w:val="BodyTextRight"/>
    <w:rsid w:val="00A92EFF"/>
    <w:rPr>
      <w:sz w:val="18"/>
      <w:szCs w:val="18"/>
    </w:rPr>
  </w:style>
  <w:style w:type="paragraph" w:customStyle="1" w:styleId="MarginEdition">
    <w:name w:val="Margin Edition"/>
    <w:basedOn w:val="MarginNote"/>
    <w:rsid w:val="00A92E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2EFF"/>
    <w:rPr>
      <w:sz w:val="2"/>
      <w:szCs w:val="2"/>
    </w:rPr>
  </w:style>
  <w:style w:type="character" w:customStyle="1" w:styleId="Small">
    <w:name w:val="Small"/>
    <w:basedOn w:val="DefaultParagraphFont"/>
    <w:rsid w:val="00A92EFF"/>
    <w:rPr>
      <w:sz w:val="16"/>
    </w:rPr>
  </w:style>
  <w:style w:type="paragraph" w:customStyle="1" w:styleId="WideTable">
    <w:name w:val="Wide Table"/>
    <w:basedOn w:val="Normal"/>
    <w:rsid w:val="00A92E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2EFF"/>
  </w:style>
  <w:style w:type="paragraph" w:styleId="Quote">
    <w:name w:val="Quote"/>
    <w:basedOn w:val="Heading1"/>
    <w:link w:val="QuoteChar"/>
    <w:qFormat/>
    <w:rsid w:val="00A92E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2E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2EFF"/>
    <w:pPr>
      <w:pageBreakBefore/>
    </w:pPr>
  </w:style>
  <w:style w:type="paragraph" w:customStyle="1" w:styleId="Border">
    <w:name w:val="Border"/>
    <w:basedOn w:val="Normal"/>
    <w:qFormat/>
    <w:rsid w:val="00A92E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2E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2E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2E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2E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2E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2E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2E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2E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2EFF"/>
    <w:rPr>
      <w:u w:val="single"/>
    </w:rPr>
  </w:style>
  <w:style w:type="character" w:customStyle="1" w:styleId="BoldandItalics">
    <w:name w:val="Bold and Italics"/>
    <w:qFormat/>
    <w:rsid w:val="00A92EFF"/>
    <w:rPr>
      <w:b/>
      <w:i/>
      <w:u w:val="none"/>
    </w:rPr>
  </w:style>
  <w:style w:type="paragraph" w:styleId="BalloonText">
    <w:name w:val="Balloon Text"/>
    <w:basedOn w:val="Normal"/>
    <w:link w:val="BalloonTextChar"/>
    <w:rsid w:val="00A92E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2E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2EF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2E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2E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2EF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2281</Characters>
  <Application>Microsoft Office Word</Application>
  <DocSecurity>0</DocSecurity>
  <Lines>59</Lines>
  <Paragraphs>42</Paragraphs>
  <ScaleCrop>false</ScaleCrop>
  <Company>Author-it Software Corporation Ltd.</Company>
  <LinksUpToDate>false</LinksUpToDate>
  <CharactersWithSpaces>2600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SIFCCAC002 Schedule burials or cremations</dc:title>
  <dc:subject>Approved</dc:subject>
  <dc:creator>Service Skills Australia</dc:creator>
  <cp:keywords>Release: 1</cp:keywords>
  <dc:description>Review Date: 12 April 2008</dc:description>
  <cp:lastModifiedBy>HSD_TPCMSd.prod</cp:lastModifiedBy>
  <cp:revision>3</cp:revision>
  <dcterms:created xsi:type="dcterms:W3CDTF">2015-07-09T04:25:00Z</dcterms:created>
  <dcterms:modified xsi:type="dcterms:W3CDTF">2015-07-09T04:25:00Z</dcterms:modified>
</cp:coreProperties>
</file>