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851" w:rsidP="00FC6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SIFCBCR002 Backfill and make good graves</w:t>
      </w:r>
      <w:r>
        <w:fldChar w:fldCharType="end"/>
      </w:r>
    </w:p>
    <w:p w:rsidR="00FC6851" w:rsidP="00FC6851">
      <w:pPr>
        <w:pStyle w:val="Version"/>
        <w:sectPr w:rsidSect="00E36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484" w:rsidP="00E36484">
      <w:pPr>
        <w:pStyle w:val="SuperHeading"/>
      </w:pPr>
      <w:r w:rsidRPr="00E36484">
        <w:t>Assessment Requirements for SIFCBCR002 Backfill and make good graves</w:t>
      </w:r>
    </w:p>
    <w:p w:rsidR="00000000" w:rsidRPr="00E36484" w:rsidP="00E36484">
      <w:pPr>
        <w:pStyle w:val="Heading1"/>
      </w:pPr>
      <w:bookmarkStart w:id="1" w:name="O_569814"/>
      <w:bookmarkEnd w:id="1"/>
      <w:r w:rsidRPr="00E36484">
        <w:t>Modification History</w:t>
      </w:r>
    </w:p>
    <w:p w:rsidR="00000000" w:rsidRPr="00E36484" w:rsidP="00FC6851">
      <w:pPr>
        <w:pStyle w:val="BodyText"/>
      </w:pPr>
      <w:r w:rsidRPr="00E36484">
        <w:t>Not applicable.</w:t>
      </w:r>
    </w:p>
    <w:p w:rsidR="00000000" w:rsidRPr="00E36484" w:rsidP="00E36484">
      <w:pPr>
        <w:pStyle w:val="Heading1"/>
      </w:pPr>
      <w:bookmarkStart w:id="2" w:name="O_569815"/>
      <w:bookmarkEnd w:id="2"/>
      <w:r w:rsidRPr="00E36484">
        <w:t>Performance Evidence</w:t>
      </w:r>
    </w:p>
    <w:p w:rsidR="00000000" w:rsidRPr="00E36484" w:rsidP="00FC6851">
      <w:pPr>
        <w:pStyle w:val="BodyText"/>
      </w:pPr>
      <w:r w:rsidRPr="00E36484">
        <w:t>Evidence of the ability to:</w:t>
      </w:r>
    </w:p>
    <w:p w:rsidR="00000000" w:rsidRPr="00E36484" w:rsidP="00E36484">
      <w:pPr>
        <w:pStyle w:val="ListBullet"/>
      </w:pPr>
      <w:r w:rsidRPr="00E36484">
        <w:t>select, prepare, use, maintain and clean the required tools and equipment according to supervisor instructions, workplace policies and procedures, and manufacturer guidelines</w:t>
      </w:r>
    </w:p>
    <w:p w:rsidR="00000000" w:rsidRPr="00E36484" w:rsidP="00E36484">
      <w:pPr>
        <w:pStyle w:val="ListBullet"/>
      </w:pPr>
      <w:r w:rsidRPr="00E36484">
        <w:t>apply hazard identifications, risk assessments and controls to ensure safety of s</w:t>
      </w:r>
      <w:r w:rsidRPr="00E36484">
        <w:t xml:space="preserve">elf and others </w:t>
      </w:r>
    </w:p>
    <w:p w:rsidR="00000000" w:rsidRPr="00E36484" w:rsidP="00E36484">
      <w:pPr>
        <w:pStyle w:val="ListBullet"/>
      </w:pPr>
      <w:r w:rsidRPr="00E36484">
        <w:t>apply safe use of shoring devices during backfill operations  and ensure that the site is marked and well presented on conclusion of the work.</w:t>
      </w:r>
    </w:p>
    <w:p w:rsidR="00000000" w:rsidRPr="00E36484" w:rsidP="00E36484">
      <w:pPr>
        <w:pStyle w:val="BodyText"/>
      </w:pPr>
    </w:p>
    <w:p w:rsidR="00FC6851" w:rsidP="00FC6851">
      <w:pPr>
        <w:pStyle w:val="BodyText"/>
      </w:pPr>
      <w:r w:rsidRPr="00E36484">
        <w:t>Evidence of performance of backfilling and making good graves on two or more occasions is requir</w:t>
      </w:r>
      <w:r w:rsidRPr="00E36484">
        <w:t>ed to demonstrate consistency of performance and ability to respond to different situations.</w:t>
      </w:r>
    </w:p>
    <w:p w:rsidR="00000000" w:rsidRPr="00E36484" w:rsidP="00E36484">
      <w:pPr>
        <w:pStyle w:val="Heading1"/>
      </w:pPr>
      <w:bookmarkStart w:id="3" w:name="O_569816"/>
      <w:bookmarkEnd w:id="3"/>
      <w:r w:rsidRPr="00E36484">
        <w:t>Knowledge Evidence</w:t>
      </w:r>
    </w:p>
    <w:p w:rsidR="00000000" w:rsidRPr="00E36484" w:rsidP="00FC6851">
      <w:pPr>
        <w:pStyle w:val="BodyText"/>
      </w:pPr>
      <w:r w:rsidRPr="00E36484">
        <w:t>Demonstrated knowledge of:</w:t>
      </w:r>
    </w:p>
    <w:p w:rsidR="00000000" w:rsidRPr="00E36484" w:rsidP="00E36484">
      <w:pPr>
        <w:pStyle w:val="ListBullet"/>
      </w:pPr>
      <w:r w:rsidRPr="00E36484">
        <w:t>considerations when determining burial work requirements, including:</w:t>
      </w:r>
    </w:p>
    <w:p w:rsidR="00000000" w:rsidRPr="00E36484" w:rsidP="00E36484">
      <w:pPr>
        <w:pStyle w:val="ListBullet2"/>
      </w:pPr>
      <w:r w:rsidRPr="00E36484">
        <w:t>social, cultural and religio</w:t>
      </w:r>
      <w:r w:rsidRPr="00E36484">
        <w:t>us requirements:</w:t>
      </w:r>
    </w:p>
    <w:p w:rsidR="00000000" w:rsidRPr="00E36484" w:rsidP="00E36484">
      <w:pPr>
        <w:pStyle w:val="ListBullet3"/>
      </w:pPr>
      <w:r w:rsidRPr="00E36484">
        <w:t>burial procedures</w:t>
      </w:r>
    </w:p>
    <w:p w:rsidR="00000000" w:rsidRPr="00E36484" w:rsidP="00E36484">
      <w:pPr>
        <w:pStyle w:val="ListBullet3"/>
      </w:pPr>
      <w:r w:rsidRPr="00E36484">
        <w:t>time between death and burial</w:t>
      </w:r>
    </w:p>
    <w:p w:rsidR="00000000" w:rsidRPr="00E36484" w:rsidP="00E36484">
      <w:pPr>
        <w:pStyle w:val="ListBullet3"/>
      </w:pPr>
      <w:r w:rsidRPr="00E36484">
        <w:t>time between burial and closure of graves</w:t>
      </w:r>
    </w:p>
    <w:p w:rsidR="00000000" w:rsidRPr="00E36484" w:rsidP="00E36484">
      <w:pPr>
        <w:pStyle w:val="ListBullet3"/>
      </w:pPr>
      <w:r w:rsidRPr="00E36484">
        <w:t>placing of tributes and special personal effects</w:t>
      </w:r>
    </w:p>
    <w:p w:rsidR="00000000" w:rsidRPr="00E36484" w:rsidP="00E36484">
      <w:pPr>
        <w:pStyle w:val="ListBullet2"/>
      </w:pPr>
      <w:r w:rsidRPr="00E36484">
        <w:t>work team</w:t>
      </w:r>
    </w:p>
    <w:p w:rsidR="00000000" w:rsidRPr="00E36484" w:rsidP="00E36484">
      <w:pPr>
        <w:pStyle w:val="ListBullet2"/>
      </w:pPr>
      <w:r w:rsidRPr="00E36484">
        <w:t>tools, equipment and machinery</w:t>
      </w:r>
    </w:p>
    <w:p w:rsidR="00000000" w:rsidRPr="00E36484" w:rsidP="00E36484">
      <w:pPr>
        <w:pStyle w:val="ListBullet2"/>
      </w:pPr>
      <w:r w:rsidRPr="00E36484">
        <w:t>personal protective equipment</w:t>
      </w:r>
    </w:p>
    <w:p w:rsidR="00000000" w:rsidRPr="00E36484" w:rsidP="00E36484">
      <w:pPr>
        <w:pStyle w:val="ListBullet2"/>
      </w:pPr>
      <w:r w:rsidRPr="00E36484">
        <w:t>protective restraints</w:t>
      </w:r>
    </w:p>
    <w:p w:rsidR="00000000" w:rsidRPr="00E36484" w:rsidP="00E36484">
      <w:pPr>
        <w:pStyle w:val="ListBullet"/>
      </w:pPr>
      <w:r w:rsidRPr="00E36484">
        <w:t>tools and equipment used for backfilling to ensure good graves, and their associated uses</w:t>
      </w:r>
    </w:p>
    <w:p w:rsidR="00000000" w:rsidRPr="00E36484" w:rsidP="00E36484">
      <w:pPr>
        <w:pStyle w:val="ListBullet"/>
      </w:pPr>
      <w:r w:rsidRPr="00E36484">
        <w:t>machinery in relation to backfilling to ensure good graves, including:</w:t>
      </w:r>
    </w:p>
    <w:p w:rsidR="00000000" w:rsidRPr="00E36484" w:rsidP="00E36484">
      <w:pPr>
        <w:pStyle w:val="ListBullet2"/>
      </w:pPr>
      <w:r w:rsidRPr="00E36484">
        <w:t>backhoe</w:t>
      </w:r>
    </w:p>
    <w:p w:rsidR="00000000" w:rsidRPr="00E36484" w:rsidP="00E36484">
      <w:pPr>
        <w:pStyle w:val="ListBullet2"/>
      </w:pPr>
      <w:r w:rsidRPr="00E36484">
        <w:t>front-end loader</w:t>
      </w:r>
    </w:p>
    <w:p w:rsidR="00000000" w:rsidRPr="00E36484" w:rsidP="00E36484">
      <w:pPr>
        <w:pStyle w:val="ListBullet2"/>
      </w:pPr>
      <w:r w:rsidRPr="00E36484">
        <w:t>skid steer loader</w:t>
      </w:r>
    </w:p>
    <w:p w:rsidR="00000000" w:rsidRPr="00E36484" w:rsidP="00E36484">
      <w:pPr>
        <w:pStyle w:val="ListBullet2"/>
      </w:pPr>
      <w:r w:rsidRPr="00E36484">
        <w:t>excavator</w:t>
      </w:r>
    </w:p>
    <w:p w:rsidR="00000000" w:rsidRPr="00E36484" w:rsidP="00E36484">
      <w:pPr>
        <w:pStyle w:val="ListBullet2"/>
      </w:pPr>
      <w:r w:rsidRPr="00E36484">
        <w:t>tractor</w:t>
      </w:r>
    </w:p>
    <w:p w:rsidR="00000000" w:rsidRPr="00E36484" w:rsidP="00E36484">
      <w:pPr>
        <w:pStyle w:val="ListBullet2"/>
      </w:pPr>
      <w:r w:rsidRPr="00E36484">
        <w:t>truck</w:t>
      </w:r>
    </w:p>
    <w:p w:rsidR="00000000" w:rsidRPr="00E36484" w:rsidP="00E36484">
      <w:pPr>
        <w:pStyle w:val="ListBullet"/>
      </w:pPr>
      <w:r w:rsidRPr="00E36484">
        <w:t>backfilling techniques to ensure good graves</w:t>
      </w:r>
    </w:p>
    <w:p w:rsidR="00000000" w:rsidRPr="00E36484" w:rsidP="00E36484">
      <w:pPr>
        <w:pStyle w:val="ListBullet"/>
      </w:pPr>
      <w:r w:rsidRPr="00E36484">
        <w:t>safe operating procedures for relevant tools, equipment and machinery</w:t>
      </w:r>
    </w:p>
    <w:p w:rsidR="00000000" w:rsidRPr="00E36484" w:rsidP="00E36484">
      <w:pPr>
        <w:pStyle w:val="ListBullet"/>
      </w:pPr>
      <w:r w:rsidRPr="00E36484">
        <w:t>protective restraints, including:</w:t>
      </w:r>
    </w:p>
    <w:p w:rsidR="00000000" w:rsidRPr="00E36484" w:rsidP="00E36484">
      <w:pPr>
        <w:pStyle w:val="ListBullet2"/>
      </w:pPr>
      <w:r w:rsidRPr="00E36484">
        <w:t>sheeting</w:t>
      </w:r>
    </w:p>
    <w:p w:rsidR="00000000" w:rsidRPr="00E36484" w:rsidP="00E36484">
      <w:pPr>
        <w:pStyle w:val="ListBullet2"/>
      </w:pPr>
      <w:r w:rsidRPr="00E36484">
        <w:t>barricades</w:t>
      </w:r>
    </w:p>
    <w:p w:rsidR="00000000" w:rsidRPr="00E36484" w:rsidP="00E36484">
      <w:pPr>
        <w:pStyle w:val="ListBullet2"/>
      </w:pPr>
      <w:r w:rsidRPr="00E36484">
        <w:t>temporary fencing</w:t>
      </w:r>
    </w:p>
    <w:p w:rsidR="00000000" w:rsidRPr="00E36484" w:rsidP="00E36484">
      <w:pPr>
        <w:pStyle w:val="ListBullet2"/>
      </w:pPr>
      <w:r w:rsidRPr="00E36484">
        <w:t>reinforced covers</w:t>
      </w:r>
    </w:p>
    <w:p w:rsidR="00000000" w:rsidRPr="00E36484" w:rsidP="00E36484">
      <w:pPr>
        <w:pStyle w:val="ListBullet"/>
      </w:pPr>
      <w:r w:rsidRPr="00E36484">
        <w:t>safety hazards associated with backfilling to ens</w:t>
      </w:r>
      <w:r w:rsidRPr="00E36484">
        <w:t>ure good graves</w:t>
      </w:r>
    </w:p>
    <w:p w:rsidR="00000000" w:rsidRPr="00E36484" w:rsidP="00E36484">
      <w:pPr>
        <w:pStyle w:val="ListBullet"/>
      </w:pPr>
      <w:r w:rsidRPr="00E36484">
        <w:t>concepts and techniques for shoring, including devices used:</w:t>
      </w:r>
    </w:p>
    <w:p w:rsidR="00000000" w:rsidRPr="00E36484" w:rsidP="00E36484">
      <w:pPr>
        <w:pStyle w:val="ListBullet2"/>
      </w:pPr>
      <w:r w:rsidRPr="00E36484">
        <w:t>spreaders</w:t>
      </w:r>
    </w:p>
    <w:p w:rsidR="00000000" w:rsidRPr="00E36484" w:rsidP="00E36484">
      <w:pPr>
        <w:pStyle w:val="ListBullet2"/>
      </w:pPr>
      <w:r w:rsidRPr="00E36484">
        <w:t>boards</w:t>
      </w:r>
    </w:p>
    <w:p w:rsidR="00000000" w:rsidRPr="00E36484" w:rsidP="00E36484">
      <w:pPr>
        <w:pStyle w:val="ListBullet2"/>
      </w:pPr>
      <w:r w:rsidRPr="00E36484">
        <w:t>hydraulic braces</w:t>
      </w:r>
    </w:p>
    <w:p w:rsidR="00000000" w:rsidRPr="00E36484" w:rsidP="00E36484">
      <w:pPr>
        <w:pStyle w:val="ListBullet2"/>
      </w:pPr>
      <w:r w:rsidRPr="00E36484">
        <w:t>stabilisers</w:t>
      </w:r>
    </w:p>
    <w:p w:rsidR="00000000" w:rsidRPr="00E36484" w:rsidP="00E36484">
      <w:pPr>
        <w:pStyle w:val="ListBullet"/>
      </w:pPr>
      <w:r w:rsidRPr="00E36484">
        <w:t>workplace policies and procedures in relation to gravedigging</w:t>
      </w:r>
    </w:p>
    <w:p w:rsidR="00000000" w:rsidRPr="00E36484" w:rsidP="00E36484">
      <w:pPr>
        <w:pStyle w:val="ListBullet"/>
      </w:pPr>
      <w:r w:rsidRPr="00E36484">
        <w:t>federal, state or territory, and local government legislation and regulations relating to work health and safety/occupational health and safety, working in confined spaces and gravedigging</w:t>
      </w:r>
    </w:p>
    <w:p w:rsidR="00000000" w:rsidRPr="00E36484" w:rsidP="00E36484">
      <w:pPr>
        <w:pStyle w:val="ListBullet"/>
      </w:pPr>
      <w:r w:rsidRPr="00E36484">
        <w:t>environmental impacts in relation to gravedigging and minimal impac</w:t>
      </w:r>
      <w:r w:rsidRPr="00E36484">
        <w:t>t practices to reduce these, especially those that relate to resource, water and energy use</w:t>
      </w:r>
    </w:p>
    <w:p w:rsidR="00000000" w:rsidRPr="00E36484" w:rsidP="00E36484">
      <w:pPr>
        <w:pStyle w:val="ListBullet"/>
      </w:pPr>
      <w:r w:rsidRPr="00E36484">
        <w:t>environmentally sound disposal methods for all types of waste and in particular for hazardous substance.</w:t>
      </w:r>
    </w:p>
    <w:p w:rsidR="00000000" w:rsidRPr="00E36484" w:rsidP="00E36484">
      <w:pPr>
        <w:pStyle w:val="AllowPageBreak"/>
      </w:pPr>
    </w:p>
    <w:p w:rsidR="00000000" w:rsidRPr="00E36484" w:rsidP="00E36484">
      <w:pPr>
        <w:pStyle w:val="Heading1"/>
      </w:pPr>
      <w:bookmarkStart w:id="4" w:name="O_569817"/>
      <w:bookmarkEnd w:id="4"/>
      <w:r w:rsidRPr="00E36484">
        <w:t>Assessment Conditions</w:t>
      </w:r>
    </w:p>
    <w:p w:rsidR="00000000" w:rsidRPr="00E36484" w:rsidP="00FC6851">
      <w:pPr>
        <w:pStyle w:val="BodyText"/>
      </w:pPr>
      <w:r w:rsidRPr="00E36484">
        <w:t>Skills must be demon</w:t>
      </w:r>
      <w:r w:rsidRPr="00E36484">
        <w:t xml:space="preserve">strated in the workplace or in a simulated environment that is as industry realistic as possible. In a simulated environment, it is essential that assessment is conducted: </w:t>
      </w:r>
    </w:p>
    <w:p w:rsidR="00000000" w:rsidRPr="00E36484" w:rsidP="00E36484">
      <w:pPr>
        <w:pStyle w:val="ListBullet"/>
      </w:pPr>
      <w:r w:rsidRPr="00E36484">
        <w:t>using suitable facilities, equipment and resources, including:</w:t>
      </w:r>
    </w:p>
    <w:p w:rsidR="00000000" w:rsidRPr="00E36484" w:rsidP="00E36484">
      <w:pPr>
        <w:pStyle w:val="ListBullet2"/>
      </w:pPr>
      <w:r w:rsidRPr="00E36484">
        <w:t>an environment wit</w:t>
      </w:r>
      <w:r w:rsidRPr="00E36484">
        <w:t>h a range of backfilling requirements</w:t>
      </w:r>
    </w:p>
    <w:p w:rsidR="00000000" w:rsidRPr="00E36484" w:rsidP="00E36484">
      <w:pPr>
        <w:pStyle w:val="ListBullet2"/>
      </w:pPr>
      <w:r w:rsidRPr="00E36484">
        <w:t>tools, equipment and machinery</w:t>
      </w:r>
    </w:p>
    <w:p w:rsidR="00000000" w:rsidRPr="00E36484" w:rsidP="00E36484">
      <w:pPr>
        <w:pStyle w:val="ListBullet2"/>
      </w:pPr>
      <w:r w:rsidRPr="00E36484">
        <w:t>documentation, including cemetery map or plan and range of job requirements and relevant legislation and workplace policies and procedures</w:t>
      </w:r>
    </w:p>
    <w:p w:rsidR="00000000" w:rsidRPr="00E36484" w:rsidP="00E36484">
      <w:pPr>
        <w:pStyle w:val="ListBullet"/>
      </w:pPr>
      <w:r w:rsidRPr="00E36484">
        <w:t xml:space="preserve">under industry conditions where there is: </w:t>
      </w:r>
    </w:p>
    <w:p w:rsidR="00000000" w:rsidRPr="00E36484" w:rsidP="00E36484">
      <w:pPr>
        <w:pStyle w:val="ListBullet2"/>
      </w:pPr>
      <w:r w:rsidRPr="00E36484">
        <w:t xml:space="preserve">integration of tasks with possible interruptions to work typical of the job role </w:t>
      </w:r>
    </w:p>
    <w:p w:rsidR="00000000" w:rsidRPr="00E36484" w:rsidP="00E36484">
      <w:pPr>
        <w:pStyle w:val="ListBullet2"/>
      </w:pPr>
      <w:r w:rsidRPr="00E36484">
        <w:t xml:space="preserve">speed and timing requirements that reflect commercial operating conditions </w:t>
      </w:r>
    </w:p>
    <w:p w:rsidR="00000000" w:rsidRPr="00E36484" w:rsidP="00E36484">
      <w:pPr>
        <w:pStyle w:val="ListBullet2"/>
      </w:pPr>
      <w:r w:rsidRPr="00E36484">
        <w:t>interaction with team members</w:t>
      </w:r>
    </w:p>
    <w:p w:rsidR="00000000" w:rsidRPr="00E36484" w:rsidP="00E36484">
      <w:pPr>
        <w:pStyle w:val="BodyText"/>
      </w:pPr>
    </w:p>
    <w:p w:rsidR="00000000" w:rsidRPr="00E36484" w:rsidP="00FC6851">
      <w:pPr>
        <w:pStyle w:val="BodyText"/>
      </w:pPr>
      <w:r w:rsidRPr="00E36484">
        <w:t>Assessors must satisfy the NVR/AQTF mandatory competency requiremen</w:t>
      </w:r>
      <w:r w:rsidRPr="00E36484">
        <w:t>ts for assessors.</w:t>
      </w:r>
    </w:p>
    <w:p w:rsidR="00000000" w:rsidRPr="00E36484" w:rsidP="00E36484">
      <w:pPr>
        <w:pStyle w:val="Heading1"/>
      </w:pPr>
      <w:bookmarkStart w:id="5" w:name="O_569819"/>
      <w:bookmarkEnd w:id="5"/>
      <w:r w:rsidRPr="00E36484">
        <w:t>Links</w:t>
      </w:r>
    </w:p>
    <w:p w:rsidR="00000000" w:rsidRPr="00E36484" w:rsidP="00FC6851">
      <w:pPr>
        <w:pStyle w:val="BodyText"/>
      </w:pPr>
      <w:r w:rsidRPr="00E36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D0B14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36484" w:rsidP="00E36484"/>
    <w:sectPr w:rsidSect="00E36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84" w:rsidRPr="00FC6851" w:rsidP="00FC6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51" w:rsidP="00E36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851" w:rsidP="00E36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6851" w:rsidP="00E36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484" w:rsidRPr="00FC6851" w:rsidP="00FC6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851" w:rsidRPr="002D2AF8" w:rsidP="00E36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SIFCBCR002 Backfill and make good graves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C6851" w:rsidP="00E36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EF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C2D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7E5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484"/>
  </w:style>
  <w:style w:type="character" w:customStyle="1" w:styleId="Heading1Char">
    <w:name w:val="Heading 1 Char"/>
    <w:basedOn w:val="DefaultParagraphFont"/>
    <w:link w:val="Heading1"/>
    <w:rsid w:val="00E36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4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64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64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6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484"/>
    <w:rPr>
      <w:b/>
      <w:spacing w:val="0"/>
    </w:rPr>
  </w:style>
  <w:style w:type="paragraph" w:customStyle="1" w:styleId="SuperTitle">
    <w:name w:val="SuperTitle"/>
    <w:basedOn w:val="Title"/>
    <w:rsid w:val="00E36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484"/>
    <w:rPr>
      <w:i/>
    </w:rPr>
  </w:style>
  <w:style w:type="paragraph" w:styleId="Caption">
    <w:name w:val="caption"/>
    <w:basedOn w:val="BodyText"/>
    <w:next w:val="Normal"/>
    <w:qFormat/>
    <w:rsid w:val="00E36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484"/>
  </w:style>
  <w:style w:type="paragraph" w:styleId="TableofFigures">
    <w:name w:val="table of figures"/>
    <w:basedOn w:val="Normal"/>
    <w:next w:val="Normal"/>
    <w:semiHidden/>
    <w:rsid w:val="00E36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4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6484"/>
    <w:rPr>
      <w:rFonts w:ascii="Wingdings" w:hAnsi="Wingdings"/>
    </w:rPr>
  </w:style>
  <w:style w:type="paragraph" w:customStyle="1" w:styleId="TableHeading">
    <w:name w:val="Table Heading"/>
    <w:basedOn w:val="HeadingBase"/>
    <w:rsid w:val="00E36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484"/>
    <w:rPr>
      <w:color w:val="0033CC"/>
      <w:u w:val="none"/>
    </w:rPr>
  </w:style>
  <w:style w:type="paragraph" w:customStyle="1" w:styleId="BodyTextRight">
    <w:name w:val="Body Text Right"/>
    <w:basedOn w:val="BodyText"/>
    <w:rsid w:val="00E36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4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484"/>
    <w:rPr>
      <w:sz w:val="32"/>
    </w:rPr>
  </w:style>
  <w:style w:type="paragraph" w:customStyle="1" w:styleId="HeadingProcedure">
    <w:name w:val="Heading Procedure"/>
    <w:basedOn w:val="HeadingBase"/>
    <w:next w:val="Normal"/>
    <w:rsid w:val="00E36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484"/>
    <w:pPr>
      <w:spacing w:before="60" w:after="60"/>
    </w:pPr>
  </w:style>
  <w:style w:type="paragraph" w:styleId="ListContinue">
    <w:name w:val="List Continue"/>
    <w:basedOn w:val="List"/>
    <w:rsid w:val="00E36484"/>
    <w:pPr>
      <w:ind w:firstLine="0"/>
    </w:pPr>
  </w:style>
  <w:style w:type="paragraph" w:customStyle="1" w:styleId="ListNote">
    <w:name w:val="List Note"/>
    <w:basedOn w:val="List"/>
    <w:rsid w:val="00E36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484"/>
    <w:rPr>
      <w:rFonts w:ascii="Courier New" w:hAnsi="Courier New"/>
    </w:rPr>
  </w:style>
  <w:style w:type="paragraph" w:customStyle="1" w:styleId="NoteBullet">
    <w:name w:val="Note Bullet"/>
    <w:basedOn w:val="Note"/>
    <w:rsid w:val="00E36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4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6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484"/>
    <w:rPr>
      <w:b/>
      <w:smallCaps/>
    </w:rPr>
  </w:style>
  <w:style w:type="paragraph" w:customStyle="1" w:styleId="TableListNumber">
    <w:name w:val="Table List Number"/>
    <w:basedOn w:val="ListNumber"/>
    <w:rsid w:val="00E36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484"/>
    <w:pPr>
      <w:numPr>
        <w:numId w:val="10"/>
      </w:numPr>
    </w:pPr>
  </w:style>
  <w:style w:type="paragraph" w:customStyle="1" w:styleId="ListAlpha2">
    <w:name w:val="List Alpha 2"/>
    <w:basedOn w:val="List2"/>
    <w:rsid w:val="00E36484"/>
    <w:pPr>
      <w:numPr>
        <w:numId w:val="9"/>
      </w:numPr>
    </w:pPr>
  </w:style>
  <w:style w:type="paragraph" w:styleId="List2">
    <w:name w:val="List 2"/>
    <w:basedOn w:val="BodyText"/>
    <w:rsid w:val="00E36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4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64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6484"/>
    <w:pPr>
      <w:numPr>
        <w:numId w:val="5"/>
      </w:numPr>
    </w:pPr>
  </w:style>
  <w:style w:type="paragraph" w:styleId="ListContinue2">
    <w:name w:val="List Continue 2"/>
    <w:basedOn w:val="List2"/>
    <w:rsid w:val="00E36484"/>
    <w:pPr>
      <w:ind w:firstLine="0"/>
    </w:pPr>
  </w:style>
  <w:style w:type="paragraph" w:styleId="ListContinue3">
    <w:name w:val="List Continue 3"/>
    <w:basedOn w:val="List3"/>
    <w:rsid w:val="00E36484"/>
    <w:pPr>
      <w:ind w:left="1021" w:firstLine="0"/>
    </w:pPr>
  </w:style>
  <w:style w:type="paragraph" w:styleId="ListContinue4">
    <w:name w:val="List Continue 4"/>
    <w:basedOn w:val="List4"/>
    <w:rsid w:val="00E36484"/>
    <w:pPr>
      <w:ind w:firstLine="0"/>
    </w:pPr>
  </w:style>
  <w:style w:type="paragraph" w:styleId="ListContinue5">
    <w:name w:val="List Continue 5"/>
    <w:basedOn w:val="List5"/>
    <w:rsid w:val="00E36484"/>
    <w:pPr>
      <w:ind w:firstLine="0"/>
    </w:pPr>
  </w:style>
  <w:style w:type="paragraph" w:styleId="ListNumber3">
    <w:name w:val="List Number 3"/>
    <w:basedOn w:val="List3"/>
    <w:rsid w:val="00E36484"/>
    <w:pPr>
      <w:numPr>
        <w:numId w:val="6"/>
      </w:numPr>
    </w:pPr>
  </w:style>
  <w:style w:type="paragraph" w:styleId="ListNumber4">
    <w:name w:val="List Number 4"/>
    <w:basedOn w:val="List4"/>
    <w:rsid w:val="00E36484"/>
    <w:pPr>
      <w:numPr>
        <w:numId w:val="7"/>
      </w:numPr>
    </w:pPr>
  </w:style>
  <w:style w:type="paragraph" w:styleId="ListNumber5">
    <w:name w:val="List Number 5"/>
    <w:basedOn w:val="List5"/>
    <w:rsid w:val="00E36484"/>
    <w:pPr>
      <w:numPr>
        <w:numId w:val="8"/>
      </w:numPr>
    </w:pPr>
  </w:style>
  <w:style w:type="paragraph" w:styleId="BlockText">
    <w:name w:val="Block Text"/>
    <w:basedOn w:val="Normal"/>
    <w:rsid w:val="00E36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484"/>
    <w:rPr>
      <w:sz w:val="16"/>
      <w:vertAlign w:val="superscript"/>
    </w:rPr>
  </w:style>
  <w:style w:type="character" w:customStyle="1" w:styleId="Symbols">
    <w:name w:val="Symbols"/>
    <w:basedOn w:val="DefaultParagraphFont"/>
    <w:rsid w:val="00E36484"/>
    <w:rPr>
      <w:rFonts w:ascii="Symbol" w:hAnsi="Symbol"/>
    </w:rPr>
  </w:style>
  <w:style w:type="character" w:customStyle="1" w:styleId="MenuOptions">
    <w:name w:val="Menu Options"/>
    <w:basedOn w:val="DefaultParagraphFont"/>
    <w:rsid w:val="00E36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484"/>
    <w:rPr>
      <w:b/>
    </w:rPr>
  </w:style>
  <w:style w:type="character" w:customStyle="1" w:styleId="Underlined">
    <w:name w:val="Underlined"/>
    <w:basedOn w:val="DefaultParagraphFont"/>
    <w:rsid w:val="00E36484"/>
    <w:rPr>
      <w:u w:val="single"/>
    </w:rPr>
  </w:style>
  <w:style w:type="paragraph" w:customStyle="1" w:styleId="TableBodyTextRight">
    <w:name w:val="Table Body Text Right"/>
    <w:basedOn w:val="TableBodyText"/>
    <w:rsid w:val="00E36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484"/>
    <w:rPr>
      <w:sz w:val="18"/>
    </w:rPr>
  </w:style>
  <w:style w:type="paragraph" w:customStyle="1" w:styleId="BodySmallRight">
    <w:name w:val="Body Small Right"/>
    <w:basedOn w:val="BodyTextRight"/>
    <w:rsid w:val="00E36484"/>
    <w:rPr>
      <w:sz w:val="18"/>
      <w:szCs w:val="18"/>
    </w:rPr>
  </w:style>
  <w:style w:type="paragraph" w:customStyle="1" w:styleId="MarginEdition">
    <w:name w:val="Margin Edition"/>
    <w:basedOn w:val="MarginNote"/>
    <w:rsid w:val="00E36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484"/>
    <w:rPr>
      <w:sz w:val="2"/>
      <w:szCs w:val="2"/>
    </w:rPr>
  </w:style>
  <w:style w:type="character" w:customStyle="1" w:styleId="Small">
    <w:name w:val="Small"/>
    <w:basedOn w:val="DefaultParagraphFont"/>
    <w:rsid w:val="00E36484"/>
    <w:rPr>
      <w:sz w:val="16"/>
    </w:rPr>
  </w:style>
  <w:style w:type="paragraph" w:customStyle="1" w:styleId="WideTable">
    <w:name w:val="Wide Table"/>
    <w:basedOn w:val="Normal"/>
    <w:rsid w:val="00E36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484"/>
  </w:style>
  <w:style w:type="paragraph" w:styleId="Quote">
    <w:name w:val="Quote"/>
    <w:basedOn w:val="Heading1"/>
    <w:link w:val="QuoteChar"/>
    <w:qFormat/>
    <w:rsid w:val="00E36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484"/>
    <w:pPr>
      <w:pageBreakBefore/>
    </w:pPr>
  </w:style>
  <w:style w:type="paragraph" w:customStyle="1" w:styleId="Border">
    <w:name w:val="Border"/>
    <w:basedOn w:val="Normal"/>
    <w:qFormat/>
    <w:rsid w:val="00E36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484"/>
    <w:rPr>
      <w:u w:val="single"/>
    </w:rPr>
  </w:style>
  <w:style w:type="character" w:customStyle="1" w:styleId="BoldandItalics">
    <w:name w:val="Bold and Italics"/>
    <w:qFormat/>
    <w:rsid w:val="00E36484"/>
    <w:rPr>
      <w:b/>
      <w:i/>
      <w:u w:val="none"/>
    </w:rPr>
  </w:style>
  <w:style w:type="paragraph" w:styleId="BalloonText">
    <w:name w:val="Balloon Text"/>
    <w:basedOn w:val="Normal"/>
    <w:link w:val="BalloonTextChar"/>
    <w:rsid w:val="00E36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484"/>
    <w:pPr>
      <w:spacing w:before="0" w:after="0"/>
    </w:pPr>
  </w:style>
  <w:style w:type="paragraph" w:customStyle="1" w:styleId="BodyTextBold">
    <w:name w:val="Body Text Bold"/>
    <w:basedOn w:val="BodyText"/>
    <w:qFormat/>
    <w:rsid w:val="00E36484"/>
    <w:rPr>
      <w:b/>
    </w:rPr>
  </w:style>
  <w:style w:type="character" w:styleId="Hyperlink">
    <w:name w:val="Hyperlink"/>
    <w:basedOn w:val="DefaultParagraphFont"/>
    <w:uiPriority w:val="99"/>
    <w:unhideWhenUsed/>
    <w:rsid w:val="00FC6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3039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SIFCBCR002 Backfill and make good graves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