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1BF" w:rsidP="00135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SIFCBCR001 Bury coffins and caskets</w:t>
      </w:r>
      <w:r>
        <w:fldChar w:fldCharType="end"/>
      </w:r>
    </w:p>
    <w:p w:rsidR="001351BF" w:rsidP="001351BF">
      <w:pPr>
        <w:pStyle w:val="Version"/>
        <w:sectPr w:rsidSect="001D7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782C" w:rsidP="001D782C">
      <w:pPr>
        <w:pStyle w:val="SuperHeading"/>
      </w:pPr>
      <w:r w:rsidRPr="001D782C">
        <w:t>SIFCBCR001 Bury coffins and caskets</w:t>
      </w:r>
    </w:p>
    <w:p w:rsidR="00000000" w:rsidRPr="001D782C" w:rsidP="001D782C">
      <w:pPr>
        <w:pStyle w:val="Heading1"/>
      </w:pPr>
      <w:bookmarkStart w:id="1" w:name="O_581974"/>
      <w:bookmarkEnd w:id="1"/>
      <w:r w:rsidRPr="001D782C">
        <w:t>Modification History</w:t>
      </w:r>
    </w:p>
    <w:p w:rsidR="00000000" w:rsidRPr="001D782C" w:rsidP="001351BF">
      <w:pPr>
        <w:pStyle w:val="BodyText"/>
      </w:pPr>
      <w:r w:rsidRPr="001D782C">
        <w:t>Not applicable.</w:t>
      </w:r>
    </w:p>
    <w:p w:rsidR="00000000" w:rsidRPr="001D782C" w:rsidP="001D782C">
      <w:pPr>
        <w:pStyle w:val="Heading1"/>
      </w:pPr>
      <w:bookmarkStart w:id="2" w:name="O_581973"/>
      <w:bookmarkEnd w:id="2"/>
      <w:r w:rsidRPr="001D782C">
        <w:t>Application</w:t>
      </w:r>
    </w:p>
    <w:p w:rsidR="00000000" w:rsidRPr="001D782C" w:rsidP="001351BF">
      <w:pPr>
        <w:pStyle w:val="BodyText"/>
      </w:pPr>
      <w:r w:rsidRPr="001D782C">
        <w:t>This unit describes the performance outcomes, skills and knowledge required to bury coffins and caskets using appropriate lowering or lifting devices and equipment. It applies to cemetery an</w:t>
      </w:r>
      <w:r w:rsidRPr="001D782C">
        <w:t>d funeral home staff whose responsibilities include burying coffins and caskets according to client requirements, work health and safety, relevant legislation and workplace policies and procedures.</w:t>
      </w:r>
    </w:p>
    <w:p w:rsidR="00000000" w:rsidRPr="001D782C" w:rsidP="001351BF">
      <w:pPr>
        <w:pStyle w:val="BodyText"/>
      </w:pPr>
      <w:r w:rsidRPr="001D782C">
        <w:t>No licensing, legislative or certification requirements a</w:t>
      </w:r>
      <w:r w:rsidRPr="001D782C">
        <w:t>pply to this unit at the time of publication.</w:t>
      </w:r>
    </w:p>
    <w:p w:rsidR="00000000" w:rsidRPr="001D782C" w:rsidP="001D782C">
      <w:pPr>
        <w:pStyle w:val="Heading1"/>
      </w:pPr>
      <w:bookmarkStart w:id="3" w:name="O_581972"/>
      <w:bookmarkEnd w:id="3"/>
      <w:r w:rsidRPr="001D782C">
        <w:t>Competency Field</w:t>
      </w:r>
    </w:p>
    <w:p w:rsidR="00000000" w:rsidRPr="001D782C" w:rsidP="001351BF">
      <w:pPr>
        <w:pStyle w:val="BodyText"/>
      </w:pPr>
      <w:r w:rsidRPr="001D782C">
        <w:t>Burial and Cremation Operations</w:t>
      </w:r>
    </w:p>
    <w:p w:rsidR="00000000" w:rsidRPr="001D782C" w:rsidP="001D782C">
      <w:pPr>
        <w:pStyle w:val="Heading1"/>
      </w:pPr>
      <w:bookmarkStart w:id="4" w:name="O_581971"/>
      <w:bookmarkEnd w:id="4"/>
      <w:r w:rsidRPr="001D782C">
        <w:t>Unit Sector</w:t>
      </w:r>
    </w:p>
    <w:p w:rsidR="00000000" w:rsidRPr="001D782C" w:rsidP="001351BF">
      <w:pPr>
        <w:pStyle w:val="BodyText"/>
      </w:pPr>
      <w:r w:rsidRPr="001D782C">
        <w:t>Cemetery and Crematoria</w:t>
      </w:r>
    </w:p>
    <w:p w:rsidR="00000000" w:rsidRPr="001D782C" w:rsidP="001D782C">
      <w:pPr>
        <w:pStyle w:val="Heading1"/>
      </w:pPr>
      <w:bookmarkStart w:id="5" w:name="O_581970"/>
      <w:bookmarkEnd w:id="5"/>
      <w:r w:rsidRPr="001D78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135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2C" w:rsidP="001D782C">
            <w:pPr>
              <w:pStyle w:val="BodyText"/>
            </w:pPr>
            <w:r w:rsidRPr="001D782C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rPr>
                <w:rStyle w:val="SpecialBold"/>
              </w:rPr>
              <w:t>PERFORMANCE CRITERIA</w:t>
            </w:r>
          </w:p>
        </w:tc>
      </w:tr>
      <w:tr w:rsidTr="00135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t xml:space="preserve">Elements </w:t>
            </w:r>
            <w:r w:rsidRPr="001D782C">
              <w:t>describe the essential outcomes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t xml:space="preserve">Performance criteria describe the performance needed to demonstrate achievement of the element. </w:t>
            </w:r>
          </w:p>
        </w:tc>
      </w:tr>
      <w:tr w:rsidTr="00135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List"/>
              <w:rPr>
                <w:lang w:val="en-NZ"/>
              </w:rPr>
            </w:pPr>
            <w:r w:rsidRPr="001D782C">
              <w:t>1.</w:t>
            </w:r>
            <w:r w:rsidRPr="001D782C">
              <w:tab/>
              <w:t>Prepare for burials.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2C" w:rsidP="001D782C">
            <w:pPr>
              <w:pStyle w:val="List"/>
            </w:pPr>
            <w:r w:rsidRPr="001D782C">
              <w:t>1.1</w:t>
            </w:r>
            <w:r w:rsidRPr="001D782C">
              <w:tab/>
              <w:t>Identify work requirements for burial.</w:t>
            </w:r>
          </w:p>
          <w:p w:rsidR="00000000" w:rsidRPr="001D782C" w:rsidP="001D782C">
            <w:pPr>
              <w:pStyle w:val="List"/>
            </w:pPr>
            <w:r w:rsidRPr="001D782C">
              <w:t>1.2</w:t>
            </w:r>
            <w:r w:rsidRPr="001D782C">
              <w:tab/>
            </w:r>
            <w:r w:rsidRPr="001D782C">
              <w:t>Liaise with team members as required to establish sequencing of tasks and responsibilities of team members.</w:t>
            </w:r>
          </w:p>
          <w:p w:rsidR="00000000" w:rsidP="001D782C">
            <w:pPr>
              <w:pStyle w:val="List"/>
              <w:rPr>
                <w:lang w:val="en-NZ"/>
              </w:rPr>
            </w:pPr>
          </w:p>
        </w:tc>
      </w:tr>
      <w:tr w:rsidTr="00135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List"/>
              <w:rPr>
                <w:lang w:val="en-NZ"/>
              </w:rPr>
            </w:pPr>
            <w:r w:rsidRPr="001D782C">
              <w:t>2.</w:t>
            </w:r>
            <w:r w:rsidRPr="001D782C">
              <w:tab/>
              <w:t>Consign coffin or casket to burial location.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2C" w:rsidP="001D782C">
            <w:pPr>
              <w:pStyle w:val="List"/>
            </w:pPr>
            <w:r w:rsidRPr="001D782C">
              <w:t>2.1</w:t>
            </w:r>
            <w:r w:rsidRPr="001D782C">
              <w:tab/>
              <w:t>Transport coffin or casket to burial location.</w:t>
            </w:r>
          </w:p>
          <w:p w:rsidR="00000000" w:rsidRPr="001D782C" w:rsidP="001D782C">
            <w:pPr>
              <w:pStyle w:val="List"/>
            </w:pPr>
            <w:r w:rsidRPr="001D782C">
              <w:t>2.2</w:t>
            </w:r>
            <w:r w:rsidRPr="001D782C">
              <w:tab/>
              <w:t xml:space="preserve">Place coffin or casket into position </w:t>
            </w:r>
            <w:r w:rsidRPr="001D782C">
              <w:t xml:space="preserve">using </w:t>
            </w:r>
            <w:r w:rsidRPr="001D782C">
              <w:t>appropriate lowering or lifting device.</w:t>
            </w:r>
          </w:p>
          <w:p w:rsidR="00000000" w:rsidRPr="001D782C" w:rsidP="001D782C">
            <w:pPr>
              <w:pStyle w:val="List"/>
            </w:pPr>
            <w:r w:rsidRPr="001D782C">
              <w:t>2.3</w:t>
            </w:r>
            <w:r w:rsidRPr="001D782C">
              <w:tab/>
              <w:t>Conduct burial according to client requirements.</w:t>
            </w:r>
          </w:p>
          <w:p w:rsidR="00000000" w:rsidRPr="001D782C" w:rsidP="001D782C">
            <w:pPr>
              <w:pStyle w:val="List"/>
            </w:pPr>
          </w:p>
        </w:tc>
      </w:tr>
    </w:tbl>
    <w:p w:rsidR="00000000" w:rsidRPr="001D782C" w:rsidP="001D782C">
      <w:pPr>
        <w:pStyle w:val="BodyText"/>
      </w:pPr>
    </w:p>
    <w:p w:rsidR="00000000" w:rsidRPr="001D782C" w:rsidP="001D782C">
      <w:pPr>
        <w:pStyle w:val="AllowPageBreak"/>
      </w:pPr>
    </w:p>
    <w:p w:rsidR="00000000" w:rsidRPr="001D782C" w:rsidP="001D782C">
      <w:pPr>
        <w:pStyle w:val="Heading1"/>
      </w:pPr>
      <w:bookmarkStart w:id="6" w:name="O_581969"/>
      <w:bookmarkEnd w:id="6"/>
      <w:r w:rsidRPr="001D782C">
        <w:t>Foundation Skills</w:t>
      </w:r>
    </w:p>
    <w:p w:rsidR="00000000" w:rsidRPr="001D782C" w:rsidP="001351BF">
      <w:pPr>
        <w:pStyle w:val="BodyText"/>
      </w:pPr>
      <w:r w:rsidRPr="001D782C">
        <w:t>This section describes those language, literacy, numeracy and employment skills that are essential to performance.</w:t>
      </w:r>
    </w:p>
    <w:p w:rsidR="00000000" w:rsidRPr="001D782C" w:rsidP="001351BF">
      <w:pPr>
        <w:pStyle w:val="BodyText"/>
      </w:pPr>
      <w:r w:rsidRPr="001D782C">
        <w:t>Foundation skills essential to performance are explicit in the performance criteria of this unit of competency.</w:t>
      </w:r>
    </w:p>
    <w:p w:rsidR="00000000" w:rsidRPr="001D782C" w:rsidP="001D782C">
      <w:pPr>
        <w:pStyle w:val="Heading1"/>
      </w:pPr>
      <w:bookmarkStart w:id="7" w:name="O_581968"/>
      <w:bookmarkEnd w:id="7"/>
      <w:r w:rsidRPr="001D782C">
        <w:t>Unit Mapping Information</w:t>
      </w:r>
    </w:p>
    <w:p w:rsidR="00000000" w:rsidRPr="001D782C" w:rsidP="001351BF">
      <w:pPr>
        <w:pStyle w:val="BodyText"/>
      </w:pPr>
      <w:r w:rsidRPr="001D782C">
        <w:t>SIFBCR004A Bury coffins and caskets.</w:t>
      </w:r>
    </w:p>
    <w:p w:rsidR="00000000" w:rsidRPr="001D782C" w:rsidP="001D782C">
      <w:pPr>
        <w:pStyle w:val="Heading1"/>
      </w:pPr>
      <w:bookmarkStart w:id="8" w:name="O_581975"/>
      <w:bookmarkEnd w:id="8"/>
      <w:r w:rsidRPr="001D782C">
        <w:t>Links</w:t>
      </w:r>
    </w:p>
    <w:p w:rsidR="00000000" w:rsidRPr="001D782C" w:rsidP="001351BF">
      <w:pPr>
        <w:pStyle w:val="BodyText"/>
      </w:pPr>
      <w:r w:rsidRPr="001D782C">
        <w:t>Companion Volume implementation guides are</w:t>
      </w:r>
      <w:r w:rsidRPr="001D782C">
        <w:t xml:space="preserve">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C5D5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D782C" w:rsidP="001351BF">
      <w:pPr>
        <w:pStyle w:val="BodyText"/>
        <w:sectPr w:rsidSect="001D78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782C" w:rsidP="001D782C">
      <w:pPr>
        <w:pStyle w:val="SuperHeading"/>
      </w:pPr>
      <w:r w:rsidRPr="001D782C">
        <w:t>Assessment Requirements for SIFCBCR001 Bury coffins and caskets</w:t>
      </w:r>
    </w:p>
    <w:p w:rsidR="00000000" w:rsidRPr="001D782C" w:rsidP="001D782C">
      <w:pPr>
        <w:pStyle w:val="Heading1"/>
      </w:pPr>
      <w:bookmarkStart w:id="9" w:name="O_581965"/>
      <w:bookmarkEnd w:id="9"/>
      <w:r w:rsidRPr="001D782C">
        <w:t>Modification History</w:t>
      </w:r>
    </w:p>
    <w:p w:rsidR="00000000" w:rsidRPr="001D782C" w:rsidP="001351BF">
      <w:pPr>
        <w:pStyle w:val="BodyText"/>
      </w:pPr>
      <w:r w:rsidRPr="001D782C">
        <w:t xml:space="preserve">The </w:t>
      </w:r>
      <w:r w:rsidRPr="001D782C">
        <w:t>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1D7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2C" w:rsidP="001D782C">
            <w:pPr>
              <w:pStyle w:val="BodyText"/>
            </w:pPr>
            <w:r w:rsidRPr="001D782C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rPr>
                <w:rStyle w:val="SpecialBold"/>
              </w:rPr>
              <w:t>Comments</w:t>
            </w:r>
          </w:p>
        </w:tc>
      </w:tr>
      <w:tr w:rsidTr="001D7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t>Editorial correction to formatting of Performance Evidence.</w:t>
            </w:r>
          </w:p>
        </w:tc>
      </w:tr>
      <w:tr w:rsidTr="001D7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2C">
            <w:pPr>
              <w:pStyle w:val="BodyText"/>
              <w:rPr>
                <w:lang w:val="en-NZ"/>
              </w:rPr>
            </w:pPr>
            <w:r w:rsidRPr="001D782C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2C" w:rsidP="001D782C">
            <w:pPr>
              <w:pStyle w:val="BodyText"/>
            </w:pPr>
            <w:r w:rsidRPr="001D782C">
              <w:t xml:space="preserve"> Reflects the Standards for Training Packages.</w:t>
            </w:r>
          </w:p>
        </w:tc>
      </w:tr>
    </w:tbl>
    <w:p w:rsidR="00000000" w:rsidRPr="001D782C" w:rsidP="001D782C">
      <w:pPr>
        <w:pStyle w:val="BodyText"/>
      </w:pPr>
    </w:p>
    <w:p w:rsidR="00000000" w:rsidRPr="001D782C" w:rsidP="001D782C">
      <w:pPr>
        <w:pStyle w:val="AllowPageBreak"/>
      </w:pPr>
    </w:p>
    <w:p w:rsidR="00000000" w:rsidRPr="001D782C" w:rsidP="001D782C">
      <w:pPr>
        <w:pStyle w:val="Heading1"/>
      </w:pPr>
      <w:bookmarkStart w:id="10" w:name="O_581964"/>
      <w:bookmarkEnd w:id="10"/>
      <w:r w:rsidRPr="001D782C">
        <w:t>Perform</w:t>
      </w:r>
      <w:r w:rsidRPr="001D782C">
        <w:t>ance Evidence</w:t>
      </w:r>
    </w:p>
    <w:p w:rsidR="00000000" w:rsidRPr="001D782C" w:rsidP="001351BF">
      <w:pPr>
        <w:pStyle w:val="BodyText"/>
      </w:pPr>
      <w:r w:rsidRPr="001D782C">
        <w:t>Evidence of the ability to:</w:t>
      </w:r>
    </w:p>
    <w:p w:rsidR="00000000" w:rsidRPr="001D782C" w:rsidP="001D782C">
      <w:pPr>
        <w:pStyle w:val="ListBullet"/>
      </w:pPr>
      <w:r w:rsidRPr="001D782C">
        <w:t xml:space="preserve">select, prepare and safely use, the required equipment and lifting devices </w:t>
      </w:r>
    </w:p>
    <w:p w:rsidR="00000000" w:rsidRPr="001D782C" w:rsidP="001D782C">
      <w:pPr>
        <w:pStyle w:val="ListBullet"/>
      </w:pPr>
      <w:r w:rsidRPr="001D782C">
        <w:t>bury coffins and caskets safely and efficiently according to work requirements and client guidelines</w:t>
      </w:r>
    </w:p>
    <w:p w:rsidR="00000000" w:rsidRPr="001D782C" w:rsidP="001D782C">
      <w:pPr>
        <w:pStyle w:val="ListBullet"/>
      </w:pPr>
      <w:r w:rsidRPr="001D782C">
        <w:t>use safe manual handling te</w:t>
      </w:r>
      <w:r w:rsidRPr="001D782C">
        <w:t>chniques when handling coffins and caskets.</w:t>
      </w:r>
    </w:p>
    <w:p w:rsidR="00000000" w:rsidRPr="001D782C" w:rsidP="001D782C">
      <w:pPr>
        <w:pStyle w:val="BodyText"/>
      </w:pPr>
    </w:p>
    <w:p w:rsidR="00000000" w:rsidRPr="001D782C" w:rsidP="001351BF">
      <w:pPr>
        <w:pStyle w:val="BodyText"/>
      </w:pPr>
      <w:r w:rsidRPr="001D782C">
        <w:t>Evidence of performance of burying coffins and caskets on two or more occasions is required to demonstrate consistency of performance and ability to respond to different situations.</w:t>
      </w:r>
    </w:p>
    <w:p w:rsidR="00000000" w:rsidRPr="001D782C" w:rsidP="001D782C">
      <w:pPr>
        <w:pStyle w:val="Heading1"/>
      </w:pPr>
      <w:bookmarkStart w:id="11" w:name="O_581963"/>
      <w:bookmarkEnd w:id="11"/>
      <w:r w:rsidRPr="001D782C">
        <w:t>Knowledge Ev</w:t>
      </w:r>
      <w:r w:rsidRPr="001D782C">
        <w:t>idence</w:t>
      </w:r>
    </w:p>
    <w:p w:rsidR="00000000" w:rsidRPr="001D782C" w:rsidP="001351BF">
      <w:pPr>
        <w:pStyle w:val="BodyText"/>
      </w:pPr>
      <w:r w:rsidRPr="001D782C">
        <w:t>Demonstrated knowledge of:</w:t>
      </w:r>
    </w:p>
    <w:p w:rsidR="00000000" w:rsidRPr="001D782C" w:rsidP="001D782C">
      <w:pPr>
        <w:pStyle w:val="ListBullet"/>
      </w:pPr>
      <w:r w:rsidRPr="001D782C">
        <w:t>burial procedures</w:t>
      </w:r>
    </w:p>
    <w:p w:rsidR="00000000" w:rsidRPr="001D782C" w:rsidP="001D782C">
      <w:pPr>
        <w:pStyle w:val="ListBullet"/>
      </w:pPr>
      <w:r w:rsidRPr="001D782C">
        <w:t>considerations when planning for burying coffins and caskets, including:</w:t>
      </w:r>
    </w:p>
    <w:p w:rsidR="00000000" w:rsidRPr="001D782C" w:rsidP="001D782C">
      <w:pPr>
        <w:pStyle w:val="ListBullet2"/>
      </w:pPr>
      <w:r w:rsidRPr="001D782C">
        <w:t xml:space="preserve">time of burial </w:t>
      </w:r>
    </w:p>
    <w:p w:rsidR="00000000" w:rsidRPr="001D782C" w:rsidP="001D782C">
      <w:pPr>
        <w:pStyle w:val="ListBullet2"/>
      </w:pPr>
      <w:r w:rsidRPr="001D782C">
        <w:t>location of burial:</w:t>
      </w:r>
    </w:p>
    <w:p w:rsidR="00000000" w:rsidRPr="001D782C" w:rsidP="001D782C">
      <w:pPr>
        <w:pStyle w:val="ListBullet3"/>
      </w:pPr>
      <w:r w:rsidRPr="001D782C">
        <w:t>monumental cemeteries</w:t>
      </w:r>
    </w:p>
    <w:p w:rsidR="00000000" w:rsidRPr="001D782C" w:rsidP="001D782C">
      <w:pPr>
        <w:pStyle w:val="ListBullet3"/>
      </w:pPr>
      <w:r w:rsidRPr="001D782C">
        <w:t>lawn cemeteries</w:t>
      </w:r>
    </w:p>
    <w:p w:rsidR="00000000" w:rsidRPr="001D782C" w:rsidP="001D782C">
      <w:pPr>
        <w:pStyle w:val="ListBullet3"/>
      </w:pPr>
      <w:r w:rsidRPr="001D782C">
        <w:t>mausoleum crypts</w:t>
      </w:r>
    </w:p>
    <w:p w:rsidR="00000000" w:rsidRPr="001D782C" w:rsidP="001D782C">
      <w:pPr>
        <w:pStyle w:val="ListBullet3"/>
      </w:pPr>
      <w:r w:rsidRPr="001D782C">
        <w:t>memorial gardens</w:t>
      </w:r>
    </w:p>
    <w:p w:rsidR="00000000" w:rsidRPr="001D782C" w:rsidP="001D782C">
      <w:pPr>
        <w:pStyle w:val="ListBullet3"/>
      </w:pPr>
      <w:r w:rsidRPr="001D782C">
        <w:t>cemeteries with historical or cultural significance</w:t>
      </w:r>
    </w:p>
    <w:p w:rsidR="00000000" w:rsidRPr="001D782C" w:rsidP="001D782C">
      <w:pPr>
        <w:pStyle w:val="ListBullet3"/>
      </w:pPr>
      <w:r w:rsidRPr="001D782C">
        <w:t>at sea</w:t>
      </w:r>
    </w:p>
    <w:p w:rsidR="00000000" w:rsidRPr="001D782C" w:rsidP="001D782C">
      <w:pPr>
        <w:pStyle w:val="ListBullet2"/>
      </w:pPr>
      <w:r w:rsidRPr="001D782C">
        <w:t>transport requirements</w:t>
      </w:r>
    </w:p>
    <w:p w:rsidR="00000000" w:rsidRPr="001D782C" w:rsidP="001D782C">
      <w:pPr>
        <w:pStyle w:val="ListBullet2"/>
      </w:pPr>
      <w:r w:rsidRPr="001D782C">
        <w:t>client requirements</w:t>
      </w:r>
    </w:p>
    <w:p w:rsidR="00000000" w:rsidRPr="001D782C" w:rsidP="001D782C">
      <w:pPr>
        <w:pStyle w:val="ListBullet2"/>
      </w:pPr>
      <w:r w:rsidRPr="001D782C">
        <w:t>required staff</w:t>
      </w:r>
    </w:p>
    <w:p w:rsidR="00000000" w:rsidRPr="001D782C" w:rsidP="001D782C">
      <w:pPr>
        <w:pStyle w:val="ListBullet"/>
      </w:pPr>
      <w:r w:rsidRPr="001D782C">
        <w:t>social, religious and cultural practices and traditions in relation to burials:</w:t>
      </w:r>
    </w:p>
    <w:p w:rsidR="00000000" w:rsidRPr="001D782C" w:rsidP="001D782C">
      <w:pPr>
        <w:pStyle w:val="ListBullet2"/>
      </w:pPr>
      <w:r w:rsidRPr="001D782C">
        <w:t>funeral rites according to religious denomination</w:t>
      </w:r>
    </w:p>
    <w:p w:rsidR="00000000" w:rsidRPr="001D782C" w:rsidP="001D782C">
      <w:pPr>
        <w:pStyle w:val="ListBullet2"/>
      </w:pPr>
      <w:r w:rsidRPr="001D782C">
        <w:t>cultural rituals to assist grieving</w:t>
      </w:r>
    </w:p>
    <w:p w:rsidR="00000000" w:rsidRPr="001D782C" w:rsidP="001D782C">
      <w:pPr>
        <w:pStyle w:val="ListBullet2"/>
      </w:pPr>
      <w:r w:rsidRPr="001D782C">
        <w:t>spiritual symbolism</w:t>
      </w:r>
    </w:p>
    <w:p w:rsidR="00000000" w:rsidRPr="001D782C" w:rsidP="001D782C">
      <w:pPr>
        <w:pStyle w:val="ListBullet2"/>
      </w:pPr>
      <w:r w:rsidRPr="001D782C">
        <w:t>burial procedures</w:t>
      </w:r>
    </w:p>
    <w:p w:rsidR="00000000" w:rsidRPr="001D782C" w:rsidP="001D782C">
      <w:pPr>
        <w:pStyle w:val="ListBullet2"/>
      </w:pPr>
      <w:r w:rsidRPr="001D782C">
        <w:t>time required between death and burial</w:t>
      </w:r>
    </w:p>
    <w:p w:rsidR="00000000" w:rsidRPr="001D782C" w:rsidP="001D782C">
      <w:pPr>
        <w:pStyle w:val="ListBullet2"/>
      </w:pPr>
      <w:r w:rsidRPr="001D782C">
        <w:t>taboos regarding death</w:t>
      </w:r>
    </w:p>
    <w:p w:rsidR="00000000" w:rsidRPr="001D782C" w:rsidP="001D782C">
      <w:pPr>
        <w:pStyle w:val="ListBullet"/>
      </w:pPr>
      <w:r w:rsidRPr="001D782C">
        <w:t>professional funeral services industry parameters in dealing with the bereaved</w:t>
      </w:r>
    </w:p>
    <w:p w:rsidR="00000000" w:rsidRPr="001D782C" w:rsidP="001D782C">
      <w:pPr>
        <w:pStyle w:val="ListBullet"/>
      </w:pPr>
      <w:r w:rsidRPr="001D782C">
        <w:t>federal, state or territory, and local g</w:t>
      </w:r>
      <w:r w:rsidRPr="001D782C">
        <w:t>overnment legislation and regulations relating to work health and safety/occupational health and safety and the conduct of burials</w:t>
      </w:r>
    </w:p>
    <w:p w:rsidR="00000000" w:rsidRPr="001D782C" w:rsidP="001D782C">
      <w:pPr>
        <w:pStyle w:val="ListBullet"/>
      </w:pPr>
      <w:r w:rsidRPr="001D782C">
        <w:t>workplace policies and procedures regarding the conduct of burials</w:t>
      </w:r>
    </w:p>
    <w:p w:rsidR="00000000" w:rsidRPr="001D782C" w:rsidP="001D782C">
      <w:pPr>
        <w:pStyle w:val="ListBullet"/>
      </w:pPr>
      <w:r w:rsidRPr="001D782C">
        <w:t>operating requirements of relevant lifting devices and equ</w:t>
      </w:r>
      <w:r w:rsidRPr="001D782C">
        <w:t>ipment:</w:t>
      </w:r>
    </w:p>
    <w:p w:rsidR="00000000" w:rsidRPr="001D782C" w:rsidP="001D782C">
      <w:pPr>
        <w:pStyle w:val="ListBullet2"/>
      </w:pPr>
      <w:r w:rsidRPr="001D782C">
        <w:t>lowering straps</w:t>
      </w:r>
    </w:p>
    <w:p w:rsidR="00000000" w:rsidRPr="001D782C" w:rsidP="001D782C">
      <w:pPr>
        <w:pStyle w:val="ListBullet2"/>
      </w:pPr>
      <w:r w:rsidRPr="001D782C">
        <w:t>mats</w:t>
      </w:r>
    </w:p>
    <w:p w:rsidR="00000000" w:rsidRPr="001D782C" w:rsidP="001D782C">
      <w:pPr>
        <w:pStyle w:val="ListBullet2"/>
      </w:pPr>
      <w:r w:rsidRPr="001D782C">
        <w:t>scissor lift</w:t>
      </w:r>
    </w:p>
    <w:p w:rsidR="00000000" w:rsidRPr="001D782C" w:rsidP="001D782C">
      <w:pPr>
        <w:pStyle w:val="ListBullet2"/>
      </w:pPr>
      <w:r w:rsidRPr="001D782C">
        <w:t>protective restraints</w:t>
      </w:r>
    </w:p>
    <w:p w:rsidR="00000000" w:rsidRPr="001D782C" w:rsidP="001D782C">
      <w:pPr>
        <w:pStyle w:val="ListBullet"/>
      </w:pPr>
      <w:r w:rsidRPr="001D782C">
        <w:t>manual handling techniques in relation to handling and burying coffins and caskets.</w:t>
      </w:r>
    </w:p>
    <w:p w:rsidR="00000000" w:rsidRPr="001D782C" w:rsidP="001D782C">
      <w:pPr>
        <w:pStyle w:val="AllowPageBreak"/>
      </w:pPr>
    </w:p>
    <w:p w:rsidR="00000000" w:rsidRPr="001D782C" w:rsidP="001D782C">
      <w:pPr>
        <w:pStyle w:val="Heading1"/>
      </w:pPr>
      <w:bookmarkStart w:id="12" w:name="O_581962"/>
      <w:bookmarkEnd w:id="12"/>
      <w:r w:rsidRPr="001D782C">
        <w:t>Assessment Conditions</w:t>
      </w:r>
    </w:p>
    <w:p w:rsidR="00000000" w:rsidRPr="001D782C" w:rsidP="001351BF">
      <w:pPr>
        <w:pStyle w:val="BodyText"/>
      </w:pPr>
      <w:r w:rsidRPr="001D782C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1D782C" w:rsidP="001D782C">
      <w:pPr>
        <w:pStyle w:val="ListBullet"/>
      </w:pPr>
      <w:r w:rsidRPr="001D782C">
        <w:t>using suitable facilities, equipment and resources, including:</w:t>
      </w:r>
    </w:p>
    <w:p w:rsidR="00000000" w:rsidRPr="001D782C" w:rsidP="001D782C">
      <w:pPr>
        <w:pStyle w:val="ListBullet2"/>
      </w:pPr>
      <w:r w:rsidRPr="001D782C">
        <w:t>an environment where demonstration of skills for a range of burial requirements can be performed, including transportation of coffins or caskets from funeral service facilities to burial locations</w:t>
      </w:r>
    </w:p>
    <w:p w:rsidR="00000000" w:rsidRPr="001D782C" w:rsidP="001D782C">
      <w:pPr>
        <w:pStyle w:val="ListBullet2"/>
      </w:pPr>
      <w:r w:rsidRPr="001D782C">
        <w:t>coffins or caskets, funeral transport vehicles and loweri</w:t>
      </w:r>
      <w:r w:rsidRPr="001D782C">
        <w:t>ng and lifting devices</w:t>
      </w:r>
    </w:p>
    <w:p w:rsidR="00000000" w:rsidRPr="001D782C" w:rsidP="001D782C">
      <w:pPr>
        <w:pStyle w:val="ListBullet"/>
      </w:pPr>
      <w:r w:rsidRPr="001D782C">
        <w:t xml:space="preserve">under industry conditions where there is: </w:t>
      </w:r>
    </w:p>
    <w:p w:rsidR="00000000" w:rsidRPr="001D782C" w:rsidP="001D782C">
      <w:pPr>
        <w:pStyle w:val="ListBullet2"/>
      </w:pPr>
      <w:r w:rsidRPr="001D782C">
        <w:t xml:space="preserve">integration of tasks with possible interruptions to work typical of the job role </w:t>
      </w:r>
    </w:p>
    <w:p w:rsidR="00000000" w:rsidRPr="001D782C" w:rsidP="001D782C">
      <w:pPr>
        <w:pStyle w:val="ListBullet2"/>
      </w:pPr>
      <w:r w:rsidRPr="001D782C">
        <w:t xml:space="preserve">speed and timing requirements that reflect commercial operating conditions </w:t>
      </w:r>
    </w:p>
    <w:p w:rsidR="00000000" w:rsidRPr="001D782C" w:rsidP="001D782C">
      <w:pPr>
        <w:pStyle w:val="ListBullet2"/>
      </w:pPr>
      <w:r w:rsidRPr="001D782C">
        <w:t>interaction with team members</w:t>
      </w:r>
    </w:p>
    <w:p w:rsidR="00000000" w:rsidRPr="001D782C" w:rsidP="001D782C">
      <w:pPr>
        <w:pStyle w:val="BodyText"/>
      </w:pPr>
    </w:p>
    <w:p w:rsidR="00000000" w:rsidRPr="001D782C" w:rsidP="001351BF">
      <w:pPr>
        <w:pStyle w:val="BodyText"/>
      </w:pPr>
      <w:r w:rsidRPr="001D782C">
        <w:t>Assessors must satisfy the NVR/AQTF mandatory competency requirements for assessors.</w:t>
      </w:r>
    </w:p>
    <w:p w:rsidR="00000000" w:rsidRPr="001D782C" w:rsidP="001D782C">
      <w:pPr>
        <w:pStyle w:val="Heading1"/>
      </w:pPr>
      <w:bookmarkStart w:id="13" w:name="O_581966"/>
      <w:bookmarkEnd w:id="13"/>
      <w:r w:rsidRPr="001D782C">
        <w:t>Links</w:t>
      </w:r>
    </w:p>
    <w:p w:rsidR="00000000" w:rsidRPr="001D782C" w:rsidP="001351BF">
      <w:pPr>
        <w:pStyle w:val="BodyText"/>
      </w:pPr>
      <w:r w:rsidRPr="001D78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C5D5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D782C" w:rsidP="001D782C"/>
    <w:sectPr w:rsidSect="001D78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 w:rsidRPr="001351BF" w:rsidP="00135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F" w:rsidP="001D7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1BF" w:rsidP="001D7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51BF" w:rsidP="001D78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 w:rsidP="001D7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1BF">
      <w:t>Approved</w:t>
    </w:r>
    <w:r w:rsidR="001351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1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1BF">
      <w:rPr>
        <w:noProof/>
      </w:rPr>
      <w:t>4</w:t>
    </w:r>
    <w:r>
      <w:rPr>
        <w:noProof/>
      </w:rPr>
      <w:fldChar w:fldCharType="end"/>
    </w:r>
  </w:p>
  <w:p w:rsidR="001D782C" w:rsidP="001D7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1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1BF">
      <w:t>Service and Creative Skills Australia</w:t>
    </w:r>
    <w:r w:rsidR="001351BF">
      <w:fldChar w:fldCharType="end"/>
    </w:r>
  </w:p>
  <w:p w:rsidR="001D782C" w:rsidP="001D7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82C" w:rsidRPr="001351BF" w:rsidP="00135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F" w:rsidRPr="002D2AF8" w:rsidP="001D7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SIFCBCR001 Bury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1BF" w:rsidP="001D78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2C" w:rsidRPr="002D2AF8" w:rsidP="001D7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1BF">
      <w:t>SIFCBCR001 Bury coffins and caskets</w:t>
    </w:r>
    <w:r w:rsidR="001351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1BF">
      <w:rPr>
        <w:noProof/>
      </w:rPr>
      <w:t>2 March 2025</w:t>
    </w:r>
    <w:r>
      <w:fldChar w:fldCharType="end"/>
    </w:r>
  </w:p>
  <w:p w:rsidR="001D782C" w:rsidP="001D7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AB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2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C2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82C"/>
  </w:style>
  <w:style w:type="character" w:customStyle="1" w:styleId="Heading1Char">
    <w:name w:val="Heading 1 Char"/>
    <w:basedOn w:val="DefaultParagraphFont"/>
    <w:link w:val="Heading1"/>
    <w:rsid w:val="001D7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8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8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8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82C"/>
    <w:rPr>
      <w:b/>
      <w:spacing w:val="0"/>
    </w:rPr>
  </w:style>
  <w:style w:type="paragraph" w:styleId="ListBullet2">
    <w:name w:val="List Bullet 2"/>
    <w:basedOn w:val="List2"/>
    <w:rsid w:val="001D78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78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7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8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8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82C"/>
    <w:rPr>
      <w:i/>
    </w:rPr>
  </w:style>
  <w:style w:type="paragraph" w:styleId="Caption">
    <w:name w:val="caption"/>
    <w:basedOn w:val="BodyText"/>
    <w:next w:val="Normal"/>
    <w:qFormat/>
    <w:rsid w:val="001D7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82C"/>
  </w:style>
  <w:style w:type="paragraph" w:styleId="TableofFigures">
    <w:name w:val="table of figures"/>
    <w:basedOn w:val="Normal"/>
    <w:next w:val="Normal"/>
    <w:semiHidden/>
    <w:rsid w:val="001D7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8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782C"/>
    <w:rPr>
      <w:rFonts w:ascii="Wingdings" w:hAnsi="Wingdings"/>
    </w:rPr>
  </w:style>
  <w:style w:type="paragraph" w:customStyle="1" w:styleId="TableHeading">
    <w:name w:val="Table Heading"/>
    <w:basedOn w:val="HeadingBase"/>
    <w:rsid w:val="001D7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82C"/>
    <w:rPr>
      <w:color w:val="0033CC"/>
      <w:u w:val="none"/>
    </w:rPr>
  </w:style>
  <w:style w:type="paragraph" w:customStyle="1" w:styleId="BodyTextRight">
    <w:name w:val="Body Text Right"/>
    <w:basedOn w:val="BodyText"/>
    <w:rsid w:val="001D7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8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82C"/>
    <w:rPr>
      <w:sz w:val="32"/>
    </w:rPr>
  </w:style>
  <w:style w:type="paragraph" w:customStyle="1" w:styleId="HeadingProcedure">
    <w:name w:val="Heading Procedure"/>
    <w:basedOn w:val="HeadingBase"/>
    <w:next w:val="Normal"/>
    <w:rsid w:val="001D7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82C"/>
    <w:pPr>
      <w:spacing w:before="60" w:after="60"/>
    </w:pPr>
  </w:style>
  <w:style w:type="paragraph" w:styleId="ListContinue">
    <w:name w:val="List Continue"/>
    <w:basedOn w:val="List"/>
    <w:rsid w:val="001D782C"/>
    <w:pPr>
      <w:ind w:firstLine="0"/>
    </w:pPr>
  </w:style>
  <w:style w:type="paragraph" w:customStyle="1" w:styleId="ListNote">
    <w:name w:val="List Note"/>
    <w:basedOn w:val="List"/>
    <w:rsid w:val="001D7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82C"/>
    <w:rPr>
      <w:rFonts w:ascii="Courier New" w:hAnsi="Courier New"/>
    </w:rPr>
  </w:style>
  <w:style w:type="paragraph" w:customStyle="1" w:styleId="NoteBullet">
    <w:name w:val="Note Bullet"/>
    <w:basedOn w:val="Note"/>
    <w:rsid w:val="001D7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8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7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82C"/>
    <w:rPr>
      <w:b/>
      <w:smallCaps/>
    </w:rPr>
  </w:style>
  <w:style w:type="paragraph" w:customStyle="1" w:styleId="TableListNumber">
    <w:name w:val="Table List Number"/>
    <w:basedOn w:val="ListNumber"/>
    <w:rsid w:val="001D7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82C"/>
    <w:pPr>
      <w:numPr>
        <w:numId w:val="10"/>
      </w:numPr>
    </w:pPr>
  </w:style>
  <w:style w:type="paragraph" w:customStyle="1" w:styleId="ListAlpha2">
    <w:name w:val="List Alpha 2"/>
    <w:basedOn w:val="List2"/>
    <w:rsid w:val="001D782C"/>
    <w:pPr>
      <w:numPr>
        <w:numId w:val="9"/>
      </w:numPr>
    </w:pPr>
  </w:style>
  <w:style w:type="paragraph" w:styleId="List2">
    <w:name w:val="List 2"/>
    <w:basedOn w:val="BodyText"/>
    <w:rsid w:val="001D7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8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78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782C"/>
    <w:pPr>
      <w:numPr>
        <w:numId w:val="5"/>
      </w:numPr>
    </w:pPr>
  </w:style>
  <w:style w:type="paragraph" w:styleId="ListContinue2">
    <w:name w:val="List Continue 2"/>
    <w:basedOn w:val="List2"/>
    <w:rsid w:val="001D782C"/>
    <w:pPr>
      <w:ind w:firstLine="0"/>
    </w:pPr>
  </w:style>
  <w:style w:type="paragraph" w:styleId="ListContinue3">
    <w:name w:val="List Continue 3"/>
    <w:basedOn w:val="List3"/>
    <w:rsid w:val="001D782C"/>
    <w:pPr>
      <w:ind w:left="1021" w:firstLine="0"/>
    </w:pPr>
  </w:style>
  <w:style w:type="paragraph" w:styleId="ListContinue4">
    <w:name w:val="List Continue 4"/>
    <w:basedOn w:val="List4"/>
    <w:rsid w:val="001D782C"/>
    <w:pPr>
      <w:ind w:firstLine="0"/>
    </w:pPr>
  </w:style>
  <w:style w:type="paragraph" w:styleId="ListContinue5">
    <w:name w:val="List Continue 5"/>
    <w:basedOn w:val="List5"/>
    <w:rsid w:val="001D782C"/>
    <w:pPr>
      <w:ind w:firstLine="0"/>
    </w:pPr>
  </w:style>
  <w:style w:type="paragraph" w:styleId="ListNumber3">
    <w:name w:val="List Number 3"/>
    <w:basedOn w:val="List3"/>
    <w:rsid w:val="001D782C"/>
    <w:pPr>
      <w:numPr>
        <w:numId w:val="6"/>
      </w:numPr>
    </w:pPr>
  </w:style>
  <w:style w:type="paragraph" w:styleId="ListNumber4">
    <w:name w:val="List Number 4"/>
    <w:basedOn w:val="List4"/>
    <w:rsid w:val="001D782C"/>
    <w:pPr>
      <w:numPr>
        <w:numId w:val="7"/>
      </w:numPr>
    </w:pPr>
  </w:style>
  <w:style w:type="paragraph" w:styleId="ListNumber5">
    <w:name w:val="List Number 5"/>
    <w:basedOn w:val="List5"/>
    <w:rsid w:val="001D782C"/>
    <w:pPr>
      <w:numPr>
        <w:numId w:val="8"/>
      </w:numPr>
    </w:pPr>
  </w:style>
  <w:style w:type="paragraph" w:styleId="BlockText">
    <w:name w:val="Block Text"/>
    <w:basedOn w:val="Normal"/>
    <w:rsid w:val="001D7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82C"/>
    <w:rPr>
      <w:sz w:val="16"/>
      <w:vertAlign w:val="superscript"/>
    </w:rPr>
  </w:style>
  <w:style w:type="character" w:customStyle="1" w:styleId="Symbols">
    <w:name w:val="Symbols"/>
    <w:basedOn w:val="DefaultParagraphFont"/>
    <w:rsid w:val="001D782C"/>
    <w:rPr>
      <w:rFonts w:ascii="Symbol" w:hAnsi="Symbol"/>
    </w:rPr>
  </w:style>
  <w:style w:type="character" w:customStyle="1" w:styleId="MenuOptions">
    <w:name w:val="Menu Options"/>
    <w:basedOn w:val="DefaultParagraphFont"/>
    <w:rsid w:val="001D7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82C"/>
    <w:rPr>
      <w:b/>
    </w:rPr>
  </w:style>
  <w:style w:type="character" w:customStyle="1" w:styleId="Underlined">
    <w:name w:val="Underlined"/>
    <w:basedOn w:val="DefaultParagraphFont"/>
    <w:rsid w:val="001D782C"/>
    <w:rPr>
      <w:u w:val="single"/>
    </w:rPr>
  </w:style>
  <w:style w:type="paragraph" w:customStyle="1" w:styleId="TableBodyTextRight">
    <w:name w:val="Table Body Text Right"/>
    <w:basedOn w:val="TableBodyText"/>
    <w:rsid w:val="001D7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82C"/>
    <w:rPr>
      <w:sz w:val="18"/>
    </w:rPr>
  </w:style>
  <w:style w:type="paragraph" w:customStyle="1" w:styleId="BodySmallRight">
    <w:name w:val="Body Small Right"/>
    <w:basedOn w:val="BodyTextRight"/>
    <w:rsid w:val="001D782C"/>
    <w:rPr>
      <w:sz w:val="18"/>
      <w:szCs w:val="18"/>
    </w:rPr>
  </w:style>
  <w:style w:type="paragraph" w:customStyle="1" w:styleId="MarginEdition">
    <w:name w:val="Margin Edition"/>
    <w:basedOn w:val="MarginNote"/>
    <w:rsid w:val="001D7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82C"/>
    <w:rPr>
      <w:sz w:val="2"/>
      <w:szCs w:val="2"/>
    </w:rPr>
  </w:style>
  <w:style w:type="character" w:customStyle="1" w:styleId="Small">
    <w:name w:val="Small"/>
    <w:basedOn w:val="DefaultParagraphFont"/>
    <w:rsid w:val="001D782C"/>
    <w:rPr>
      <w:sz w:val="16"/>
    </w:rPr>
  </w:style>
  <w:style w:type="paragraph" w:customStyle="1" w:styleId="WideTable">
    <w:name w:val="Wide Table"/>
    <w:basedOn w:val="Normal"/>
    <w:rsid w:val="001D7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82C"/>
  </w:style>
  <w:style w:type="paragraph" w:styleId="Quote">
    <w:name w:val="Quote"/>
    <w:basedOn w:val="Heading1"/>
    <w:link w:val="QuoteChar"/>
    <w:qFormat/>
    <w:rsid w:val="001D7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82C"/>
    <w:pPr>
      <w:pageBreakBefore/>
    </w:pPr>
  </w:style>
  <w:style w:type="paragraph" w:customStyle="1" w:styleId="Border">
    <w:name w:val="Border"/>
    <w:basedOn w:val="Normal"/>
    <w:qFormat/>
    <w:rsid w:val="001D7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82C"/>
    <w:rPr>
      <w:u w:val="single"/>
    </w:rPr>
  </w:style>
  <w:style w:type="character" w:customStyle="1" w:styleId="BoldandItalics">
    <w:name w:val="Bold and Italics"/>
    <w:qFormat/>
    <w:rsid w:val="001D782C"/>
    <w:rPr>
      <w:b/>
      <w:i/>
      <w:u w:val="none"/>
    </w:rPr>
  </w:style>
  <w:style w:type="paragraph" w:styleId="BalloonText">
    <w:name w:val="Balloon Text"/>
    <w:basedOn w:val="Normal"/>
    <w:link w:val="BalloonTextChar"/>
    <w:rsid w:val="001D7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82C"/>
    <w:pPr>
      <w:spacing w:before="0" w:after="0"/>
    </w:pPr>
  </w:style>
  <w:style w:type="paragraph" w:customStyle="1" w:styleId="BodyTextBold">
    <w:name w:val="Body Text Bold"/>
    <w:basedOn w:val="BodyText"/>
    <w:qFormat/>
    <w:rsid w:val="001D782C"/>
    <w:rPr>
      <w:b/>
    </w:rPr>
  </w:style>
  <w:style w:type="character" w:styleId="Hyperlink">
    <w:name w:val="Hyperlink"/>
    <w:basedOn w:val="DefaultParagraphFont"/>
    <w:uiPriority w:val="99"/>
    <w:unhideWhenUsed/>
    <w:rsid w:val="00135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4379</Characters>
  <Application>Microsoft Office Word</Application>
  <DocSecurity>0</DocSecurity>
  <Lines>151</Lines>
  <Paragraphs>107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SIFCBCR001 Bury coffins and caskets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