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18AE" w:rsidP="00DD18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SIFCBCR001 Bury coffins and caskets</w:t>
      </w:r>
      <w:r>
        <w:fldChar w:fldCharType="end"/>
      </w:r>
    </w:p>
    <w:p w:rsidR="00DD18AE" w:rsidP="00DD18AE">
      <w:pPr>
        <w:pStyle w:val="Version"/>
        <w:sectPr w:rsidSect="00652C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52C6F" w:rsidP="00652C6F">
      <w:pPr>
        <w:pStyle w:val="SuperHeading"/>
      </w:pPr>
      <w:r w:rsidRPr="00652C6F">
        <w:t>Assessment Requirements for SIFCBCR001 Bury coffins and caskets</w:t>
      </w:r>
    </w:p>
    <w:p w:rsidR="00000000" w:rsidRPr="00652C6F" w:rsidP="00652C6F">
      <w:pPr>
        <w:pStyle w:val="Heading1"/>
      </w:pPr>
      <w:bookmarkStart w:id="1" w:name="O_581965"/>
      <w:bookmarkEnd w:id="1"/>
      <w:r w:rsidRPr="00652C6F">
        <w:t>Modification History</w:t>
      </w:r>
    </w:p>
    <w:p w:rsidR="00000000" w:rsidRPr="00652C6F" w:rsidP="00652C6F">
      <w:pPr>
        <w:pStyle w:val="BodyText"/>
      </w:pPr>
      <w:r w:rsidRPr="00652C6F">
        <w:t>The details of this endorsed unit are in the table below. The latest information is at the top.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13"/>
        <w:gridCol w:w="4621"/>
      </w:tblGrid>
      <w:tr w:rsidTr="00652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C6F" w:rsidP="00652C6F">
            <w:pPr>
              <w:pStyle w:val="BodyText"/>
            </w:pPr>
            <w:r w:rsidRPr="00652C6F">
              <w:rPr>
                <w:rStyle w:val="SpecialBold"/>
              </w:rPr>
              <w:t>Release</w:t>
            </w:r>
          </w:p>
        </w:tc>
        <w:tc>
          <w:tcPr>
            <w:tcW w:w="4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C6F">
            <w:pPr>
              <w:pStyle w:val="BodyText"/>
              <w:rPr>
                <w:lang w:val="en-NZ"/>
              </w:rPr>
            </w:pPr>
            <w:r w:rsidRPr="00652C6F">
              <w:rPr>
                <w:rStyle w:val="SpecialBold"/>
              </w:rPr>
              <w:t>Comments</w:t>
            </w:r>
          </w:p>
        </w:tc>
      </w:tr>
      <w:tr w:rsidTr="00652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C6F">
            <w:pPr>
              <w:pStyle w:val="BodyText"/>
              <w:rPr>
                <w:lang w:val="en-NZ"/>
              </w:rPr>
            </w:pPr>
            <w:r w:rsidRPr="00652C6F">
              <w:t>Two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C6F">
            <w:pPr>
              <w:pStyle w:val="BodyText"/>
              <w:rPr>
                <w:lang w:val="en-NZ"/>
              </w:rPr>
            </w:pPr>
            <w:r w:rsidRPr="00652C6F">
              <w:t>Editorial correction to formatting of Performance Evidence.</w:t>
            </w:r>
          </w:p>
        </w:tc>
      </w:tr>
      <w:tr w:rsidTr="00652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C6F">
            <w:pPr>
              <w:pStyle w:val="BodyText"/>
              <w:rPr>
                <w:lang w:val="en-NZ"/>
              </w:rPr>
            </w:pPr>
            <w:r w:rsidRPr="00652C6F">
              <w:t>One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C6F" w:rsidP="00652C6F">
            <w:pPr>
              <w:pStyle w:val="BodyText"/>
            </w:pPr>
            <w:r w:rsidRPr="00652C6F">
              <w:t xml:space="preserve"> Reflects the Standards for Training Packages.</w:t>
            </w:r>
          </w:p>
        </w:tc>
      </w:tr>
    </w:tbl>
    <w:p w:rsidR="00000000" w:rsidRPr="00652C6F" w:rsidP="00652C6F">
      <w:pPr>
        <w:pStyle w:val="BodyText"/>
      </w:pPr>
    </w:p>
    <w:p w:rsidR="00000000" w:rsidRPr="00652C6F" w:rsidP="00652C6F">
      <w:pPr>
        <w:pStyle w:val="AllowPageBreak"/>
      </w:pPr>
    </w:p>
    <w:p w:rsidR="00000000" w:rsidRPr="00652C6F" w:rsidP="00652C6F">
      <w:pPr>
        <w:pStyle w:val="Heading1"/>
      </w:pPr>
      <w:bookmarkStart w:id="2" w:name="O_581964"/>
      <w:bookmarkEnd w:id="2"/>
      <w:r w:rsidRPr="00652C6F">
        <w:t>Performance Evidence</w:t>
      </w:r>
    </w:p>
    <w:p w:rsidR="00000000" w:rsidRPr="00652C6F" w:rsidP="00652C6F">
      <w:pPr>
        <w:pStyle w:val="BodyText"/>
      </w:pPr>
      <w:r w:rsidRPr="00652C6F">
        <w:t>Evidence of the ability to:</w:t>
      </w:r>
    </w:p>
    <w:p w:rsidR="00000000" w:rsidRPr="00652C6F" w:rsidP="00652C6F">
      <w:pPr>
        <w:pStyle w:val="ListBullet"/>
      </w:pPr>
      <w:r w:rsidRPr="00652C6F">
        <w:t xml:space="preserve">select, prepare and safely use, the required equipment and lifting devices </w:t>
      </w:r>
    </w:p>
    <w:p w:rsidR="00000000" w:rsidRPr="00652C6F" w:rsidP="00652C6F">
      <w:pPr>
        <w:pStyle w:val="ListBullet"/>
      </w:pPr>
      <w:r w:rsidRPr="00652C6F">
        <w:t>bury coffins and caskets safely and efficiently according to work requirements and client guidelines</w:t>
      </w:r>
    </w:p>
    <w:p w:rsidR="00000000" w:rsidRPr="00652C6F" w:rsidP="00652C6F">
      <w:pPr>
        <w:pStyle w:val="ListBullet"/>
      </w:pPr>
      <w:r w:rsidRPr="00652C6F">
        <w:t>use safe manual handling techniques when handling coffins and caskets.</w:t>
      </w:r>
    </w:p>
    <w:p w:rsidR="00000000" w:rsidRPr="00652C6F" w:rsidP="00652C6F">
      <w:pPr>
        <w:pStyle w:val="BodyText"/>
      </w:pPr>
    </w:p>
    <w:p w:rsidR="00000000" w:rsidRPr="00652C6F" w:rsidP="00652C6F">
      <w:pPr>
        <w:pStyle w:val="BodyText"/>
      </w:pPr>
      <w:r w:rsidRPr="00652C6F">
        <w:t>Evidence of performance of burying coffins and caskets on two or more occasions is</w:t>
      </w:r>
      <w:r w:rsidRPr="00652C6F">
        <w:t xml:space="preserve"> required to demonstrate consistency of performance and ability to respond to different situations.</w:t>
      </w:r>
    </w:p>
    <w:p w:rsidR="00000000" w:rsidRPr="00652C6F" w:rsidP="00652C6F">
      <w:pPr>
        <w:pStyle w:val="AllowPageBreak"/>
      </w:pPr>
    </w:p>
    <w:p w:rsidR="00000000" w:rsidRPr="00652C6F" w:rsidP="00652C6F">
      <w:pPr>
        <w:pStyle w:val="Heading1"/>
      </w:pPr>
      <w:bookmarkStart w:id="3" w:name="O_581963"/>
      <w:bookmarkEnd w:id="3"/>
      <w:r w:rsidRPr="00652C6F">
        <w:t>Knowledge Evidence</w:t>
      </w:r>
    </w:p>
    <w:p w:rsidR="00000000" w:rsidRPr="00652C6F" w:rsidP="00652C6F">
      <w:pPr>
        <w:pStyle w:val="BodyText"/>
      </w:pPr>
      <w:r w:rsidRPr="00652C6F">
        <w:t>Demonstrated knowledge of:</w:t>
      </w:r>
    </w:p>
    <w:p w:rsidR="00000000" w:rsidRPr="00652C6F" w:rsidP="00652C6F">
      <w:pPr>
        <w:pStyle w:val="ListBullet"/>
      </w:pPr>
      <w:r w:rsidRPr="00652C6F">
        <w:t>burial procedures</w:t>
      </w:r>
    </w:p>
    <w:p w:rsidR="00000000" w:rsidRPr="00652C6F" w:rsidP="00652C6F">
      <w:pPr>
        <w:pStyle w:val="ListBullet"/>
      </w:pPr>
      <w:r w:rsidRPr="00652C6F">
        <w:t>considerations when planning for burying coffins and caskets, including:</w:t>
      </w:r>
    </w:p>
    <w:p w:rsidR="00000000" w:rsidRPr="00652C6F" w:rsidP="00652C6F">
      <w:pPr>
        <w:pStyle w:val="ListBullet2"/>
      </w:pPr>
      <w:r w:rsidRPr="00652C6F">
        <w:t xml:space="preserve">time of burial </w:t>
      </w:r>
    </w:p>
    <w:p w:rsidR="00000000" w:rsidRPr="00652C6F" w:rsidP="00652C6F">
      <w:pPr>
        <w:pStyle w:val="ListBullet2"/>
      </w:pPr>
      <w:r w:rsidRPr="00652C6F">
        <w:t>location of burial:</w:t>
      </w:r>
    </w:p>
    <w:p w:rsidR="00000000" w:rsidRPr="00652C6F" w:rsidP="00652C6F">
      <w:pPr>
        <w:pStyle w:val="ListBullet3"/>
      </w:pPr>
      <w:r w:rsidRPr="00652C6F">
        <w:t>monumental cemeteries</w:t>
      </w:r>
    </w:p>
    <w:p w:rsidR="00000000" w:rsidRPr="00652C6F" w:rsidP="00652C6F">
      <w:pPr>
        <w:pStyle w:val="ListBullet3"/>
      </w:pPr>
      <w:r w:rsidRPr="00652C6F">
        <w:t>lawn cemeteries</w:t>
      </w:r>
    </w:p>
    <w:p w:rsidR="00000000" w:rsidRPr="00652C6F" w:rsidP="00652C6F">
      <w:pPr>
        <w:pStyle w:val="ListBullet3"/>
      </w:pPr>
      <w:r w:rsidRPr="00652C6F">
        <w:t>mausoleum crypts</w:t>
      </w:r>
    </w:p>
    <w:p w:rsidR="00000000" w:rsidRPr="00652C6F" w:rsidP="00652C6F">
      <w:pPr>
        <w:pStyle w:val="ListBullet3"/>
      </w:pPr>
      <w:r w:rsidRPr="00652C6F">
        <w:t>memorial gardens</w:t>
      </w:r>
    </w:p>
    <w:p w:rsidR="00000000" w:rsidRPr="00652C6F" w:rsidP="00652C6F">
      <w:pPr>
        <w:pStyle w:val="ListBullet3"/>
      </w:pPr>
      <w:r w:rsidRPr="00652C6F">
        <w:t>cemeteries with historical or cultural significance</w:t>
      </w:r>
    </w:p>
    <w:p w:rsidR="00000000" w:rsidRPr="00652C6F" w:rsidP="00652C6F">
      <w:pPr>
        <w:pStyle w:val="ListBullet3"/>
      </w:pPr>
      <w:r w:rsidRPr="00652C6F">
        <w:t>at sea</w:t>
      </w:r>
    </w:p>
    <w:p w:rsidR="00000000" w:rsidRPr="00652C6F" w:rsidP="00652C6F">
      <w:pPr>
        <w:pStyle w:val="ListBullet2"/>
      </w:pPr>
      <w:r w:rsidRPr="00652C6F">
        <w:t>transport requirements</w:t>
      </w:r>
    </w:p>
    <w:p w:rsidR="00000000" w:rsidRPr="00652C6F" w:rsidP="00652C6F">
      <w:pPr>
        <w:pStyle w:val="ListBullet2"/>
      </w:pPr>
      <w:r w:rsidRPr="00652C6F">
        <w:t>client requirements</w:t>
      </w:r>
    </w:p>
    <w:p w:rsidR="00000000" w:rsidRPr="00652C6F" w:rsidP="00652C6F">
      <w:pPr>
        <w:pStyle w:val="ListBullet2"/>
      </w:pPr>
      <w:r w:rsidRPr="00652C6F">
        <w:t>required staff</w:t>
      </w:r>
    </w:p>
    <w:p w:rsidR="00000000" w:rsidRPr="00652C6F" w:rsidP="00652C6F">
      <w:pPr>
        <w:pStyle w:val="ListBullet"/>
      </w:pPr>
      <w:r w:rsidRPr="00652C6F">
        <w:t>social, religious and cultural practices and traditions in relation to burials:</w:t>
      </w:r>
    </w:p>
    <w:p w:rsidR="00000000" w:rsidRPr="00652C6F" w:rsidP="00652C6F">
      <w:pPr>
        <w:pStyle w:val="ListBullet2"/>
      </w:pPr>
      <w:r w:rsidRPr="00652C6F">
        <w:t>funeral rites according to religious denomination</w:t>
      </w:r>
    </w:p>
    <w:p w:rsidR="00000000" w:rsidRPr="00652C6F" w:rsidP="00652C6F">
      <w:pPr>
        <w:pStyle w:val="ListBullet2"/>
      </w:pPr>
      <w:r w:rsidRPr="00652C6F">
        <w:t>cultural rituals to assist grieving</w:t>
      </w:r>
    </w:p>
    <w:p w:rsidR="00000000" w:rsidRPr="00652C6F" w:rsidP="00652C6F">
      <w:pPr>
        <w:pStyle w:val="ListBullet2"/>
      </w:pPr>
      <w:r w:rsidRPr="00652C6F">
        <w:t>spiritual symbolism</w:t>
      </w:r>
    </w:p>
    <w:p w:rsidR="00000000" w:rsidRPr="00652C6F" w:rsidP="00652C6F">
      <w:pPr>
        <w:pStyle w:val="ListBullet2"/>
      </w:pPr>
      <w:r w:rsidRPr="00652C6F">
        <w:t>burial procedures</w:t>
      </w:r>
    </w:p>
    <w:p w:rsidR="00000000" w:rsidRPr="00652C6F" w:rsidP="00652C6F">
      <w:pPr>
        <w:pStyle w:val="ListBullet2"/>
      </w:pPr>
      <w:r w:rsidRPr="00652C6F">
        <w:t>time required between death and burial</w:t>
      </w:r>
    </w:p>
    <w:p w:rsidR="00000000" w:rsidRPr="00652C6F" w:rsidP="00652C6F">
      <w:pPr>
        <w:pStyle w:val="ListBullet2"/>
      </w:pPr>
      <w:r w:rsidRPr="00652C6F">
        <w:t>taboos regarding death</w:t>
      </w:r>
    </w:p>
    <w:p w:rsidR="00000000" w:rsidRPr="00652C6F" w:rsidP="00652C6F">
      <w:pPr>
        <w:pStyle w:val="ListBullet"/>
      </w:pPr>
      <w:r w:rsidRPr="00652C6F">
        <w:t>professional funeral services industry parameters in dealing with the bereaved</w:t>
      </w:r>
    </w:p>
    <w:p w:rsidR="00000000" w:rsidRPr="00652C6F" w:rsidP="00652C6F">
      <w:pPr>
        <w:pStyle w:val="ListBullet"/>
      </w:pPr>
      <w:r w:rsidRPr="00652C6F">
        <w:t>federal, state or territory, and local government legislation and regulations relating to work health and safety/occupational health and safety and the c</w:t>
      </w:r>
      <w:r w:rsidRPr="00652C6F">
        <w:t>onduct of burials</w:t>
      </w:r>
    </w:p>
    <w:p w:rsidR="00000000" w:rsidRPr="00652C6F" w:rsidP="00652C6F">
      <w:pPr>
        <w:pStyle w:val="ListBullet"/>
      </w:pPr>
      <w:r w:rsidRPr="00652C6F">
        <w:t>workplace policies and procedures regarding the conduct of burials</w:t>
      </w:r>
    </w:p>
    <w:p w:rsidR="00000000" w:rsidRPr="00652C6F" w:rsidP="00652C6F">
      <w:pPr>
        <w:pStyle w:val="ListBullet"/>
      </w:pPr>
      <w:r w:rsidRPr="00652C6F">
        <w:t>operating requirements of relevant lifting devices and equipment:</w:t>
      </w:r>
    </w:p>
    <w:p w:rsidR="00000000" w:rsidRPr="00652C6F" w:rsidP="00652C6F">
      <w:pPr>
        <w:pStyle w:val="ListBullet2"/>
      </w:pPr>
      <w:r w:rsidRPr="00652C6F">
        <w:t>lowering straps</w:t>
      </w:r>
    </w:p>
    <w:p w:rsidR="00000000" w:rsidRPr="00652C6F" w:rsidP="00652C6F">
      <w:pPr>
        <w:pStyle w:val="ListBullet2"/>
      </w:pPr>
      <w:r w:rsidRPr="00652C6F">
        <w:t>mats</w:t>
      </w:r>
    </w:p>
    <w:p w:rsidR="00000000" w:rsidRPr="00652C6F" w:rsidP="00652C6F">
      <w:pPr>
        <w:pStyle w:val="ListBullet2"/>
      </w:pPr>
      <w:r w:rsidRPr="00652C6F">
        <w:t>scissor lift</w:t>
      </w:r>
    </w:p>
    <w:p w:rsidR="00000000" w:rsidRPr="00652C6F" w:rsidP="00652C6F">
      <w:pPr>
        <w:pStyle w:val="ListBullet2"/>
      </w:pPr>
      <w:r w:rsidRPr="00652C6F">
        <w:t>protective restraints</w:t>
      </w:r>
    </w:p>
    <w:p w:rsidR="00000000" w:rsidRPr="00652C6F" w:rsidP="00652C6F">
      <w:pPr>
        <w:pStyle w:val="ListBullet"/>
      </w:pPr>
      <w:r w:rsidRPr="00652C6F">
        <w:t>manual handling techniques in relation to handling and burying coffins and caskets.</w:t>
      </w:r>
    </w:p>
    <w:p w:rsidR="00000000" w:rsidRPr="00652C6F" w:rsidP="00652C6F">
      <w:pPr>
        <w:pStyle w:val="AllowPageBreak"/>
      </w:pPr>
    </w:p>
    <w:p w:rsidR="00000000" w:rsidRPr="00652C6F" w:rsidP="00652C6F">
      <w:pPr>
        <w:pStyle w:val="Heading1"/>
      </w:pPr>
      <w:bookmarkStart w:id="4" w:name="O_581962"/>
      <w:bookmarkEnd w:id="4"/>
      <w:r w:rsidRPr="00652C6F">
        <w:t>Assessment Conditions</w:t>
      </w:r>
    </w:p>
    <w:p w:rsidR="00000000" w:rsidRPr="00652C6F" w:rsidP="00652C6F">
      <w:pPr>
        <w:pStyle w:val="BodyText"/>
      </w:pPr>
      <w:r w:rsidRPr="00652C6F">
        <w:t xml:space="preserve">Skills must be demonstrated in the workplace or in a simulated environment that is as industry realistic as possible. In a simulated </w:t>
      </w:r>
      <w:r w:rsidRPr="00652C6F">
        <w:t xml:space="preserve">environment, it is essential that assessment is conducted: </w:t>
      </w:r>
    </w:p>
    <w:p w:rsidR="00000000" w:rsidRPr="00652C6F" w:rsidP="00652C6F">
      <w:pPr>
        <w:pStyle w:val="ListBullet"/>
      </w:pPr>
      <w:r w:rsidRPr="00652C6F">
        <w:t>using suitable facilities, equipment and resources, including:</w:t>
      </w:r>
    </w:p>
    <w:p w:rsidR="00000000" w:rsidRPr="00652C6F" w:rsidP="00652C6F">
      <w:pPr>
        <w:pStyle w:val="ListBullet2"/>
      </w:pPr>
      <w:r w:rsidRPr="00652C6F">
        <w:t>an environment where demonstration of skills for a range of burial requirements can be performed, including transportation of coffi</w:t>
      </w:r>
      <w:r w:rsidRPr="00652C6F">
        <w:t>ns or caskets from funeral service facilities to burial locations</w:t>
      </w:r>
    </w:p>
    <w:p w:rsidR="00000000" w:rsidRPr="00652C6F" w:rsidP="00652C6F">
      <w:pPr>
        <w:pStyle w:val="ListBullet2"/>
      </w:pPr>
      <w:r w:rsidRPr="00652C6F">
        <w:t>coffins or caskets, funeral transport vehicles and lowering and lifting devices</w:t>
      </w:r>
    </w:p>
    <w:p w:rsidR="00000000" w:rsidRPr="00652C6F" w:rsidP="00652C6F">
      <w:pPr>
        <w:pStyle w:val="ListBullet"/>
      </w:pPr>
      <w:r w:rsidRPr="00652C6F">
        <w:t xml:space="preserve">under industry conditions where there is: </w:t>
      </w:r>
    </w:p>
    <w:p w:rsidR="00000000" w:rsidRPr="00652C6F" w:rsidP="00652C6F">
      <w:pPr>
        <w:pStyle w:val="ListBullet2"/>
      </w:pPr>
      <w:r w:rsidRPr="00652C6F">
        <w:t xml:space="preserve">integration of tasks with possible interruptions to work typical </w:t>
      </w:r>
      <w:r w:rsidRPr="00652C6F">
        <w:t xml:space="preserve">of the job role </w:t>
      </w:r>
    </w:p>
    <w:p w:rsidR="00000000" w:rsidRPr="00652C6F" w:rsidP="00652C6F">
      <w:pPr>
        <w:pStyle w:val="ListBullet2"/>
      </w:pPr>
      <w:r w:rsidRPr="00652C6F">
        <w:t xml:space="preserve">speed and timing requirements that reflect commercial operating conditions </w:t>
      </w:r>
    </w:p>
    <w:p w:rsidR="00000000" w:rsidRPr="00652C6F" w:rsidP="00652C6F">
      <w:pPr>
        <w:pStyle w:val="ListBullet2"/>
      </w:pPr>
      <w:r w:rsidRPr="00652C6F">
        <w:t>interaction with team members</w:t>
      </w:r>
    </w:p>
    <w:p w:rsidR="00000000" w:rsidRPr="00652C6F" w:rsidP="00652C6F">
      <w:pPr>
        <w:pStyle w:val="BodyText"/>
      </w:pPr>
    </w:p>
    <w:p w:rsidR="00000000" w:rsidRPr="00652C6F" w:rsidP="00652C6F">
      <w:pPr>
        <w:pStyle w:val="BodyText"/>
      </w:pPr>
      <w:r w:rsidRPr="00652C6F">
        <w:t>Assessors must satisfy the NVR/AQTF mandatory competency requirements for assessors.</w:t>
      </w:r>
    </w:p>
    <w:p w:rsidR="00000000" w:rsidRPr="00652C6F" w:rsidP="00652C6F">
      <w:pPr>
        <w:pStyle w:val="AllowPageBreak"/>
      </w:pPr>
    </w:p>
    <w:p w:rsidR="00000000" w:rsidRPr="00652C6F" w:rsidP="00652C6F">
      <w:pPr>
        <w:pStyle w:val="Heading1"/>
      </w:pPr>
      <w:bookmarkStart w:id="5" w:name="O_581966"/>
      <w:bookmarkEnd w:id="5"/>
      <w:r w:rsidRPr="00652C6F">
        <w:t>Links</w:t>
      </w:r>
    </w:p>
    <w:p w:rsidR="00000000" w:rsidRPr="00652C6F" w:rsidP="00652C6F">
      <w:pPr>
        <w:pStyle w:val="BodyText"/>
      </w:pPr>
      <w:r w:rsidRPr="00652C6F">
        <w:t>Companion Volume Implementation Guide - http://www.serviceskills.com.au/resources</w:t>
      </w:r>
    </w:p>
    <w:p w:rsidR="00000000" w:rsidRPr="00652C6F" w:rsidP="00652C6F"/>
    <w:sectPr w:rsidSect="00652C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C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C6F" w:rsidRPr="00DD18AE" w:rsidP="00DD18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C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8AE" w:rsidP="00652C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18AE" w:rsidP="00652C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DD18AE" w:rsidP="00652C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C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C6F" w:rsidRPr="00DD18AE" w:rsidP="00DD18A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C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8AE" w:rsidRPr="002D2AF8" w:rsidP="00652C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SIFCBCR001 Bury coffins and caskets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DD18AE" w:rsidP="00652C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6CAE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4679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88B1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C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2C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2C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2C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2C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2C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2C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2C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2C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2C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2C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2C6F"/>
  </w:style>
  <w:style w:type="character" w:customStyle="1" w:styleId="Heading1Char">
    <w:name w:val="Heading 1 Char"/>
    <w:basedOn w:val="DefaultParagraphFont"/>
    <w:link w:val="Heading1"/>
    <w:rsid w:val="00652C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2C6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2C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2C6F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2C6F"/>
    <w:rPr>
      <w:b/>
      <w:spacing w:val="0"/>
    </w:rPr>
  </w:style>
  <w:style w:type="paragraph" w:styleId="ListBullet2">
    <w:name w:val="List Bullet 2"/>
    <w:basedOn w:val="List2"/>
    <w:rsid w:val="00652C6F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2C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2C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52C6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52C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2C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2C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2C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2C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2C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2C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2C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2C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2C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2C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2C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2C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2C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2C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2C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2C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2C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2C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2C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2C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2C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2C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2C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2C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2C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2C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2C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2C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2C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2C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2C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2C6F"/>
    <w:rPr>
      <w:i/>
    </w:rPr>
  </w:style>
  <w:style w:type="paragraph" w:styleId="Caption">
    <w:name w:val="caption"/>
    <w:basedOn w:val="BodyText"/>
    <w:next w:val="Normal"/>
    <w:qFormat/>
    <w:rsid w:val="00652C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2C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2C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2C6F"/>
  </w:style>
  <w:style w:type="paragraph" w:styleId="TableofFigures">
    <w:name w:val="table of figures"/>
    <w:basedOn w:val="Normal"/>
    <w:next w:val="Normal"/>
    <w:semiHidden/>
    <w:rsid w:val="00652C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2C6F"/>
    <w:pPr>
      <w:numPr>
        <w:numId w:val="12"/>
      </w:numPr>
    </w:pPr>
  </w:style>
  <w:style w:type="character" w:customStyle="1" w:styleId="WingdingSymbols">
    <w:name w:val="Wingding Symbols"/>
    <w:rsid w:val="00652C6F"/>
    <w:rPr>
      <w:rFonts w:ascii="Wingdings" w:hAnsi="Wingdings"/>
    </w:rPr>
  </w:style>
  <w:style w:type="paragraph" w:customStyle="1" w:styleId="TableHeading">
    <w:name w:val="Table Heading"/>
    <w:basedOn w:val="HeadingBase"/>
    <w:rsid w:val="00652C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2C6F"/>
    <w:rPr>
      <w:color w:val="0033CC"/>
      <w:u w:val="none"/>
    </w:rPr>
  </w:style>
  <w:style w:type="paragraph" w:customStyle="1" w:styleId="BodyTextRight">
    <w:name w:val="Body Text Right"/>
    <w:basedOn w:val="BodyText"/>
    <w:rsid w:val="00652C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2C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2C6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2C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2C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2C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2C6F"/>
    <w:rPr>
      <w:sz w:val="32"/>
    </w:rPr>
  </w:style>
  <w:style w:type="paragraph" w:customStyle="1" w:styleId="HeadingProcedure">
    <w:name w:val="Heading Procedure"/>
    <w:basedOn w:val="HeadingBase"/>
    <w:next w:val="Normal"/>
    <w:rsid w:val="00652C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2C6F"/>
    <w:pPr>
      <w:spacing w:before="60" w:after="60"/>
    </w:pPr>
  </w:style>
  <w:style w:type="paragraph" w:styleId="ListContinue">
    <w:name w:val="List Continue"/>
    <w:basedOn w:val="List"/>
    <w:rsid w:val="00652C6F"/>
    <w:pPr>
      <w:ind w:firstLine="0"/>
    </w:pPr>
  </w:style>
  <w:style w:type="paragraph" w:customStyle="1" w:styleId="ListNote">
    <w:name w:val="List Note"/>
    <w:basedOn w:val="List"/>
    <w:rsid w:val="00652C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2C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2C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2C6F"/>
    <w:rPr>
      <w:rFonts w:ascii="Courier New" w:hAnsi="Courier New"/>
    </w:rPr>
  </w:style>
  <w:style w:type="paragraph" w:customStyle="1" w:styleId="NoteBullet">
    <w:name w:val="Note Bullet"/>
    <w:basedOn w:val="Note"/>
    <w:rsid w:val="00652C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2C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2C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2C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2C6F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652C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2C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2C6F"/>
    <w:rPr>
      <w:b/>
      <w:smallCaps/>
    </w:rPr>
  </w:style>
  <w:style w:type="paragraph" w:customStyle="1" w:styleId="TableListNumber">
    <w:name w:val="Table List Number"/>
    <w:basedOn w:val="ListNumber"/>
    <w:rsid w:val="00652C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2C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2C6F"/>
    <w:pPr>
      <w:numPr>
        <w:numId w:val="10"/>
      </w:numPr>
    </w:pPr>
  </w:style>
  <w:style w:type="paragraph" w:customStyle="1" w:styleId="ListAlpha2">
    <w:name w:val="List Alpha 2"/>
    <w:basedOn w:val="List2"/>
    <w:rsid w:val="00652C6F"/>
    <w:pPr>
      <w:numPr>
        <w:numId w:val="9"/>
      </w:numPr>
    </w:pPr>
  </w:style>
  <w:style w:type="paragraph" w:styleId="List2">
    <w:name w:val="List 2"/>
    <w:basedOn w:val="BodyText"/>
    <w:rsid w:val="00652C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2C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2C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2C6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52C6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52C6F"/>
    <w:pPr>
      <w:numPr>
        <w:numId w:val="5"/>
      </w:numPr>
    </w:pPr>
  </w:style>
  <w:style w:type="paragraph" w:styleId="ListContinue2">
    <w:name w:val="List Continue 2"/>
    <w:basedOn w:val="List2"/>
    <w:rsid w:val="00652C6F"/>
    <w:pPr>
      <w:ind w:firstLine="0"/>
    </w:pPr>
  </w:style>
  <w:style w:type="paragraph" w:styleId="ListContinue3">
    <w:name w:val="List Continue 3"/>
    <w:basedOn w:val="List3"/>
    <w:rsid w:val="00652C6F"/>
    <w:pPr>
      <w:ind w:left="1021" w:firstLine="0"/>
    </w:pPr>
  </w:style>
  <w:style w:type="paragraph" w:styleId="ListContinue4">
    <w:name w:val="List Continue 4"/>
    <w:basedOn w:val="List4"/>
    <w:rsid w:val="00652C6F"/>
    <w:pPr>
      <w:ind w:firstLine="0"/>
    </w:pPr>
  </w:style>
  <w:style w:type="paragraph" w:styleId="ListContinue5">
    <w:name w:val="List Continue 5"/>
    <w:basedOn w:val="List5"/>
    <w:rsid w:val="00652C6F"/>
    <w:pPr>
      <w:ind w:firstLine="0"/>
    </w:pPr>
  </w:style>
  <w:style w:type="paragraph" w:styleId="ListNumber3">
    <w:name w:val="List Number 3"/>
    <w:basedOn w:val="List3"/>
    <w:rsid w:val="00652C6F"/>
    <w:pPr>
      <w:numPr>
        <w:numId w:val="6"/>
      </w:numPr>
    </w:pPr>
  </w:style>
  <w:style w:type="paragraph" w:styleId="ListNumber4">
    <w:name w:val="List Number 4"/>
    <w:basedOn w:val="List4"/>
    <w:rsid w:val="00652C6F"/>
    <w:pPr>
      <w:numPr>
        <w:numId w:val="7"/>
      </w:numPr>
    </w:pPr>
  </w:style>
  <w:style w:type="paragraph" w:styleId="ListNumber5">
    <w:name w:val="List Number 5"/>
    <w:basedOn w:val="List5"/>
    <w:rsid w:val="00652C6F"/>
    <w:pPr>
      <w:numPr>
        <w:numId w:val="8"/>
      </w:numPr>
    </w:pPr>
  </w:style>
  <w:style w:type="paragraph" w:styleId="BlockText">
    <w:name w:val="Block Text"/>
    <w:basedOn w:val="Normal"/>
    <w:rsid w:val="00652C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2C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2C6F"/>
    <w:rPr>
      <w:sz w:val="16"/>
      <w:vertAlign w:val="superscript"/>
    </w:rPr>
  </w:style>
  <w:style w:type="character" w:customStyle="1" w:styleId="Symbols">
    <w:name w:val="Symbols"/>
    <w:basedOn w:val="DefaultParagraphFont"/>
    <w:rsid w:val="00652C6F"/>
    <w:rPr>
      <w:rFonts w:ascii="Symbol" w:hAnsi="Symbol"/>
    </w:rPr>
  </w:style>
  <w:style w:type="character" w:customStyle="1" w:styleId="MenuOptions">
    <w:name w:val="Menu Options"/>
    <w:basedOn w:val="DefaultParagraphFont"/>
    <w:rsid w:val="00652C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2C6F"/>
    <w:rPr>
      <w:b/>
    </w:rPr>
  </w:style>
  <w:style w:type="character" w:customStyle="1" w:styleId="Underlined">
    <w:name w:val="Underlined"/>
    <w:basedOn w:val="DefaultParagraphFont"/>
    <w:rsid w:val="00652C6F"/>
    <w:rPr>
      <w:u w:val="single"/>
    </w:rPr>
  </w:style>
  <w:style w:type="paragraph" w:customStyle="1" w:styleId="TableBodyTextRight">
    <w:name w:val="Table Body Text Right"/>
    <w:basedOn w:val="TableBodyText"/>
    <w:rsid w:val="00652C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2C6F"/>
    <w:rPr>
      <w:sz w:val="18"/>
    </w:rPr>
  </w:style>
  <w:style w:type="paragraph" w:customStyle="1" w:styleId="BodySmallRight">
    <w:name w:val="Body Small Right"/>
    <w:basedOn w:val="BodyTextRight"/>
    <w:rsid w:val="00652C6F"/>
    <w:rPr>
      <w:sz w:val="18"/>
      <w:szCs w:val="18"/>
    </w:rPr>
  </w:style>
  <w:style w:type="paragraph" w:customStyle="1" w:styleId="MarginEdition">
    <w:name w:val="Margin Edition"/>
    <w:basedOn w:val="MarginNote"/>
    <w:rsid w:val="00652C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2C6F"/>
    <w:rPr>
      <w:sz w:val="2"/>
      <w:szCs w:val="2"/>
    </w:rPr>
  </w:style>
  <w:style w:type="character" w:customStyle="1" w:styleId="Small">
    <w:name w:val="Small"/>
    <w:basedOn w:val="DefaultParagraphFont"/>
    <w:rsid w:val="00652C6F"/>
    <w:rPr>
      <w:sz w:val="16"/>
    </w:rPr>
  </w:style>
  <w:style w:type="paragraph" w:customStyle="1" w:styleId="WideTable">
    <w:name w:val="Wide Table"/>
    <w:basedOn w:val="Normal"/>
    <w:rsid w:val="00652C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2C6F"/>
  </w:style>
  <w:style w:type="paragraph" w:styleId="Quote">
    <w:name w:val="Quote"/>
    <w:basedOn w:val="Heading1"/>
    <w:link w:val="QuoteChar"/>
    <w:qFormat/>
    <w:rsid w:val="00652C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2C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2C6F"/>
    <w:pPr>
      <w:pageBreakBefore/>
    </w:pPr>
  </w:style>
  <w:style w:type="paragraph" w:customStyle="1" w:styleId="Border">
    <w:name w:val="Border"/>
    <w:basedOn w:val="Normal"/>
    <w:qFormat/>
    <w:rsid w:val="00652C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2C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C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C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2C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2C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2C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2C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2C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2C6F"/>
    <w:rPr>
      <w:u w:val="single"/>
    </w:rPr>
  </w:style>
  <w:style w:type="character" w:customStyle="1" w:styleId="BoldandItalics">
    <w:name w:val="Bold and Italics"/>
    <w:qFormat/>
    <w:rsid w:val="00652C6F"/>
    <w:rPr>
      <w:b/>
      <w:i/>
      <w:u w:val="none"/>
    </w:rPr>
  </w:style>
  <w:style w:type="paragraph" w:styleId="BalloonText">
    <w:name w:val="Balloon Text"/>
    <w:basedOn w:val="Normal"/>
    <w:link w:val="BalloonTextChar"/>
    <w:rsid w:val="00652C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2C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2C6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2C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2C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2C6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400</Words>
  <Characters>2609</Characters>
  <Application>Microsoft Office Word</Application>
  <DocSecurity>0</DocSecurity>
  <Lines>77</Lines>
  <Paragraphs>60</Paragraphs>
  <ScaleCrop>false</ScaleCrop>
  <Company>Author-it Software Corporation Ltd.</Company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SIFCBCR001 Bury coffins and caskets</dc:title>
  <dc:subject>Approved</dc:subject>
  <dc:creator>Service Skills Australia</dc:creator>
  <cp:keywords>Release: 2</cp:keywords>
  <dc:description>Review Date: 12 April 2008</dc:description>
  <cp:lastModifiedBy>HSD_TPCMSd.prod</cp:lastModifiedBy>
  <cp:revision>3</cp:revision>
  <dcterms:created xsi:type="dcterms:W3CDTF">2015-07-09T04:14:00Z</dcterms:created>
  <dcterms:modified xsi:type="dcterms:W3CDTF">2015-07-09T04:14:00Z</dcterms:modified>
</cp:coreProperties>
</file>