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E1A28" w:rsidP="00AE1A28">
      <w:pPr>
        <w:pStyle w:val="Title"/>
      </w:pPr>
      <w:bookmarkStart w:id="0" w:name="_GoBack"/>
      <w:bookmarkEnd w:id="0"/>
      <w:r>
        <w:fldChar w:fldCharType="begin"/>
      </w:r>
      <w:r>
        <w:instrText xml:space="preserve"> TITLE   \* MERGEFORMAT </w:instrText>
      </w:r>
      <w:r>
        <w:fldChar w:fldCharType="separate"/>
      </w:r>
      <w:r>
        <w:t>SIBXCCS201A Conduct financial transactions</w:t>
      </w:r>
      <w:r>
        <w:fldChar w:fldCharType="end"/>
      </w:r>
    </w:p>
    <w:p w:rsidR="00AE1A28" w:rsidP="00AE1A28">
      <w:pPr>
        <w:pStyle w:val="Version"/>
        <w:sectPr w:rsidSect="00597C8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2</w:t>
      </w:r>
      <w:r>
        <w:fldChar w:fldCharType="end"/>
      </w:r>
    </w:p>
    <w:p w:rsidR="00000000" w:rsidRPr="00597C8C" w:rsidP="00597C8C">
      <w:pPr>
        <w:pStyle w:val="SuperHeading"/>
      </w:pPr>
      <w:r w:rsidRPr="00597C8C">
        <w:t>SIBXCCS201A  Conduct financial transactions</w:t>
      </w:r>
    </w:p>
    <w:p w:rsidR="00000000" w:rsidRPr="00597C8C" w:rsidP="00597C8C">
      <w:pPr>
        <w:pStyle w:val="SuperHeading"/>
      </w:pPr>
    </w:p>
    <w:p w:rsidR="00000000" w:rsidRPr="00597C8C" w:rsidP="00597C8C">
      <w:pPr>
        <w:pStyle w:val="Heading1"/>
      </w:pPr>
      <w:bookmarkStart w:id="1" w:name="O_396401"/>
      <w:bookmarkEnd w:id="1"/>
      <w:r w:rsidRPr="00597C8C">
        <w:t>Modification History</w:t>
      </w:r>
    </w:p>
    <w:p w:rsidR="00000000" w:rsidRPr="00597C8C" w:rsidP="00597C8C">
      <w:pPr>
        <w:pStyle w:val="BodyText"/>
      </w:pPr>
      <w:r w:rsidRPr="00597C8C">
        <w:t>Not applicable.</w:t>
      </w:r>
    </w:p>
    <w:p w:rsidR="00000000" w:rsidRPr="00597C8C" w:rsidP="00597C8C">
      <w:pPr>
        <w:pStyle w:val="AllowPageBreak"/>
      </w:pPr>
    </w:p>
    <w:p w:rsidR="00000000" w:rsidRPr="00597C8C" w:rsidP="00597C8C">
      <w:pPr>
        <w:pStyle w:val="Heading1"/>
      </w:pPr>
      <w:bookmarkStart w:id="2" w:name="O_396397"/>
      <w:bookmarkEnd w:id="2"/>
      <w:r w:rsidRPr="00597C8C">
        <w:t>Unit Descriptor</w:t>
      </w:r>
    </w:p>
    <w:p w:rsidR="00000000" w:rsidRPr="00597C8C" w:rsidP="00597C8C">
      <w:pPr>
        <w:pStyle w:val="BodyText"/>
      </w:pPr>
      <w:r w:rsidRPr="00597C8C">
        <w:t>This unit describes the performance</w:t>
      </w:r>
      <w:r w:rsidRPr="00597C8C">
        <w:t xml:space="preserve"> outcomes, skills and knowledge required to communicate with clients and operate a range of point-of-sale equipment to perform sales transactions and reconcile takings. The unit describes the function of performing cash handling procedures and financial tr</w:t>
      </w:r>
      <w:r w:rsidRPr="00597C8C">
        <w:t>ansactions relating to services or retail product sales in a personal services environment.</w:t>
      </w:r>
    </w:p>
    <w:p w:rsidR="00000000" w:rsidRPr="00597C8C" w:rsidP="00597C8C">
      <w:pPr>
        <w:pStyle w:val="AllowPageBreak"/>
      </w:pPr>
    </w:p>
    <w:p w:rsidR="00000000" w:rsidRPr="00597C8C" w:rsidP="00597C8C">
      <w:pPr>
        <w:pStyle w:val="Heading1"/>
      </w:pPr>
      <w:bookmarkStart w:id="3" w:name="O_396409"/>
      <w:bookmarkEnd w:id="3"/>
      <w:r w:rsidRPr="00597C8C">
        <w:t>Application of the Unit</w:t>
      </w:r>
    </w:p>
    <w:p w:rsidR="00000000" w:rsidRPr="00597C8C" w:rsidP="00597C8C">
      <w:pPr>
        <w:pStyle w:val="BodyText"/>
      </w:pPr>
      <w:r w:rsidRPr="00597C8C">
        <w:t>This unit applies to a personal services environment that may include beauty salons, hairdressing salons, nail salons and s</w:t>
      </w:r>
      <w:r w:rsidRPr="00597C8C">
        <w:t xml:space="preserve">pas. It applies to both beauty operators performing treatments who may also undertake reception duties and also to discrete reception area staff. </w:t>
      </w:r>
    </w:p>
    <w:p w:rsidR="00000000" w:rsidRPr="00597C8C" w:rsidP="00597C8C">
      <w:pPr>
        <w:pStyle w:val="AllowPageBreak"/>
      </w:pPr>
    </w:p>
    <w:p w:rsidR="00000000" w:rsidRPr="00597C8C" w:rsidP="00597C8C">
      <w:pPr>
        <w:pStyle w:val="Heading1"/>
      </w:pPr>
      <w:bookmarkStart w:id="4" w:name="O_396402"/>
      <w:bookmarkEnd w:id="4"/>
      <w:r w:rsidRPr="00597C8C">
        <w:t>Licensing/Regulatory Information</w:t>
      </w:r>
    </w:p>
    <w:p w:rsidR="00000000" w:rsidRPr="00597C8C" w:rsidP="00597C8C">
      <w:pPr>
        <w:pStyle w:val="BodyText"/>
      </w:pPr>
      <w:r w:rsidRPr="00597C8C">
        <w:t>No licensing, legislative, regulatory or certification requ</w:t>
      </w:r>
      <w:r w:rsidRPr="00597C8C">
        <w:t>irements apply to this unit at the time of endorsement.</w:t>
      </w:r>
    </w:p>
    <w:p w:rsidR="00000000" w:rsidRPr="00597C8C" w:rsidP="00597C8C">
      <w:pPr>
        <w:pStyle w:val="AllowPageBreak"/>
      </w:pPr>
    </w:p>
    <w:p w:rsidR="00000000" w:rsidRPr="00597C8C" w:rsidP="00597C8C">
      <w:pPr>
        <w:pStyle w:val="Heading1"/>
      </w:pPr>
      <w:bookmarkStart w:id="5" w:name="O_396400"/>
      <w:bookmarkEnd w:id="5"/>
      <w:r w:rsidRPr="00597C8C">
        <w:t>Pre-Requisites</w:t>
      </w:r>
    </w:p>
    <w:p w:rsidR="00000000" w:rsidRPr="00597C8C" w:rsidP="00597C8C">
      <w:pPr>
        <w:pStyle w:val="BodyText"/>
      </w:pPr>
      <w:r w:rsidRPr="00597C8C">
        <w:t>Nil</w:t>
      </w:r>
    </w:p>
    <w:p w:rsidR="00000000" w:rsidRPr="00597C8C" w:rsidP="00597C8C">
      <w:pPr>
        <w:pStyle w:val="AllowPageBreak"/>
      </w:pPr>
    </w:p>
    <w:p w:rsidR="00000000" w:rsidRPr="00597C8C" w:rsidP="00597C8C">
      <w:pPr>
        <w:pStyle w:val="Heading1"/>
      </w:pPr>
      <w:bookmarkStart w:id="6" w:name="O_396405"/>
      <w:bookmarkEnd w:id="6"/>
      <w:r w:rsidRPr="00597C8C">
        <w:t>Employability Skills Information</w:t>
      </w:r>
    </w:p>
    <w:p w:rsidR="00000000" w:rsidRPr="00597C8C" w:rsidP="00597C8C">
      <w:pPr>
        <w:pStyle w:val="BodyText"/>
      </w:pPr>
      <w:r w:rsidRPr="00597C8C">
        <w:t>This unit contains employability skills.</w:t>
      </w:r>
    </w:p>
    <w:p w:rsidR="00000000" w:rsidRPr="00597C8C" w:rsidP="00597C8C">
      <w:pPr>
        <w:pStyle w:val="AllowPageBreak"/>
      </w:pPr>
    </w:p>
    <w:p w:rsidR="00000000" w:rsidRPr="00597C8C" w:rsidP="00597C8C">
      <w:pPr>
        <w:pStyle w:val="Heading1"/>
      </w:pPr>
      <w:bookmarkStart w:id="7" w:name="O_396406"/>
      <w:bookmarkEnd w:id="7"/>
      <w:r w:rsidRPr="00597C8C">
        <w:t>Elements and Performance Criteria Pre-Content</w:t>
      </w:r>
    </w:p>
    <w:p w:rsidR="00000000" w:rsidRPr="00597C8C" w:rsidP="00597C8C">
      <w:pPr>
        <w:pStyle w:val="Heading1"/>
      </w:pPr>
      <w:bookmarkStart w:id="8" w:name="O_396407"/>
      <w:bookmarkEnd w:id="8"/>
      <w:r w:rsidRPr="00597C8C">
        <w:t>Elements and Performance Criteria</w:t>
      </w:r>
    </w:p>
    <w:tbl>
      <w:tblPr>
        <w:tblW w:w="0" w:type="auto"/>
        <w:tblCellMar>
          <w:left w:w="62" w:type="dxa"/>
          <w:right w:w="62" w:type="dxa"/>
        </w:tblCellMar>
        <w:tblLook w:val="0000"/>
      </w:tblPr>
      <w:tblGrid>
        <w:gridCol w:w="4598"/>
        <w:gridCol w:w="4598"/>
      </w:tblGrid>
      <w:tr w:rsidTr="00AE1A2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597C8C" w:rsidP="00597C8C">
            <w:pPr>
              <w:pStyle w:val="BodyText"/>
            </w:pPr>
            <w:r w:rsidRPr="00597C8C">
              <w:rPr>
                <w:rStyle w:val="SpecialBold"/>
              </w:rPr>
              <w:t>Element</w:t>
            </w:r>
          </w:p>
        </w:tc>
        <w:tc>
          <w:tcPr>
            <w:tcW w:w="0" w:type="auto"/>
            <w:tcBorders>
              <w:top w:val="nil"/>
              <w:left w:val="nil"/>
              <w:bottom w:val="nil"/>
              <w:right w:val="nil"/>
            </w:tcBorders>
            <w:tcMar>
              <w:top w:w="0" w:type="dxa"/>
              <w:left w:w="62" w:type="dxa"/>
              <w:bottom w:w="0" w:type="dxa"/>
              <w:right w:w="62" w:type="dxa"/>
            </w:tcMar>
          </w:tcPr>
          <w:p w:rsidR="00000000" w:rsidP="00597C8C">
            <w:pPr>
              <w:pStyle w:val="BodyText"/>
              <w:rPr>
                <w:lang w:val="en-NZ"/>
              </w:rPr>
            </w:pPr>
            <w:r w:rsidRPr="00597C8C">
              <w:rPr>
                <w:rStyle w:val="SpecialBold"/>
              </w:rPr>
              <w:t>Performance Criteria</w:t>
            </w:r>
          </w:p>
        </w:tc>
      </w:tr>
      <w:tr w:rsidTr="00AE1A2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97C8C">
            <w:pPr>
              <w:pStyle w:val="BodyText"/>
              <w:rPr>
                <w:lang w:val="en-NZ"/>
              </w:rPr>
            </w:pPr>
            <w:r w:rsidRPr="00597C8C">
              <w:t>Elements describe the essential outcomes of a unit of competency.</w:t>
            </w:r>
          </w:p>
        </w:tc>
        <w:tc>
          <w:tcPr>
            <w:tcW w:w="0" w:type="auto"/>
            <w:tcBorders>
              <w:top w:val="nil"/>
              <w:left w:val="nil"/>
              <w:bottom w:val="nil"/>
              <w:right w:val="nil"/>
            </w:tcBorders>
            <w:tcMar>
              <w:top w:w="0" w:type="dxa"/>
              <w:left w:w="62" w:type="dxa"/>
              <w:bottom w:w="0" w:type="dxa"/>
              <w:right w:w="62" w:type="dxa"/>
            </w:tcMar>
          </w:tcPr>
          <w:p w:rsidR="00000000" w:rsidP="00597C8C">
            <w:pPr>
              <w:pStyle w:val="BodyText"/>
              <w:rPr>
                <w:lang w:val="en-NZ"/>
              </w:rPr>
            </w:pPr>
            <w:r w:rsidRPr="00597C8C">
              <w:t xml:space="preserve">Performance criteria describe the performance needed to demonstrate achievement of the element. Where bold italicised </w:t>
            </w:r>
            <w:r w:rsidRPr="00597C8C">
              <w:t>text is used, further information is detailed in the required skills and knowledge section and the range statement. Assessment of performance is to be consistent with the evidence guide.</w:t>
            </w:r>
          </w:p>
        </w:tc>
      </w:tr>
      <w:tr w:rsidTr="00AE1A2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97C8C">
            <w:pPr>
              <w:pStyle w:val="List"/>
              <w:rPr>
                <w:lang w:val="en-NZ"/>
              </w:rPr>
            </w:pPr>
            <w:r w:rsidRPr="00597C8C">
              <w:t>1</w:t>
            </w:r>
            <w:r w:rsidRPr="00597C8C">
              <w:tab/>
              <w:t>Operate point-of-sale equipment.</w:t>
            </w:r>
          </w:p>
        </w:tc>
        <w:tc>
          <w:tcPr>
            <w:tcW w:w="0" w:type="auto"/>
            <w:tcBorders>
              <w:top w:val="nil"/>
              <w:left w:val="nil"/>
              <w:bottom w:val="nil"/>
              <w:right w:val="nil"/>
            </w:tcBorders>
            <w:tcMar>
              <w:top w:w="0" w:type="dxa"/>
              <w:left w:w="62" w:type="dxa"/>
              <w:bottom w:w="0" w:type="dxa"/>
              <w:right w:w="62" w:type="dxa"/>
            </w:tcMar>
          </w:tcPr>
          <w:p w:rsidR="00000000" w:rsidRPr="00597C8C" w:rsidP="00597C8C">
            <w:pPr>
              <w:pStyle w:val="List"/>
            </w:pPr>
            <w:r w:rsidRPr="00597C8C">
              <w:t>1.1</w:t>
            </w:r>
            <w:r w:rsidRPr="00597C8C">
              <w:tab/>
              <w:t>Operate</w:t>
            </w:r>
            <w:r w:rsidRPr="00597C8C">
              <w:rPr>
                <w:rStyle w:val="BoldandItalics"/>
              </w:rPr>
              <w:t xml:space="preserve"> point-of-sale equipme</w:t>
            </w:r>
            <w:r w:rsidRPr="00597C8C">
              <w:rPr>
                <w:rStyle w:val="BoldandItalics"/>
              </w:rPr>
              <w:t>nt</w:t>
            </w:r>
            <w:r w:rsidRPr="00597C8C">
              <w:t xml:space="preserve"> according to design specifications.</w:t>
            </w:r>
          </w:p>
          <w:p w:rsidR="00000000" w:rsidRPr="00597C8C" w:rsidP="00597C8C">
            <w:pPr>
              <w:pStyle w:val="List"/>
            </w:pPr>
            <w:r w:rsidRPr="00597C8C">
              <w:t>1.2</w:t>
            </w:r>
            <w:r w:rsidRPr="00597C8C">
              <w:tab/>
              <w:t xml:space="preserve">Open and close point-of-sale terminal according to </w:t>
            </w:r>
            <w:r w:rsidRPr="00597C8C">
              <w:rPr>
                <w:rStyle w:val="BoldandItalics"/>
              </w:rPr>
              <w:t>workplace policies and</w:t>
            </w:r>
            <w:r w:rsidRPr="00597C8C">
              <w:t xml:space="preserve"> </w:t>
            </w:r>
            <w:r w:rsidRPr="00597C8C">
              <w:rPr>
                <w:rStyle w:val="BoldandItalics"/>
              </w:rPr>
              <w:t>procedures</w:t>
            </w:r>
            <w:r w:rsidRPr="00597C8C">
              <w:t>.</w:t>
            </w:r>
          </w:p>
          <w:p w:rsidR="00000000" w:rsidRPr="00597C8C" w:rsidP="00597C8C">
            <w:pPr>
              <w:pStyle w:val="List"/>
            </w:pPr>
            <w:r w:rsidRPr="00597C8C">
              <w:t>1.3</w:t>
            </w:r>
            <w:r w:rsidRPr="00597C8C">
              <w:tab/>
              <w:t>Clear point-of-sale terminal and transfer tender according to workplace policies and procedures.</w:t>
            </w:r>
          </w:p>
          <w:p w:rsidR="00000000" w:rsidRPr="00597C8C" w:rsidP="00597C8C">
            <w:pPr>
              <w:pStyle w:val="List"/>
            </w:pPr>
            <w:r w:rsidRPr="00597C8C">
              <w:t>1.4</w:t>
            </w:r>
            <w:r w:rsidRPr="00597C8C">
              <w:tab/>
              <w:t xml:space="preserve">Conduct </w:t>
            </w:r>
            <w:r w:rsidRPr="00597C8C">
              <w:rPr>
                <w:rStyle w:val="BoldandItalics"/>
              </w:rPr>
              <w:t>cash handling</w:t>
            </w:r>
            <w:r w:rsidRPr="00597C8C">
              <w:t xml:space="preserve"> according to workplace security procedures.</w:t>
            </w:r>
          </w:p>
          <w:p w:rsidR="00000000" w:rsidRPr="00597C8C" w:rsidP="00597C8C">
            <w:pPr>
              <w:pStyle w:val="List"/>
            </w:pPr>
            <w:r w:rsidRPr="00597C8C">
              <w:t>1.5</w:t>
            </w:r>
            <w:r w:rsidRPr="00597C8C">
              <w:tab/>
              <w:t>Maintain supplies of change and cash float in point-of-sale terminal according to workplace policies and procedures.</w:t>
            </w:r>
          </w:p>
          <w:p w:rsidR="00000000" w:rsidRPr="00597C8C" w:rsidP="00597C8C">
            <w:pPr>
              <w:pStyle w:val="List"/>
            </w:pPr>
            <w:r w:rsidRPr="00597C8C">
              <w:t>1.6</w:t>
            </w:r>
            <w:r w:rsidRPr="00597C8C">
              <w:tab/>
            </w:r>
            <w:r w:rsidRPr="00597C8C">
              <w:t>Attend to active point-of-sale terminals according to workplace policies and procedures.</w:t>
            </w:r>
          </w:p>
          <w:p w:rsidR="00000000" w:rsidRPr="00597C8C" w:rsidP="00597C8C">
            <w:pPr>
              <w:pStyle w:val="List"/>
            </w:pPr>
            <w:r w:rsidRPr="00597C8C">
              <w:t>1.7</w:t>
            </w:r>
            <w:r w:rsidRPr="00597C8C">
              <w:tab/>
              <w:t>Complete records of transaction errors according to workplace policies and procedures.</w:t>
            </w:r>
          </w:p>
          <w:p w:rsidR="00000000" w:rsidP="00597C8C">
            <w:pPr>
              <w:pStyle w:val="List"/>
              <w:rPr>
                <w:lang w:val="en-NZ"/>
              </w:rPr>
            </w:pPr>
            <w:r w:rsidRPr="00597C8C">
              <w:t>1.8</w:t>
            </w:r>
            <w:r w:rsidRPr="00597C8C">
              <w:tab/>
              <w:t>Maintain adequate supplies of dockets, vouchers and point-of-sale docume</w:t>
            </w:r>
            <w:r w:rsidRPr="00597C8C">
              <w:t>nts.</w:t>
            </w:r>
          </w:p>
        </w:tc>
      </w:tr>
      <w:tr w:rsidTr="00AE1A2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97C8C">
            <w:pPr>
              <w:pStyle w:val="List"/>
              <w:rPr>
                <w:lang w:val="en-NZ"/>
              </w:rPr>
            </w:pPr>
            <w:r w:rsidRPr="00597C8C">
              <w:t>2</w:t>
            </w:r>
            <w:r w:rsidRPr="00597C8C">
              <w:tab/>
              <w:t>Perform point-of-sale transactions.</w:t>
            </w:r>
          </w:p>
        </w:tc>
        <w:tc>
          <w:tcPr>
            <w:tcW w:w="0" w:type="auto"/>
            <w:tcBorders>
              <w:top w:val="nil"/>
              <w:left w:val="nil"/>
              <w:bottom w:val="nil"/>
              <w:right w:val="nil"/>
            </w:tcBorders>
            <w:tcMar>
              <w:top w:w="0" w:type="dxa"/>
              <w:left w:w="62" w:type="dxa"/>
              <w:bottom w:w="0" w:type="dxa"/>
              <w:right w:w="62" w:type="dxa"/>
            </w:tcMar>
          </w:tcPr>
          <w:p w:rsidR="00000000" w:rsidRPr="00597C8C" w:rsidP="00597C8C">
            <w:pPr>
              <w:pStyle w:val="List"/>
            </w:pPr>
            <w:r w:rsidRPr="00597C8C">
              <w:t>2.1</w:t>
            </w:r>
            <w:r w:rsidRPr="00597C8C">
              <w:tab/>
              <w:t xml:space="preserve">Complete </w:t>
            </w:r>
            <w:r w:rsidRPr="00597C8C">
              <w:rPr>
                <w:rStyle w:val="BoldandItalics"/>
              </w:rPr>
              <w:t>point-of-sale transactions</w:t>
            </w:r>
            <w:r w:rsidRPr="00597C8C">
              <w:t xml:space="preserve"> according to workplace policies and procedures and</w:t>
            </w:r>
            <w:r w:rsidRPr="00597C8C">
              <w:rPr>
                <w:rStyle w:val="BoldandItalics"/>
              </w:rPr>
              <w:t xml:space="preserve"> relevant legislation</w:t>
            </w:r>
            <w:r w:rsidRPr="00597C8C">
              <w:t>.</w:t>
            </w:r>
          </w:p>
          <w:p w:rsidR="00000000" w:rsidRPr="00597C8C" w:rsidP="00597C8C">
            <w:pPr>
              <w:pStyle w:val="List"/>
            </w:pPr>
            <w:r w:rsidRPr="00597C8C">
              <w:t>2.2</w:t>
            </w:r>
            <w:r w:rsidRPr="00597C8C">
              <w:tab/>
              <w:t>Identify and apply workplace procedures in respect to cash and non-cash transactions.</w:t>
            </w:r>
          </w:p>
          <w:p w:rsidR="00000000" w:rsidRPr="00597C8C" w:rsidP="00597C8C">
            <w:pPr>
              <w:pStyle w:val="List"/>
            </w:pPr>
            <w:r w:rsidRPr="00597C8C">
              <w:t>2.3</w:t>
            </w:r>
            <w:r w:rsidRPr="00597C8C">
              <w:tab/>
              <w:t>Ident</w:t>
            </w:r>
            <w:r w:rsidRPr="00597C8C">
              <w:t>ify and apply workplace policies and procedures in regard to exchanges and returns.</w:t>
            </w:r>
          </w:p>
          <w:p w:rsidR="00000000" w:rsidRPr="00597C8C" w:rsidP="00597C8C">
            <w:pPr>
              <w:pStyle w:val="List"/>
            </w:pPr>
            <w:r w:rsidRPr="00597C8C">
              <w:t>2.4</w:t>
            </w:r>
            <w:r w:rsidRPr="00597C8C">
              <w:tab/>
              <w:t>Enter information into point-of-sale equipment.</w:t>
            </w:r>
          </w:p>
          <w:p w:rsidR="00000000" w:rsidP="00597C8C">
            <w:pPr>
              <w:pStyle w:val="List"/>
              <w:rPr>
                <w:lang w:val="en-NZ"/>
              </w:rPr>
            </w:pPr>
            <w:r w:rsidRPr="00597C8C">
              <w:t>2.5</w:t>
            </w:r>
            <w:r w:rsidRPr="00597C8C">
              <w:tab/>
              <w:t xml:space="preserve">Verbally state total price and amount of cash received to </w:t>
            </w:r>
            <w:r w:rsidRPr="00597C8C">
              <w:rPr>
                <w:rStyle w:val="BoldandItalics"/>
              </w:rPr>
              <w:t>client</w:t>
            </w:r>
            <w:r w:rsidRPr="00597C8C">
              <w:t xml:space="preserve">, and tender correct change. </w:t>
            </w:r>
          </w:p>
        </w:tc>
      </w:tr>
      <w:tr w:rsidTr="00AE1A2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97C8C">
            <w:pPr>
              <w:pStyle w:val="List"/>
              <w:rPr>
                <w:lang w:val="en-NZ"/>
              </w:rPr>
            </w:pPr>
            <w:r w:rsidRPr="00597C8C">
              <w:t>3</w:t>
            </w:r>
            <w:r w:rsidRPr="00597C8C">
              <w:tab/>
              <w:t>Complete sales.</w:t>
            </w:r>
          </w:p>
        </w:tc>
        <w:tc>
          <w:tcPr>
            <w:tcW w:w="0" w:type="auto"/>
            <w:tcBorders>
              <w:top w:val="nil"/>
              <w:left w:val="nil"/>
              <w:bottom w:val="nil"/>
              <w:right w:val="nil"/>
            </w:tcBorders>
            <w:tcMar>
              <w:top w:w="0" w:type="dxa"/>
              <w:left w:w="62" w:type="dxa"/>
              <w:bottom w:w="0" w:type="dxa"/>
              <w:right w:w="62" w:type="dxa"/>
            </w:tcMar>
          </w:tcPr>
          <w:p w:rsidR="00000000" w:rsidRPr="00597C8C" w:rsidP="00597C8C">
            <w:pPr>
              <w:pStyle w:val="List"/>
            </w:pPr>
            <w:r w:rsidRPr="00597C8C">
              <w:t>3.1</w:t>
            </w:r>
            <w:r w:rsidRPr="00597C8C">
              <w:tab/>
              <w:t xml:space="preserve">Complete relevant </w:t>
            </w:r>
            <w:r w:rsidRPr="00597C8C">
              <w:rPr>
                <w:rStyle w:val="BoldandItalics"/>
              </w:rPr>
              <w:t>client documentation</w:t>
            </w:r>
            <w:r w:rsidRPr="00597C8C">
              <w:t>.</w:t>
            </w:r>
          </w:p>
          <w:p w:rsidR="00000000" w:rsidP="00597C8C">
            <w:pPr>
              <w:pStyle w:val="List"/>
              <w:rPr>
                <w:lang w:val="en-NZ"/>
              </w:rPr>
            </w:pPr>
            <w:r w:rsidRPr="00597C8C">
              <w:t>3.2</w:t>
            </w:r>
            <w:r w:rsidRPr="00597C8C">
              <w:tab/>
              <w:t>Process sales transactions in a timely manner or direct clients to point-of-sale terminals according to workplace policies and procedures.</w:t>
            </w:r>
          </w:p>
        </w:tc>
      </w:tr>
      <w:tr w:rsidTr="00AE1A2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97C8C">
            <w:pPr>
              <w:pStyle w:val="List"/>
              <w:rPr>
                <w:lang w:val="en-NZ"/>
              </w:rPr>
            </w:pPr>
            <w:r w:rsidRPr="00597C8C">
              <w:t>4</w:t>
            </w:r>
            <w:r w:rsidRPr="00597C8C">
              <w:tab/>
              <w:t>Remove takings from register or terminal.</w:t>
            </w:r>
          </w:p>
        </w:tc>
        <w:tc>
          <w:tcPr>
            <w:tcW w:w="0" w:type="auto"/>
            <w:tcBorders>
              <w:top w:val="nil"/>
              <w:left w:val="nil"/>
              <w:bottom w:val="nil"/>
              <w:right w:val="nil"/>
            </w:tcBorders>
            <w:tcMar>
              <w:top w:w="0" w:type="dxa"/>
              <w:left w:w="62" w:type="dxa"/>
              <w:bottom w:w="0" w:type="dxa"/>
              <w:right w:w="62" w:type="dxa"/>
            </w:tcMar>
          </w:tcPr>
          <w:p w:rsidR="00000000" w:rsidRPr="00597C8C" w:rsidP="00597C8C">
            <w:pPr>
              <w:pStyle w:val="List"/>
            </w:pPr>
            <w:r w:rsidRPr="00597C8C">
              <w:t>4.1</w:t>
            </w:r>
            <w:r w:rsidRPr="00597C8C">
              <w:tab/>
              <w:t>Balance register or ter</w:t>
            </w:r>
            <w:r w:rsidRPr="00597C8C">
              <w:t>minal at designated times according to workplace policies and procedures.</w:t>
            </w:r>
          </w:p>
          <w:p w:rsidR="00000000" w:rsidRPr="00597C8C" w:rsidP="00597C8C">
            <w:pPr>
              <w:pStyle w:val="List"/>
            </w:pPr>
            <w:r w:rsidRPr="00597C8C">
              <w:t>4.2</w:t>
            </w:r>
            <w:r w:rsidRPr="00597C8C">
              <w:tab/>
              <w:t>Separate cash float from takings prior to balancing, and secure according to workplace policies and procedures.</w:t>
            </w:r>
          </w:p>
          <w:p w:rsidR="00000000" w:rsidRPr="00597C8C" w:rsidP="00597C8C">
            <w:pPr>
              <w:pStyle w:val="List"/>
            </w:pPr>
            <w:r w:rsidRPr="00597C8C">
              <w:t>4.3</w:t>
            </w:r>
            <w:r w:rsidRPr="00597C8C">
              <w:tab/>
              <w:t>Supply change to register or terminal according to workplace p</w:t>
            </w:r>
            <w:r w:rsidRPr="00597C8C">
              <w:t>olicy.</w:t>
            </w:r>
          </w:p>
          <w:p w:rsidR="00000000" w:rsidRPr="00597C8C" w:rsidP="00597C8C">
            <w:pPr>
              <w:pStyle w:val="List"/>
            </w:pPr>
            <w:r w:rsidRPr="00597C8C">
              <w:t>4.4</w:t>
            </w:r>
            <w:r w:rsidRPr="00597C8C">
              <w:tab/>
              <w:t>Determine register or terminal reading or print out.</w:t>
            </w:r>
          </w:p>
          <w:p w:rsidR="00000000" w:rsidP="00597C8C">
            <w:pPr>
              <w:pStyle w:val="List"/>
              <w:rPr>
                <w:lang w:val="en-NZ"/>
              </w:rPr>
            </w:pPr>
            <w:r w:rsidRPr="00597C8C">
              <w:t>4.5</w:t>
            </w:r>
            <w:r w:rsidRPr="00597C8C">
              <w:tab/>
              <w:t>Remove and transport cash and non-cash documents according to workplace security policies and procedures.</w:t>
            </w:r>
          </w:p>
        </w:tc>
      </w:tr>
      <w:tr w:rsidTr="00AE1A2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97C8C">
            <w:pPr>
              <w:pStyle w:val="List"/>
              <w:rPr>
                <w:lang w:val="en-NZ"/>
              </w:rPr>
            </w:pPr>
            <w:r w:rsidRPr="00597C8C">
              <w:t>5</w:t>
            </w:r>
            <w:r w:rsidRPr="00597C8C">
              <w:tab/>
              <w:t>Reconcile takings.</w:t>
            </w:r>
          </w:p>
        </w:tc>
        <w:tc>
          <w:tcPr>
            <w:tcW w:w="0" w:type="auto"/>
            <w:tcBorders>
              <w:top w:val="nil"/>
              <w:left w:val="nil"/>
              <w:bottom w:val="nil"/>
              <w:right w:val="nil"/>
            </w:tcBorders>
            <w:tcMar>
              <w:top w:w="0" w:type="dxa"/>
              <w:left w:w="62" w:type="dxa"/>
              <w:bottom w:w="0" w:type="dxa"/>
              <w:right w:w="62" w:type="dxa"/>
            </w:tcMar>
          </w:tcPr>
          <w:p w:rsidR="00000000" w:rsidRPr="00597C8C" w:rsidP="00597C8C">
            <w:pPr>
              <w:pStyle w:val="List"/>
            </w:pPr>
            <w:r w:rsidRPr="00597C8C">
              <w:t>5.1</w:t>
            </w:r>
            <w:r w:rsidRPr="00597C8C">
              <w:tab/>
              <w:t>Count cash and calculate non-cash documents.</w:t>
            </w:r>
          </w:p>
          <w:p w:rsidR="00000000" w:rsidRPr="00597C8C" w:rsidP="00597C8C">
            <w:pPr>
              <w:pStyle w:val="List"/>
            </w:pPr>
            <w:r w:rsidRPr="00597C8C">
              <w:t>5.2</w:t>
            </w:r>
            <w:r w:rsidRPr="00597C8C">
              <w:tab/>
            </w:r>
            <w:r w:rsidRPr="00597C8C">
              <w:t>Determine balance between register or terminal reading and sum of cash and non-cash transactions, and record takings.</w:t>
            </w:r>
          </w:p>
        </w:tc>
      </w:tr>
    </w:tbl>
    <w:p w:rsidR="00000000" w:rsidRPr="00597C8C" w:rsidP="00597C8C">
      <w:pPr>
        <w:pStyle w:val="BodyText"/>
      </w:pPr>
    </w:p>
    <w:p w:rsidR="00000000" w:rsidRPr="00597C8C" w:rsidP="00597C8C">
      <w:pPr>
        <w:pStyle w:val="AllowPageBreak"/>
      </w:pPr>
    </w:p>
    <w:p w:rsidR="00000000" w:rsidRPr="00597C8C" w:rsidP="00597C8C">
      <w:pPr>
        <w:pStyle w:val="Heading1"/>
      </w:pPr>
      <w:bookmarkStart w:id="9" w:name="O_396398"/>
      <w:bookmarkEnd w:id="9"/>
      <w:r w:rsidRPr="00597C8C">
        <w:t>Required Skills and Knowledge</w:t>
      </w:r>
    </w:p>
    <w:tbl>
      <w:tblPr>
        <w:tblW w:w="0" w:type="auto"/>
        <w:tblCellMar>
          <w:left w:w="62" w:type="dxa"/>
          <w:right w:w="62" w:type="dxa"/>
        </w:tblCellMar>
        <w:tblLook w:val="0000"/>
      </w:tblPr>
      <w:tblGrid>
        <w:gridCol w:w="9196"/>
      </w:tblGrid>
      <w:tr w:rsidTr="00AE1A2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97C8C">
            <w:pPr>
              <w:pStyle w:val="BodyText"/>
              <w:rPr>
                <w:lang w:val="en-NZ"/>
              </w:rPr>
            </w:pPr>
            <w:r w:rsidRPr="00597C8C">
              <w:t>This section describes the skills and knowledge required for this unit.</w:t>
            </w:r>
          </w:p>
        </w:tc>
      </w:tr>
      <w:tr w:rsidTr="00AE1A2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97C8C">
            <w:pPr>
              <w:pStyle w:val="BodyText"/>
              <w:rPr>
                <w:lang w:val="en-NZ"/>
              </w:rPr>
            </w:pPr>
            <w:r w:rsidRPr="00597C8C">
              <w:rPr>
                <w:rStyle w:val="SpecialBold"/>
              </w:rPr>
              <w:t>Required skills</w:t>
            </w:r>
          </w:p>
        </w:tc>
      </w:tr>
      <w:tr w:rsidTr="00AE1A2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597C8C" w:rsidP="00597C8C">
            <w:pPr>
              <w:pStyle w:val="BodyText"/>
            </w:pPr>
            <w:r w:rsidRPr="00597C8C">
              <w:t>The following skills must be assessed as part of this unit:</w:t>
            </w:r>
          </w:p>
          <w:p w:rsidR="00000000" w:rsidRPr="00597C8C" w:rsidP="00597C8C">
            <w:pPr>
              <w:pStyle w:val="ListBullet"/>
            </w:pPr>
            <w:r w:rsidRPr="00597C8C">
              <w:t>technical skills to use point-of-sale equipment and apply procedures, including the following:</w:t>
            </w:r>
          </w:p>
          <w:p w:rsidR="00000000" w:rsidRPr="00597C8C" w:rsidP="00597C8C">
            <w:pPr>
              <w:pStyle w:val="ListBullet2"/>
            </w:pPr>
            <w:r w:rsidRPr="00597C8C">
              <w:t>registers</w:t>
            </w:r>
          </w:p>
          <w:p w:rsidR="00000000" w:rsidRPr="00597C8C" w:rsidP="00597C8C">
            <w:pPr>
              <w:pStyle w:val="ListBullet2"/>
            </w:pPr>
            <w:r w:rsidRPr="00597C8C">
              <w:t>calculators</w:t>
            </w:r>
          </w:p>
          <w:p w:rsidR="00000000" w:rsidRPr="00597C8C" w:rsidP="00597C8C">
            <w:pPr>
              <w:pStyle w:val="ListBullet2"/>
            </w:pPr>
            <w:r w:rsidRPr="00597C8C">
              <w:t>EFTPOS</w:t>
            </w:r>
          </w:p>
          <w:p w:rsidR="00000000" w:rsidRPr="00597C8C" w:rsidP="00597C8C">
            <w:pPr>
              <w:pStyle w:val="ListBullet2"/>
            </w:pPr>
            <w:r w:rsidRPr="00597C8C">
              <w:t>credit cards</w:t>
            </w:r>
          </w:p>
          <w:p w:rsidR="00000000" w:rsidRPr="00597C8C" w:rsidP="00597C8C">
            <w:pPr>
              <w:pStyle w:val="ListBullet2"/>
            </w:pPr>
            <w:r w:rsidRPr="00597C8C">
              <w:t>electronic scanners</w:t>
            </w:r>
          </w:p>
          <w:p w:rsidR="00000000" w:rsidRPr="00597C8C" w:rsidP="00597C8C">
            <w:pPr>
              <w:pStyle w:val="ListBullet2"/>
            </w:pPr>
            <w:r w:rsidRPr="00597C8C">
              <w:t>lay-by</w:t>
            </w:r>
          </w:p>
          <w:p w:rsidR="00000000" w:rsidRPr="00597C8C" w:rsidP="00597C8C">
            <w:pPr>
              <w:pStyle w:val="ListBullet2"/>
            </w:pPr>
            <w:r w:rsidRPr="00597C8C">
              <w:t>credits and returns</w:t>
            </w:r>
          </w:p>
          <w:p w:rsidR="00000000" w:rsidRPr="00597C8C" w:rsidP="00597C8C">
            <w:pPr>
              <w:pStyle w:val="ListBullet2"/>
            </w:pPr>
            <w:r w:rsidRPr="00597C8C">
              <w:t>c</w:t>
            </w:r>
            <w:r w:rsidRPr="00597C8C">
              <w:t>ustomer refunds</w:t>
            </w:r>
          </w:p>
          <w:p w:rsidR="00000000" w:rsidRPr="00597C8C" w:rsidP="00597C8C">
            <w:pPr>
              <w:pStyle w:val="ListBullet"/>
            </w:pPr>
            <w:r w:rsidRPr="00597C8C">
              <w:t>time-management skills to complete tasks in a set time frame</w:t>
            </w:r>
          </w:p>
          <w:p w:rsidR="00000000" w:rsidRPr="00597C8C" w:rsidP="00597C8C">
            <w:pPr>
              <w:pStyle w:val="ListBullet"/>
            </w:pPr>
            <w:r w:rsidRPr="00597C8C">
              <w:t>verbal and non-verbal communication skills appropriate to a service environment</w:t>
            </w:r>
          </w:p>
          <w:p w:rsidR="00000000" w:rsidRPr="00597C8C" w:rsidP="00597C8C">
            <w:pPr>
              <w:pStyle w:val="ListBullet"/>
            </w:pPr>
            <w:r w:rsidRPr="00597C8C">
              <w:t>numeracy skills to:</w:t>
            </w:r>
          </w:p>
          <w:p w:rsidR="00000000" w:rsidRPr="00597C8C" w:rsidP="00597C8C">
            <w:pPr>
              <w:pStyle w:val="ListBullet2"/>
            </w:pPr>
            <w:r w:rsidRPr="00597C8C">
              <w:t>calculate a total price</w:t>
            </w:r>
          </w:p>
          <w:p w:rsidR="00000000" w:rsidRPr="00597C8C" w:rsidP="00597C8C">
            <w:pPr>
              <w:pStyle w:val="ListBullet2"/>
            </w:pPr>
            <w:r w:rsidRPr="00597C8C">
              <w:t>count cash</w:t>
            </w:r>
          </w:p>
          <w:p w:rsidR="00000000" w:rsidRPr="00597C8C" w:rsidP="00597C8C">
            <w:pPr>
              <w:pStyle w:val="ListBullet2"/>
            </w:pPr>
            <w:r w:rsidRPr="00597C8C">
              <w:t>balance point-of-sale terminal</w:t>
            </w:r>
          </w:p>
          <w:p w:rsidR="00000000" w:rsidP="00597C8C">
            <w:pPr>
              <w:pStyle w:val="ListBullet2"/>
              <w:rPr>
                <w:lang w:val="en-NZ"/>
              </w:rPr>
            </w:pPr>
            <w:r w:rsidRPr="00597C8C">
              <w:t>tender corre</w:t>
            </w:r>
            <w:r w:rsidRPr="00597C8C">
              <w:t xml:space="preserve">ct change. </w:t>
            </w:r>
          </w:p>
        </w:tc>
      </w:tr>
      <w:tr w:rsidTr="00AE1A2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97C8C">
            <w:pPr>
              <w:pStyle w:val="BodyText"/>
              <w:rPr>
                <w:lang w:val="en-NZ"/>
              </w:rPr>
            </w:pPr>
            <w:r w:rsidRPr="00597C8C">
              <w:rPr>
                <w:rStyle w:val="SpecialBold"/>
              </w:rPr>
              <w:t>Required knowledge</w:t>
            </w:r>
          </w:p>
        </w:tc>
      </w:tr>
      <w:tr w:rsidTr="00AE1A2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597C8C" w:rsidP="00597C8C">
            <w:pPr>
              <w:pStyle w:val="BodyText"/>
            </w:pPr>
            <w:r w:rsidRPr="00597C8C">
              <w:t>The following knowledge must be assessed as part of this unit:</w:t>
            </w:r>
          </w:p>
          <w:p w:rsidR="00000000" w:rsidRPr="00597C8C" w:rsidP="00597C8C">
            <w:pPr>
              <w:pStyle w:val="ListBullet"/>
            </w:pPr>
            <w:r w:rsidRPr="00597C8C">
              <w:t>cash handling procedures, including:</w:t>
            </w:r>
          </w:p>
          <w:p w:rsidR="00000000" w:rsidRPr="00597C8C" w:rsidP="00597C8C">
            <w:pPr>
              <w:pStyle w:val="ListBullet2"/>
            </w:pPr>
            <w:r w:rsidRPr="00597C8C">
              <w:t>opening and closing point-of-sale terminal</w:t>
            </w:r>
          </w:p>
          <w:p w:rsidR="00000000" w:rsidRPr="00597C8C" w:rsidP="00597C8C">
            <w:pPr>
              <w:pStyle w:val="ListBullet2"/>
            </w:pPr>
            <w:r w:rsidRPr="00597C8C">
              <w:t>clearing terminal and transferring tender</w:t>
            </w:r>
          </w:p>
          <w:p w:rsidR="00000000" w:rsidRPr="00597C8C" w:rsidP="00597C8C">
            <w:pPr>
              <w:pStyle w:val="ListBullet2"/>
            </w:pPr>
            <w:r w:rsidRPr="00597C8C">
              <w:t>maintaining cash float</w:t>
            </w:r>
          </w:p>
          <w:p w:rsidR="00000000" w:rsidRPr="00597C8C" w:rsidP="00597C8C">
            <w:pPr>
              <w:pStyle w:val="ListBullet2"/>
            </w:pPr>
            <w:r w:rsidRPr="00597C8C">
              <w:t>tendering change</w:t>
            </w:r>
          </w:p>
          <w:p w:rsidR="00000000" w:rsidRPr="00597C8C" w:rsidP="00597C8C">
            <w:pPr>
              <w:pStyle w:val="ListBullet2"/>
            </w:pPr>
            <w:r w:rsidRPr="00597C8C">
              <w:t>counting cash</w:t>
            </w:r>
          </w:p>
          <w:p w:rsidR="00000000" w:rsidRPr="00597C8C" w:rsidP="00597C8C">
            <w:pPr>
              <w:pStyle w:val="ListBullet2"/>
            </w:pPr>
            <w:r w:rsidRPr="00597C8C">
              <w:t>calculating non-cash documents</w:t>
            </w:r>
          </w:p>
          <w:p w:rsidR="00000000" w:rsidRPr="00597C8C" w:rsidP="00597C8C">
            <w:pPr>
              <w:pStyle w:val="ListBullet2"/>
            </w:pPr>
            <w:r w:rsidRPr="00597C8C">
              <w:t>balancing point-of-sale terminal</w:t>
            </w:r>
          </w:p>
          <w:p w:rsidR="00000000" w:rsidRPr="00597C8C" w:rsidP="00597C8C">
            <w:pPr>
              <w:pStyle w:val="ListBullet2"/>
            </w:pPr>
            <w:r w:rsidRPr="00597C8C">
              <w:t>recording takings</w:t>
            </w:r>
          </w:p>
          <w:p w:rsidR="00000000" w:rsidRPr="00597C8C" w:rsidP="00597C8C">
            <w:pPr>
              <w:pStyle w:val="ListBullet2"/>
            </w:pPr>
            <w:r w:rsidRPr="00597C8C">
              <w:t>securing cash and non-cash transactions</w:t>
            </w:r>
          </w:p>
          <w:p w:rsidR="00000000" w:rsidRPr="00597C8C" w:rsidP="00597C8C">
            <w:pPr>
              <w:pStyle w:val="ListBullet2"/>
            </w:pPr>
            <w:r w:rsidRPr="00597C8C">
              <w:t>determining change required and denominations of change</w:t>
            </w:r>
          </w:p>
          <w:p w:rsidR="00000000" w:rsidRPr="00597C8C" w:rsidP="00597C8C">
            <w:pPr>
              <w:pStyle w:val="ListBullet"/>
            </w:pPr>
            <w:r w:rsidRPr="00597C8C">
              <w:t>relevant health and hygiene regulations and requirements</w:t>
            </w:r>
          </w:p>
          <w:p w:rsidR="00000000" w:rsidRPr="00597C8C" w:rsidP="00597C8C">
            <w:pPr>
              <w:pStyle w:val="ListBullet"/>
            </w:pPr>
            <w:r w:rsidRPr="00597C8C">
              <w:t>relevant legislative requirements, including consumer law and occupational health and safety regulations</w:t>
            </w:r>
          </w:p>
          <w:p w:rsidR="00000000" w:rsidRPr="00597C8C" w:rsidP="00597C8C">
            <w:pPr>
              <w:pStyle w:val="ListBullet"/>
            </w:pPr>
            <w:r w:rsidRPr="00597C8C">
              <w:t>workplace policies and procedures in regard to client service and point-of-sale techniques.</w:t>
            </w:r>
          </w:p>
        </w:tc>
      </w:tr>
    </w:tbl>
    <w:p w:rsidR="00000000" w:rsidRPr="00597C8C" w:rsidP="00597C8C">
      <w:pPr>
        <w:pStyle w:val="BodyText"/>
      </w:pPr>
    </w:p>
    <w:p w:rsidR="00000000" w:rsidRPr="00597C8C" w:rsidP="00597C8C">
      <w:pPr>
        <w:pStyle w:val="AllowPageBreak"/>
      </w:pPr>
    </w:p>
    <w:p w:rsidR="00000000" w:rsidRPr="00597C8C" w:rsidP="00597C8C">
      <w:pPr>
        <w:pStyle w:val="Heading1"/>
      </w:pPr>
      <w:bookmarkStart w:id="10" w:name="O_396404"/>
      <w:bookmarkEnd w:id="10"/>
      <w:r w:rsidRPr="00597C8C">
        <w:t>Evidence Guide</w:t>
      </w:r>
    </w:p>
    <w:tbl>
      <w:tblPr>
        <w:tblW w:w="9242" w:type="dxa"/>
        <w:tblLayout w:type="fixed"/>
        <w:tblCellMar>
          <w:left w:w="62" w:type="dxa"/>
          <w:right w:w="62" w:type="dxa"/>
        </w:tblCellMar>
        <w:tblLook w:val="0000"/>
      </w:tblPr>
      <w:tblGrid>
        <w:gridCol w:w="3303"/>
        <w:gridCol w:w="5939"/>
      </w:tblGrid>
      <w:tr w:rsidTr="00AE1A28">
        <w:tblPrEx>
          <w:tblW w:w="9242" w:type="dxa"/>
          <w:tblLayout w:type="fixed"/>
          <w:tblCellMar>
            <w:left w:w="62" w:type="dxa"/>
            <w:right w:w="62" w:type="dxa"/>
          </w:tblCellMar>
          <w:tblLook w:val="0000"/>
        </w:tblPrEx>
        <w:tc>
          <w:tcPr>
            <w:tcW w:w="9242" w:type="dxa"/>
            <w:gridSpan w:val="2"/>
            <w:tcBorders>
              <w:top w:val="nil"/>
              <w:left w:val="nil"/>
              <w:bottom w:val="nil"/>
              <w:right w:val="nil"/>
            </w:tcBorders>
            <w:tcMar>
              <w:top w:w="0" w:type="dxa"/>
              <w:left w:w="62" w:type="dxa"/>
              <w:bottom w:w="0" w:type="dxa"/>
              <w:right w:w="62" w:type="dxa"/>
            </w:tcMar>
          </w:tcPr>
          <w:p w:rsidR="00000000" w:rsidP="00597C8C">
            <w:pPr>
              <w:pStyle w:val="BodyText"/>
              <w:rPr>
                <w:lang w:val="en-NZ"/>
              </w:rPr>
            </w:pPr>
            <w:r w:rsidRPr="00597C8C">
              <w:t>The evidence guide provides advice on assessment and must be read in conjunction with the performance criteria, required skills and knowledge, range statement and the Assessment Guidelines for the Training Package.</w:t>
            </w:r>
          </w:p>
        </w:tc>
      </w:tr>
      <w:tr w:rsidTr="00AE1A28">
        <w:tblPrEx>
          <w:tblW w:w="9242" w:type="dxa"/>
          <w:tblLayout w:type="fixed"/>
          <w:tblCellMar>
            <w:left w:w="62" w:type="dxa"/>
            <w:right w:w="62" w:type="dxa"/>
          </w:tblCellMar>
          <w:tblLook w:val="0000"/>
        </w:tblPrEx>
        <w:tc>
          <w:tcPr>
            <w:tcW w:w="3303" w:type="dxa"/>
            <w:tcBorders>
              <w:top w:val="nil"/>
              <w:left w:val="nil"/>
              <w:bottom w:val="nil"/>
              <w:right w:val="nil"/>
            </w:tcBorders>
            <w:tcMar>
              <w:top w:w="0" w:type="dxa"/>
              <w:left w:w="62" w:type="dxa"/>
              <w:bottom w:w="0" w:type="dxa"/>
              <w:right w:w="62" w:type="dxa"/>
            </w:tcMar>
          </w:tcPr>
          <w:p w:rsidR="00000000" w:rsidP="00597C8C">
            <w:pPr>
              <w:pStyle w:val="BodyText"/>
              <w:rPr>
                <w:lang w:val="en-NZ"/>
              </w:rPr>
            </w:pPr>
            <w:r w:rsidRPr="00597C8C">
              <w:rPr>
                <w:rStyle w:val="SpecialBold"/>
              </w:rPr>
              <w:t>Critical aspects for assessment and evidence required to demonstrate competency in this unit</w:t>
            </w:r>
          </w:p>
        </w:tc>
        <w:tc>
          <w:tcPr>
            <w:tcW w:w="5939" w:type="dxa"/>
            <w:tcBorders>
              <w:top w:val="nil"/>
              <w:left w:val="nil"/>
              <w:bottom w:val="nil"/>
              <w:right w:val="nil"/>
            </w:tcBorders>
            <w:tcMar>
              <w:top w:w="0" w:type="dxa"/>
              <w:left w:w="62" w:type="dxa"/>
              <w:bottom w:w="0" w:type="dxa"/>
              <w:right w:w="62" w:type="dxa"/>
            </w:tcMar>
          </w:tcPr>
          <w:p w:rsidR="00000000" w:rsidRPr="00597C8C" w:rsidP="00597C8C">
            <w:pPr>
              <w:pStyle w:val="BodyText"/>
            </w:pPr>
            <w:r w:rsidRPr="00597C8C">
              <w:t>Evidence of the following is essential:</w:t>
            </w:r>
          </w:p>
          <w:p w:rsidR="00000000" w:rsidRPr="00597C8C" w:rsidP="00597C8C">
            <w:pPr>
              <w:pStyle w:val="ListBullet"/>
            </w:pPr>
            <w:r w:rsidRPr="00597C8C">
              <w:t>applying relevant legislation, including consumer law</w:t>
            </w:r>
          </w:p>
          <w:p w:rsidR="00000000" w:rsidRPr="00597C8C" w:rsidP="00597C8C">
            <w:pPr>
              <w:pStyle w:val="ListBullet"/>
            </w:pPr>
            <w:r w:rsidRPr="00597C8C">
              <w:t>operating point-of-sale equipment according to manufacturer instructi</w:t>
            </w:r>
            <w:r w:rsidRPr="00597C8C">
              <w:t>ons and workplace procedures</w:t>
            </w:r>
          </w:p>
          <w:p w:rsidR="00000000" w:rsidRPr="00597C8C" w:rsidP="00597C8C">
            <w:pPr>
              <w:pStyle w:val="ListBullet"/>
            </w:pPr>
            <w:r w:rsidRPr="00597C8C">
              <w:t>applying workplace policies and procedures in regard to cash handling and point-of-sale transactions in a personal services environment</w:t>
            </w:r>
          </w:p>
          <w:p w:rsidR="00000000" w:rsidP="00597C8C">
            <w:pPr>
              <w:pStyle w:val="ListBullet"/>
              <w:rPr>
                <w:lang w:val="en-NZ"/>
              </w:rPr>
            </w:pPr>
            <w:r w:rsidRPr="00597C8C">
              <w:t>using time effectively.</w:t>
            </w:r>
          </w:p>
        </w:tc>
      </w:tr>
      <w:tr w:rsidTr="00AE1A28">
        <w:tblPrEx>
          <w:tblW w:w="9242" w:type="dxa"/>
          <w:tblLayout w:type="fixed"/>
          <w:tblCellMar>
            <w:left w:w="62" w:type="dxa"/>
            <w:right w:w="62" w:type="dxa"/>
          </w:tblCellMar>
          <w:tblLook w:val="0000"/>
        </w:tblPrEx>
        <w:tc>
          <w:tcPr>
            <w:tcW w:w="3303" w:type="dxa"/>
            <w:tcBorders>
              <w:top w:val="nil"/>
              <w:left w:val="nil"/>
              <w:bottom w:val="nil"/>
              <w:right w:val="nil"/>
            </w:tcBorders>
            <w:tcMar>
              <w:top w:w="0" w:type="dxa"/>
              <w:left w:w="62" w:type="dxa"/>
              <w:bottom w:w="0" w:type="dxa"/>
              <w:right w:w="62" w:type="dxa"/>
            </w:tcMar>
          </w:tcPr>
          <w:p w:rsidR="00000000" w:rsidP="00597C8C">
            <w:pPr>
              <w:pStyle w:val="BodyText"/>
              <w:rPr>
                <w:lang w:val="en-NZ"/>
              </w:rPr>
            </w:pPr>
            <w:r w:rsidRPr="00597C8C">
              <w:rPr>
                <w:rStyle w:val="SpecialBold"/>
              </w:rPr>
              <w:t>Context of and specific resources for assessment</w:t>
            </w:r>
          </w:p>
        </w:tc>
        <w:tc>
          <w:tcPr>
            <w:tcW w:w="5939" w:type="dxa"/>
            <w:tcBorders>
              <w:top w:val="nil"/>
              <w:left w:val="nil"/>
              <w:bottom w:val="nil"/>
              <w:right w:val="nil"/>
            </w:tcBorders>
            <w:tcMar>
              <w:top w:w="0" w:type="dxa"/>
              <w:left w:w="62" w:type="dxa"/>
              <w:bottom w:w="0" w:type="dxa"/>
              <w:right w:w="62" w:type="dxa"/>
            </w:tcMar>
          </w:tcPr>
          <w:p w:rsidR="00000000" w:rsidRPr="00597C8C" w:rsidP="00597C8C">
            <w:pPr>
              <w:pStyle w:val="BodyText"/>
            </w:pPr>
            <w:r w:rsidRPr="00597C8C">
              <w:t>Assessment must e</w:t>
            </w:r>
            <w:r w:rsidRPr="00597C8C">
              <w:t>nsure:</w:t>
            </w:r>
          </w:p>
          <w:p w:rsidR="00000000" w:rsidRPr="00597C8C" w:rsidP="00597C8C">
            <w:pPr>
              <w:pStyle w:val="ListBullet"/>
            </w:pPr>
            <w:r w:rsidRPr="00597C8C">
              <w:t>that competency is consistently demonstrated over a period of time and observed by the assessor or the technical expert working in partnership with the assessor as described in the Assessment Guidelines</w:t>
            </w:r>
          </w:p>
          <w:p w:rsidR="00000000" w:rsidRPr="00597C8C" w:rsidP="00597C8C">
            <w:pPr>
              <w:pStyle w:val="ListBullet"/>
            </w:pPr>
            <w:r w:rsidRPr="00597C8C">
              <w:t>that competency is demonstrated in the workpla</w:t>
            </w:r>
            <w:r w:rsidRPr="00597C8C">
              <w:t>ce or a simulated workplace environment in a range of real work situations which may include client interruptions and involvement in other related activities normally expected in the workplace.</w:t>
            </w:r>
          </w:p>
          <w:p w:rsidR="00000000" w:rsidRPr="00597C8C" w:rsidP="00597C8C">
            <w:pPr>
              <w:pStyle w:val="BodyText"/>
            </w:pPr>
            <w:r w:rsidRPr="00597C8C">
              <w:t>Assessment must ensure access to:</w:t>
            </w:r>
          </w:p>
          <w:p w:rsidR="00000000" w:rsidRPr="00597C8C" w:rsidP="00597C8C">
            <w:pPr>
              <w:pStyle w:val="ListBullet"/>
            </w:pPr>
            <w:r w:rsidRPr="00597C8C">
              <w:t>an environment, which includes as a minimum:</w:t>
            </w:r>
          </w:p>
          <w:p w:rsidR="00000000" w:rsidRPr="00597C8C" w:rsidP="00597C8C">
            <w:pPr>
              <w:pStyle w:val="ListBullet2"/>
            </w:pPr>
            <w:r w:rsidRPr="00597C8C">
              <w:t xml:space="preserve">a reception desk </w:t>
            </w:r>
          </w:p>
          <w:p w:rsidR="00000000" w:rsidRPr="00597C8C" w:rsidP="00597C8C">
            <w:pPr>
              <w:pStyle w:val="ListBullet2"/>
            </w:pPr>
            <w:r w:rsidRPr="00597C8C">
              <w:t xml:space="preserve">telephone </w:t>
            </w:r>
          </w:p>
          <w:p w:rsidR="00000000" w:rsidRPr="00597C8C" w:rsidP="00597C8C">
            <w:pPr>
              <w:pStyle w:val="ListBullet2"/>
            </w:pPr>
            <w:r w:rsidRPr="00597C8C">
              <w:t xml:space="preserve">a retail display area </w:t>
            </w:r>
          </w:p>
          <w:p w:rsidR="00000000" w:rsidRPr="00597C8C" w:rsidP="00597C8C">
            <w:pPr>
              <w:pStyle w:val="ListBullet2"/>
            </w:pPr>
            <w:r w:rsidRPr="00597C8C">
              <w:t xml:space="preserve">a point-of-sale system, including credit card and EFTPOS </w:t>
            </w:r>
          </w:p>
          <w:p w:rsidR="00000000" w:rsidRPr="00597C8C" w:rsidP="00597C8C">
            <w:pPr>
              <w:pStyle w:val="ListBullet2"/>
            </w:pPr>
            <w:r w:rsidRPr="00597C8C">
              <w:t>a computer with a salon software system</w:t>
            </w:r>
          </w:p>
          <w:p w:rsidR="00000000" w:rsidRPr="00597C8C" w:rsidP="00597C8C">
            <w:pPr>
              <w:pStyle w:val="ListBullet2"/>
            </w:pPr>
            <w:r w:rsidRPr="00597C8C">
              <w:t>financial transactions dockets and slips</w:t>
            </w:r>
          </w:p>
          <w:p w:rsidR="00000000" w:rsidRPr="00597C8C" w:rsidP="00597C8C">
            <w:pPr>
              <w:pStyle w:val="ListBullet2"/>
            </w:pPr>
            <w:r w:rsidRPr="00597C8C">
              <w:t>sample debit and cr</w:t>
            </w:r>
            <w:r w:rsidRPr="00597C8C">
              <w:t>edit card vouchers</w:t>
            </w:r>
          </w:p>
          <w:p w:rsidR="00000000" w:rsidRPr="00597C8C" w:rsidP="00597C8C">
            <w:pPr>
              <w:pStyle w:val="ListBullet2"/>
            </w:pPr>
            <w:r w:rsidRPr="00597C8C">
              <w:t>recording and tally sheets</w:t>
            </w:r>
          </w:p>
          <w:p w:rsidR="00000000" w:rsidRPr="00597C8C" w:rsidP="00597C8C">
            <w:pPr>
              <w:pStyle w:val="ListBullet"/>
            </w:pPr>
            <w:r w:rsidRPr="00597C8C">
              <w:t>relevant workplace documentation including:</w:t>
            </w:r>
          </w:p>
          <w:p w:rsidR="00000000" w:rsidRPr="00597C8C" w:rsidP="00597C8C">
            <w:pPr>
              <w:pStyle w:val="ListBullet2"/>
            </w:pPr>
            <w:r w:rsidRPr="00597C8C">
              <w:t>manufacturer's equipment instructions</w:t>
            </w:r>
          </w:p>
          <w:p w:rsidR="00000000" w:rsidRPr="00597C8C" w:rsidP="00597C8C">
            <w:pPr>
              <w:pStyle w:val="ListBullet2"/>
            </w:pPr>
            <w:r w:rsidRPr="00597C8C">
              <w:t xml:space="preserve">product instructions </w:t>
            </w:r>
          </w:p>
          <w:p w:rsidR="00000000" w:rsidRPr="00597C8C" w:rsidP="00597C8C">
            <w:pPr>
              <w:pStyle w:val="ListBullet2"/>
            </w:pPr>
            <w:r w:rsidRPr="00597C8C">
              <w:t>workplace policy and procedure manuals in regard to conducting financial transactions</w:t>
            </w:r>
          </w:p>
          <w:p w:rsidR="00000000" w:rsidRPr="00597C8C" w:rsidP="00597C8C">
            <w:pPr>
              <w:pStyle w:val="ListBullet"/>
            </w:pPr>
            <w:r w:rsidRPr="00597C8C">
              <w:t xml:space="preserve">a range of clients </w:t>
            </w:r>
            <w:r w:rsidRPr="00597C8C">
              <w:t>with different transaction requirements.</w:t>
            </w:r>
          </w:p>
          <w:p w:rsidR="00000000" w:rsidP="00597C8C">
            <w:pPr>
              <w:pStyle w:val="BodyText"/>
              <w:rPr>
                <w:lang w:val="en-NZ"/>
              </w:rPr>
            </w:pPr>
            <w:r w:rsidRPr="00597C8C">
              <w:t>For further guidance on the use of an appropriate simulated environment, refer to the Assessment Guidelines in this Training Package.</w:t>
            </w:r>
          </w:p>
        </w:tc>
      </w:tr>
      <w:tr w:rsidTr="00AE1A28">
        <w:tblPrEx>
          <w:tblW w:w="9242" w:type="dxa"/>
          <w:tblLayout w:type="fixed"/>
          <w:tblCellMar>
            <w:left w:w="62" w:type="dxa"/>
            <w:right w:w="62" w:type="dxa"/>
          </w:tblCellMar>
          <w:tblLook w:val="0000"/>
        </w:tblPrEx>
        <w:tc>
          <w:tcPr>
            <w:tcW w:w="3303" w:type="dxa"/>
            <w:tcBorders>
              <w:top w:val="nil"/>
              <w:left w:val="nil"/>
              <w:bottom w:val="nil"/>
              <w:right w:val="nil"/>
            </w:tcBorders>
            <w:tcMar>
              <w:top w:w="0" w:type="dxa"/>
              <w:left w:w="62" w:type="dxa"/>
              <w:bottom w:w="0" w:type="dxa"/>
              <w:right w:w="62" w:type="dxa"/>
            </w:tcMar>
          </w:tcPr>
          <w:p w:rsidR="00000000" w:rsidP="00597C8C">
            <w:pPr>
              <w:pStyle w:val="BodyText"/>
              <w:rPr>
                <w:lang w:val="en-NZ"/>
              </w:rPr>
            </w:pPr>
            <w:r w:rsidRPr="00597C8C">
              <w:rPr>
                <w:rStyle w:val="SpecialBold"/>
              </w:rPr>
              <w:t>Methods of assessment</w:t>
            </w:r>
          </w:p>
        </w:tc>
        <w:tc>
          <w:tcPr>
            <w:tcW w:w="5939" w:type="dxa"/>
            <w:tcBorders>
              <w:top w:val="nil"/>
              <w:left w:val="nil"/>
              <w:bottom w:val="nil"/>
              <w:right w:val="nil"/>
            </w:tcBorders>
            <w:tcMar>
              <w:top w:w="0" w:type="dxa"/>
              <w:left w:w="62" w:type="dxa"/>
              <w:bottom w:w="0" w:type="dxa"/>
              <w:right w:w="62" w:type="dxa"/>
            </w:tcMar>
          </w:tcPr>
          <w:p w:rsidR="00000000" w:rsidRPr="00597C8C" w:rsidP="00597C8C">
            <w:pPr>
              <w:pStyle w:val="BodyText"/>
            </w:pPr>
            <w:r w:rsidRPr="00597C8C">
              <w:t>A range of assessment methods should be used to assess practical skills and knowledge. The following examples are appropriate for this unit:</w:t>
            </w:r>
          </w:p>
          <w:p w:rsidR="00000000" w:rsidRPr="00597C8C" w:rsidP="00597C8C">
            <w:pPr>
              <w:pStyle w:val="ListBullet"/>
            </w:pPr>
            <w:r w:rsidRPr="00597C8C">
              <w:t>direct observation of learners performing a range of tasks in an actual or simulated work environment, over suffici</w:t>
            </w:r>
            <w:r w:rsidRPr="00597C8C">
              <w:t>ent time to demonstrate handling of a range of contingencies, including:</w:t>
            </w:r>
          </w:p>
          <w:p w:rsidR="00000000" w:rsidRPr="00597C8C" w:rsidP="00597C8C">
            <w:pPr>
              <w:pStyle w:val="ListBullet2"/>
            </w:pPr>
            <w:r w:rsidRPr="00597C8C">
              <w:t>handling cash transactions with clients according to workplace security procedures</w:t>
            </w:r>
          </w:p>
          <w:p w:rsidR="00000000" w:rsidRPr="00597C8C" w:rsidP="00597C8C">
            <w:pPr>
              <w:pStyle w:val="ListBullet2"/>
            </w:pPr>
            <w:r w:rsidRPr="00597C8C">
              <w:t>recording transaction errors according to policies and procedures</w:t>
            </w:r>
          </w:p>
          <w:p w:rsidR="00000000" w:rsidRPr="00597C8C" w:rsidP="00597C8C">
            <w:pPr>
              <w:pStyle w:val="ListBullet2"/>
            </w:pPr>
            <w:r w:rsidRPr="00597C8C">
              <w:t>balancing register or terminal at</w:t>
            </w:r>
            <w:r w:rsidRPr="00597C8C">
              <w:t xml:space="preserve"> designated times</w:t>
            </w:r>
          </w:p>
          <w:p w:rsidR="00000000" w:rsidRPr="00597C8C" w:rsidP="00597C8C">
            <w:pPr>
              <w:pStyle w:val="ListBullet2"/>
            </w:pPr>
            <w:r w:rsidRPr="00597C8C">
              <w:t>counting cash</w:t>
            </w:r>
          </w:p>
          <w:p w:rsidR="00000000" w:rsidRPr="00597C8C" w:rsidP="00597C8C">
            <w:pPr>
              <w:pStyle w:val="ListBullet2"/>
            </w:pPr>
            <w:r w:rsidRPr="00597C8C">
              <w:t>recording takings</w:t>
            </w:r>
          </w:p>
          <w:p w:rsidR="00000000" w:rsidRPr="00597C8C" w:rsidP="00597C8C">
            <w:pPr>
              <w:pStyle w:val="ListBullet"/>
            </w:pPr>
            <w:r w:rsidRPr="00597C8C">
              <w:t>written and oral questioning appropriate to the language and literacy level of the learner, to assess knowledge and understanding of workplace financial procedures</w:t>
            </w:r>
          </w:p>
          <w:p w:rsidR="00000000" w:rsidRPr="00597C8C" w:rsidP="00597C8C">
            <w:pPr>
              <w:pStyle w:val="ListBullet"/>
            </w:pPr>
            <w:r w:rsidRPr="00597C8C">
              <w:t>completion of workplace documentation rele</w:t>
            </w:r>
            <w:r w:rsidRPr="00597C8C">
              <w:t>vant to conducting financial transactions</w:t>
            </w:r>
          </w:p>
          <w:p w:rsidR="00000000" w:rsidP="00597C8C">
            <w:pPr>
              <w:pStyle w:val="ListBullet"/>
              <w:rPr>
                <w:lang w:val="en-NZ"/>
              </w:rPr>
            </w:pPr>
            <w:r w:rsidRPr="00597C8C">
              <w:t>third-party reports from technical experts.</w:t>
            </w:r>
          </w:p>
        </w:tc>
      </w:tr>
      <w:tr w:rsidTr="00AE1A28">
        <w:tblPrEx>
          <w:tblW w:w="9242" w:type="dxa"/>
          <w:tblLayout w:type="fixed"/>
          <w:tblCellMar>
            <w:left w:w="62" w:type="dxa"/>
            <w:right w:w="62" w:type="dxa"/>
          </w:tblCellMar>
          <w:tblLook w:val="0000"/>
        </w:tblPrEx>
        <w:tc>
          <w:tcPr>
            <w:tcW w:w="33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39" w:type="dxa"/>
            <w:tcBorders>
              <w:top w:val="nil"/>
              <w:left w:val="nil"/>
              <w:bottom w:val="nil"/>
              <w:right w:val="nil"/>
            </w:tcBorders>
            <w:tcMar>
              <w:top w:w="0" w:type="dxa"/>
              <w:left w:w="62" w:type="dxa"/>
              <w:bottom w:w="0" w:type="dxa"/>
              <w:right w:w="62" w:type="dxa"/>
            </w:tcMar>
          </w:tcPr>
          <w:p w:rsidR="00000000" w:rsidRPr="00597C8C" w:rsidP="00597C8C">
            <w:pPr>
              <w:pStyle w:val="BodyText"/>
            </w:pPr>
            <w:r w:rsidRPr="00597C8C">
              <w:t>Holistic assessment with other units relevant to the industry sector, workplace and job role is recommended, for example:</w:t>
            </w:r>
          </w:p>
          <w:p w:rsidR="00000000" w:rsidRPr="00597C8C" w:rsidP="00597C8C">
            <w:pPr>
              <w:pStyle w:val="ListBullet"/>
            </w:pPr>
            <w:r w:rsidRPr="00597C8C">
              <w:t>SIBXCCS202A Provide service to clients</w:t>
            </w:r>
          </w:p>
          <w:p w:rsidR="00000000" w:rsidRPr="00597C8C" w:rsidP="00597C8C">
            <w:pPr>
              <w:pStyle w:val="ListBullet"/>
            </w:pPr>
            <w:r w:rsidRPr="00597C8C">
              <w:t>SIRXCOM001A Communicate in the workplace.</w:t>
            </w:r>
          </w:p>
        </w:tc>
      </w:tr>
    </w:tbl>
    <w:p w:rsidR="00000000" w:rsidRPr="00597C8C" w:rsidP="00597C8C">
      <w:pPr>
        <w:pStyle w:val="BodyText"/>
      </w:pPr>
    </w:p>
    <w:p w:rsidR="00000000" w:rsidRPr="00597C8C" w:rsidP="00597C8C">
      <w:pPr>
        <w:pStyle w:val="AllowPageBreak"/>
      </w:pPr>
    </w:p>
    <w:p w:rsidR="00000000" w:rsidRPr="00597C8C" w:rsidP="00597C8C">
      <w:pPr>
        <w:pStyle w:val="Heading1"/>
      </w:pPr>
      <w:bookmarkStart w:id="11" w:name="O_396399"/>
      <w:bookmarkEnd w:id="11"/>
      <w:r w:rsidRPr="00597C8C">
        <w:t>Range Statement</w:t>
      </w:r>
    </w:p>
    <w:tbl>
      <w:tblPr>
        <w:tblW w:w="0" w:type="auto"/>
        <w:tblLayout w:type="fixed"/>
        <w:tblCellMar>
          <w:left w:w="62" w:type="dxa"/>
          <w:right w:w="62" w:type="dxa"/>
        </w:tblCellMar>
        <w:tblLook w:val="0000"/>
      </w:tblPr>
      <w:tblGrid>
        <w:gridCol w:w="3105"/>
        <w:gridCol w:w="5417"/>
      </w:tblGrid>
      <w:tr w:rsidTr="00AE1A28">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597C8C">
            <w:pPr>
              <w:pStyle w:val="BodyText"/>
              <w:rPr>
                <w:lang w:val="en-NZ"/>
              </w:rPr>
            </w:pPr>
            <w:r w:rsidRPr="00597C8C">
              <w:t>The range statement relates to the unit of competency as a whole. It allows for different work environments and situations that may affect performance. Bold italicised wording, if</w:t>
            </w:r>
            <w:r w:rsidRPr="00597C8C">
              <w:t xml:space="preserve"> used in the performance criteria, is detailed below. Essential operating conditions that may be present with training and assessment (depending on the work situation, needs of the candidate, accessibility of the item, and local industry and regional conte</w:t>
            </w:r>
            <w:r w:rsidRPr="00597C8C">
              <w:t>xts) may also be included.</w:t>
            </w:r>
          </w:p>
        </w:tc>
      </w:tr>
      <w:tr w:rsidTr="00AE1A28">
        <w:tblPrEx>
          <w:tblW w:w="0" w:type="auto"/>
          <w:tblLayout w:type="fixed"/>
          <w:tblCellMar>
            <w:left w:w="62" w:type="dxa"/>
            <w:right w:w="62" w:type="dxa"/>
          </w:tblCellMar>
          <w:tblLook w:val="0000"/>
        </w:tblPrEx>
        <w:tc>
          <w:tcPr>
            <w:tcW w:w="3105" w:type="dxa"/>
            <w:tcBorders>
              <w:top w:val="nil"/>
              <w:left w:val="nil"/>
              <w:bottom w:val="nil"/>
              <w:right w:val="nil"/>
            </w:tcBorders>
            <w:tcMar>
              <w:top w:w="0" w:type="dxa"/>
              <w:left w:w="62" w:type="dxa"/>
              <w:bottom w:w="0" w:type="dxa"/>
              <w:right w:w="62" w:type="dxa"/>
            </w:tcMar>
          </w:tcPr>
          <w:p w:rsidR="00000000" w:rsidP="00597C8C">
            <w:pPr>
              <w:pStyle w:val="BodyText"/>
              <w:rPr>
                <w:lang w:val="en-NZ"/>
              </w:rPr>
            </w:pPr>
            <w:r w:rsidRPr="00597C8C">
              <w:rPr>
                <w:rStyle w:val="BoldandItalics"/>
              </w:rPr>
              <w:t>Point</w:t>
            </w:r>
            <w:r w:rsidRPr="00597C8C">
              <w:t>-</w:t>
            </w:r>
            <w:r w:rsidRPr="00597C8C">
              <w:rPr>
                <w:rStyle w:val="BoldandItalics"/>
              </w:rPr>
              <w:t>of</w:t>
            </w:r>
            <w:r w:rsidRPr="00597C8C">
              <w:t>-</w:t>
            </w:r>
            <w:r w:rsidRPr="00597C8C">
              <w:rPr>
                <w:rStyle w:val="BoldandItalics"/>
              </w:rPr>
              <w:t>sale equipment</w:t>
            </w:r>
            <w:r w:rsidRPr="00597C8C">
              <w:t xml:space="preserve"> may include:</w:t>
            </w:r>
          </w:p>
        </w:tc>
        <w:tc>
          <w:tcPr>
            <w:tcW w:w="5417" w:type="dxa"/>
            <w:tcBorders>
              <w:top w:val="nil"/>
              <w:left w:val="nil"/>
              <w:bottom w:val="nil"/>
              <w:right w:val="nil"/>
            </w:tcBorders>
            <w:tcMar>
              <w:top w:w="0" w:type="dxa"/>
              <w:left w:w="62" w:type="dxa"/>
              <w:bottom w:w="0" w:type="dxa"/>
              <w:right w:w="62" w:type="dxa"/>
            </w:tcMar>
          </w:tcPr>
          <w:p w:rsidR="00000000" w:rsidRPr="00597C8C" w:rsidP="00597C8C">
            <w:pPr>
              <w:pStyle w:val="ListBullet"/>
            </w:pPr>
            <w:r w:rsidRPr="00597C8C">
              <w:t>manual:</w:t>
            </w:r>
          </w:p>
          <w:p w:rsidR="00000000" w:rsidRPr="00597C8C" w:rsidP="00597C8C">
            <w:pPr>
              <w:pStyle w:val="ListBullet2"/>
            </w:pPr>
            <w:r w:rsidRPr="00597C8C">
              <w:t>cash register</w:t>
            </w:r>
          </w:p>
          <w:p w:rsidR="00000000" w:rsidRPr="00597C8C" w:rsidP="00597C8C">
            <w:pPr>
              <w:pStyle w:val="ListBullet2"/>
            </w:pPr>
            <w:r w:rsidRPr="00597C8C">
              <w:t>credit card equipment</w:t>
            </w:r>
          </w:p>
          <w:p w:rsidR="00000000" w:rsidRPr="00597C8C" w:rsidP="00597C8C">
            <w:pPr>
              <w:pStyle w:val="ListBullet"/>
            </w:pPr>
            <w:r w:rsidRPr="00597C8C">
              <w:t>electronic:</w:t>
            </w:r>
          </w:p>
          <w:p w:rsidR="00000000" w:rsidRPr="00597C8C" w:rsidP="00597C8C">
            <w:pPr>
              <w:pStyle w:val="ListBullet2"/>
            </w:pPr>
            <w:r w:rsidRPr="00597C8C">
              <w:t>terminal and screen</w:t>
            </w:r>
          </w:p>
          <w:p w:rsidR="00000000" w:rsidRPr="00597C8C" w:rsidP="00597C8C">
            <w:pPr>
              <w:pStyle w:val="ListBullet2"/>
            </w:pPr>
            <w:r w:rsidRPr="00597C8C">
              <w:t>bar code scanner</w:t>
            </w:r>
          </w:p>
          <w:p w:rsidR="00000000" w:rsidP="00597C8C">
            <w:pPr>
              <w:pStyle w:val="ListBullet2"/>
              <w:rPr>
                <w:lang w:val="en-NZ"/>
              </w:rPr>
            </w:pPr>
            <w:r w:rsidRPr="00597C8C">
              <w:t>EFTPOS equipment.</w:t>
            </w:r>
          </w:p>
        </w:tc>
      </w:tr>
      <w:tr w:rsidTr="00AE1A28">
        <w:tblPrEx>
          <w:tblW w:w="0" w:type="auto"/>
          <w:tblLayout w:type="fixed"/>
          <w:tblCellMar>
            <w:left w:w="62" w:type="dxa"/>
            <w:right w:w="62" w:type="dxa"/>
          </w:tblCellMar>
          <w:tblLook w:val="0000"/>
        </w:tblPrEx>
        <w:tc>
          <w:tcPr>
            <w:tcW w:w="3105" w:type="dxa"/>
            <w:tcBorders>
              <w:top w:val="nil"/>
              <w:left w:val="nil"/>
              <w:bottom w:val="nil"/>
              <w:right w:val="nil"/>
            </w:tcBorders>
            <w:tcMar>
              <w:top w:w="0" w:type="dxa"/>
              <w:left w:w="62" w:type="dxa"/>
              <w:bottom w:w="0" w:type="dxa"/>
              <w:right w:w="62" w:type="dxa"/>
            </w:tcMar>
          </w:tcPr>
          <w:p w:rsidR="00000000" w:rsidP="00597C8C">
            <w:pPr>
              <w:pStyle w:val="BodyText"/>
              <w:rPr>
                <w:lang w:val="en-NZ"/>
              </w:rPr>
            </w:pPr>
            <w:r w:rsidRPr="00597C8C">
              <w:rPr>
                <w:rStyle w:val="BoldandItalics"/>
              </w:rPr>
              <w:t>Workplace policies and procedures</w:t>
            </w:r>
            <w:r w:rsidRPr="00597C8C">
              <w:t xml:space="preserve"> may include: </w:t>
            </w:r>
          </w:p>
        </w:tc>
        <w:tc>
          <w:tcPr>
            <w:tcW w:w="5417" w:type="dxa"/>
            <w:tcBorders>
              <w:top w:val="nil"/>
              <w:left w:val="nil"/>
              <w:bottom w:val="nil"/>
              <w:right w:val="nil"/>
            </w:tcBorders>
            <w:tcMar>
              <w:top w:w="0" w:type="dxa"/>
              <w:left w:w="62" w:type="dxa"/>
              <w:bottom w:w="0" w:type="dxa"/>
              <w:right w:w="62" w:type="dxa"/>
            </w:tcMar>
          </w:tcPr>
          <w:p w:rsidR="00000000" w:rsidRPr="00597C8C" w:rsidP="00597C8C">
            <w:pPr>
              <w:pStyle w:val="ListBullet"/>
            </w:pPr>
            <w:r w:rsidRPr="00597C8C">
              <w:t>operation of point-of-sale equipment</w:t>
            </w:r>
          </w:p>
          <w:p w:rsidR="00000000" w:rsidRPr="00597C8C" w:rsidP="00597C8C">
            <w:pPr>
              <w:pStyle w:val="ListBullet"/>
            </w:pPr>
            <w:r w:rsidRPr="00597C8C">
              <w:t>cash handling security</w:t>
            </w:r>
          </w:p>
          <w:p w:rsidR="00000000" w:rsidRPr="00597C8C" w:rsidP="00597C8C">
            <w:pPr>
              <w:pStyle w:val="ListBullet"/>
            </w:pPr>
            <w:r w:rsidRPr="00597C8C">
              <w:t>sales transactions</w:t>
            </w:r>
          </w:p>
          <w:p w:rsidR="00000000" w:rsidRPr="00597C8C" w:rsidP="00597C8C">
            <w:pPr>
              <w:pStyle w:val="ListBullet"/>
            </w:pPr>
            <w:r w:rsidRPr="00597C8C">
              <w:t>staffing</w:t>
            </w:r>
          </w:p>
          <w:p w:rsidR="00000000" w:rsidP="00597C8C">
            <w:pPr>
              <w:pStyle w:val="ListBullet"/>
              <w:rPr>
                <w:lang w:val="en-NZ"/>
              </w:rPr>
            </w:pPr>
            <w:r w:rsidRPr="00597C8C">
              <w:t>health and hygiene requirements.</w:t>
            </w:r>
          </w:p>
        </w:tc>
      </w:tr>
      <w:tr w:rsidTr="00AE1A28">
        <w:tblPrEx>
          <w:tblW w:w="0" w:type="auto"/>
          <w:tblLayout w:type="fixed"/>
          <w:tblCellMar>
            <w:left w:w="62" w:type="dxa"/>
            <w:right w:w="62" w:type="dxa"/>
          </w:tblCellMar>
          <w:tblLook w:val="0000"/>
        </w:tblPrEx>
        <w:tc>
          <w:tcPr>
            <w:tcW w:w="3105" w:type="dxa"/>
            <w:tcBorders>
              <w:top w:val="nil"/>
              <w:left w:val="nil"/>
              <w:bottom w:val="nil"/>
              <w:right w:val="nil"/>
            </w:tcBorders>
            <w:tcMar>
              <w:top w:w="0" w:type="dxa"/>
              <w:left w:w="62" w:type="dxa"/>
              <w:bottom w:w="0" w:type="dxa"/>
              <w:right w:w="62" w:type="dxa"/>
            </w:tcMar>
          </w:tcPr>
          <w:p w:rsidR="00000000" w:rsidP="00597C8C">
            <w:pPr>
              <w:pStyle w:val="BodyText"/>
              <w:rPr>
                <w:lang w:val="en-NZ"/>
              </w:rPr>
            </w:pPr>
            <w:r w:rsidRPr="00597C8C">
              <w:rPr>
                <w:rStyle w:val="BoldandItalics"/>
              </w:rPr>
              <w:t>Cash handling</w:t>
            </w:r>
            <w:r w:rsidRPr="00597C8C">
              <w:t xml:space="preserve"> may include: </w:t>
            </w:r>
          </w:p>
        </w:tc>
        <w:tc>
          <w:tcPr>
            <w:tcW w:w="5417" w:type="dxa"/>
            <w:tcBorders>
              <w:top w:val="nil"/>
              <w:left w:val="nil"/>
              <w:bottom w:val="nil"/>
              <w:right w:val="nil"/>
            </w:tcBorders>
            <w:tcMar>
              <w:top w:w="0" w:type="dxa"/>
              <w:left w:w="62" w:type="dxa"/>
              <w:bottom w:w="0" w:type="dxa"/>
              <w:right w:w="62" w:type="dxa"/>
            </w:tcMar>
          </w:tcPr>
          <w:p w:rsidR="00000000" w:rsidRPr="00597C8C" w:rsidP="00597C8C">
            <w:pPr>
              <w:pStyle w:val="ListBullet"/>
            </w:pPr>
            <w:r w:rsidRPr="00597C8C">
              <w:t>opening and closing point-of-sale terminal</w:t>
            </w:r>
          </w:p>
          <w:p w:rsidR="00000000" w:rsidRPr="00597C8C" w:rsidP="00597C8C">
            <w:pPr>
              <w:pStyle w:val="ListBullet"/>
            </w:pPr>
            <w:r w:rsidRPr="00597C8C">
              <w:t>clearing terminal and transferring tender</w:t>
            </w:r>
          </w:p>
          <w:p w:rsidR="00000000" w:rsidRPr="00597C8C" w:rsidP="00597C8C">
            <w:pPr>
              <w:pStyle w:val="ListBullet"/>
            </w:pPr>
            <w:r w:rsidRPr="00597C8C">
              <w:t>maintaining cash floa</w:t>
            </w:r>
            <w:r w:rsidRPr="00597C8C">
              <w:t>t</w:t>
            </w:r>
          </w:p>
          <w:p w:rsidR="00000000" w:rsidRPr="00597C8C" w:rsidP="00597C8C">
            <w:pPr>
              <w:pStyle w:val="ListBullet"/>
            </w:pPr>
            <w:r w:rsidRPr="00597C8C">
              <w:t>tendering change</w:t>
            </w:r>
          </w:p>
          <w:p w:rsidR="00000000" w:rsidRPr="00597C8C" w:rsidP="00597C8C">
            <w:pPr>
              <w:pStyle w:val="ListBullet"/>
            </w:pPr>
            <w:r w:rsidRPr="00597C8C">
              <w:t>counting cash</w:t>
            </w:r>
          </w:p>
          <w:p w:rsidR="00000000" w:rsidRPr="00597C8C" w:rsidP="00597C8C">
            <w:pPr>
              <w:pStyle w:val="ListBullet"/>
            </w:pPr>
            <w:r w:rsidRPr="00597C8C">
              <w:t>calculating non-cash documents</w:t>
            </w:r>
          </w:p>
          <w:p w:rsidR="00000000" w:rsidRPr="00597C8C" w:rsidP="00597C8C">
            <w:pPr>
              <w:pStyle w:val="ListBullet"/>
            </w:pPr>
            <w:r w:rsidRPr="00597C8C">
              <w:t>balancing point-of-sale terminal</w:t>
            </w:r>
          </w:p>
          <w:p w:rsidR="00000000" w:rsidRPr="00597C8C" w:rsidP="00597C8C">
            <w:pPr>
              <w:pStyle w:val="ListBullet"/>
            </w:pPr>
            <w:r w:rsidRPr="00597C8C">
              <w:t>ensuring security of cash and non-cash transactions</w:t>
            </w:r>
          </w:p>
          <w:p w:rsidR="00000000" w:rsidP="00597C8C">
            <w:pPr>
              <w:pStyle w:val="ListBullet"/>
              <w:rPr>
                <w:lang w:val="en-NZ"/>
              </w:rPr>
            </w:pPr>
            <w:r w:rsidRPr="00597C8C">
              <w:t>recording takings.</w:t>
            </w:r>
          </w:p>
        </w:tc>
      </w:tr>
      <w:tr w:rsidTr="00AE1A28">
        <w:tblPrEx>
          <w:tblW w:w="0" w:type="auto"/>
          <w:tblLayout w:type="fixed"/>
          <w:tblCellMar>
            <w:left w:w="62" w:type="dxa"/>
            <w:right w:w="62" w:type="dxa"/>
          </w:tblCellMar>
          <w:tblLook w:val="0000"/>
        </w:tblPrEx>
        <w:tc>
          <w:tcPr>
            <w:tcW w:w="3105" w:type="dxa"/>
            <w:tcBorders>
              <w:top w:val="nil"/>
              <w:left w:val="nil"/>
              <w:bottom w:val="nil"/>
              <w:right w:val="nil"/>
            </w:tcBorders>
            <w:tcMar>
              <w:top w:w="0" w:type="dxa"/>
              <w:left w:w="62" w:type="dxa"/>
              <w:bottom w:w="0" w:type="dxa"/>
              <w:right w:w="62" w:type="dxa"/>
            </w:tcMar>
          </w:tcPr>
          <w:p w:rsidR="00000000" w:rsidP="00597C8C">
            <w:pPr>
              <w:pStyle w:val="BodyText"/>
              <w:rPr>
                <w:lang w:val="en-NZ"/>
              </w:rPr>
            </w:pPr>
            <w:r w:rsidRPr="00597C8C">
              <w:rPr>
                <w:rStyle w:val="BoldandItalics"/>
              </w:rPr>
              <w:t>Point</w:t>
            </w:r>
            <w:r w:rsidRPr="00597C8C">
              <w:t>-</w:t>
            </w:r>
            <w:r w:rsidRPr="00597C8C">
              <w:rPr>
                <w:rStyle w:val="BoldandItalics"/>
              </w:rPr>
              <w:t>of</w:t>
            </w:r>
            <w:r w:rsidRPr="00597C8C">
              <w:t>-</w:t>
            </w:r>
            <w:r w:rsidRPr="00597C8C">
              <w:rPr>
                <w:rStyle w:val="BoldandItalics"/>
              </w:rPr>
              <w:t>sale transactions</w:t>
            </w:r>
            <w:r w:rsidRPr="00597C8C">
              <w:t xml:space="preserve"> may include:</w:t>
            </w:r>
          </w:p>
        </w:tc>
        <w:tc>
          <w:tcPr>
            <w:tcW w:w="5417" w:type="dxa"/>
            <w:tcBorders>
              <w:top w:val="nil"/>
              <w:left w:val="nil"/>
              <w:bottom w:val="nil"/>
              <w:right w:val="nil"/>
            </w:tcBorders>
            <w:tcMar>
              <w:top w:w="0" w:type="dxa"/>
              <w:left w:w="62" w:type="dxa"/>
              <w:bottom w:w="0" w:type="dxa"/>
              <w:right w:w="62" w:type="dxa"/>
            </w:tcMar>
          </w:tcPr>
          <w:p w:rsidR="00000000" w:rsidRPr="00597C8C" w:rsidP="00597C8C">
            <w:pPr>
              <w:pStyle w:val="ListBullet"/>
            </w:pPr>
            <w:r w:rsidRPr="00597C8C">
              <w:t>EFTPOS</w:t>
            </w:r>
          </w:p>
          <w:p w:rsidR="00000000" w:rsidRPr="00597C8C" w:rsidP="00597C8C">
            <w:pPr>
              <w:pStyle w:val="ListBullet"/>
            </w:pPr>
            <w:r w:rsidRPr="00597C8C">
              <w:t>cheques</w:t>
            </w:r>
          </w:p>
          <w:p w:rsidR="00000000" w:rsidRPr="00597C8C" w:rsidP="00597C8C">
            <w:pPr>
              <w:pStyle w:val="ListBullet"/>
            </w:pPr>
            <w:r w:rsidRPr="00597C8C">
              <w:t>credit cards</w:t>
            </w:r>
          </w:p>
          <w:p w:rsidR="00000000" w:rsidRPr="00597C8C" w:rsidP="00597C8C">
            <w:pPr>
              <w:pStyle w:val="ListBullet"/>
            </w:pPr>
            <w:r w:rsidRPr="00597C8C">
              <w:t>smart cards</w:t>
            </w:r>
          </w:p>
          <w:p w:rsidR="00000000" w:rsidRPr="00597C8C" w:rsidP="00597C8C">
            <w:pPr>
              <w:pStyle w:val="ListBullet"/>
            </w:pPr>
            <w:r w:rsidRPr="00597C8C">
              <w:t>lay-by</w:t>
            </w:r>
          </w:p>
          <w:p w:rsidR="00000000" w:rsidRPr="00597C8C" w:rsidP="00597C8C">
            <w:pPr>
              <w:pStyle w:val="ListBullet"/>
            </w:pPr>
            <w:r w:rsidRPr="00597C8C">
              <w:t>credits and returns</w:t>
            </w:r>
          </w:p>
          <w:p w:rsidR="00000000" w:rsidRPr="00597C8C" w:rsidP="00597C8C">
            <w:pPr>
              <w:pStyle w:val="ListBullet"/>
            </w:pPr>
            <w:r w:rsidRPr="00597C8C">
              <w:t>customer refunds</w:t>
            </w:r>
          </w:p>
          <w:p w:rsidR="00000000" w:rsidP="00597C8C">
            <w:pPr>
              <w:pStyle w:val="ListBullet"/>
              <w:rPr>
                <w:lang w:val="en-NZ"/>
              </w:rPr>
            </w:pPr>
            <w:r w:rsidRPr="00597C8C">
              <w:t>gift vouchers.</w:t>
            </w:r>
          </w:p>
        </w:tc>
      </w:tr>
      <w:tr w:rsidTr="00AE1A28">
        <w:tblPrEx>
          <w:tblW w:w="0" w:type="auto"/>
          <w:tblLayout w:type="fixed"/>
          <w:tblCellMar>
            <w:left w:w="62" w:type="dxa"/>
            <w:right w:w="62" w:type="dxa"/>
          </w:tblCellMar>
          <w:tblLook w:val="0000"/>
        </w:tblPrEx>
        <w:tc>
          <w:tcPr>
            <w:tcW w:w="3105" w:type="dxa"/>
            <w:tcBorders>
              <w:top w:val="nil"/>
              <w:left w:val="nil"/>
              <w:bottom w:val="nil"/>
              <w:right w:val="nil"/>
            </w:tcBorders>
            <w:tcMar>
              <w:top w:w="0" w:type="dxa"/>
              <w:left w:w="62" w:type="dxa"/>
              <w:bottom w:w="0" w:type="dxa"/>
              <w:right w:w="62" w:type="dxa"/>
            </w:tcMar>
          </w:tcPr>
          <w:p w:rsidR="00000000" w:rsidP="00597C8C">
            <w:pPr>
              <w:pStyle w:val="BodyText"/>
              <w:rPr>
                <w:lang w:val="en-NZ"/>
              </w:rPr>
            </w:pPr>
            <w:r w:rsidRPr="00597C8C">
              <w:rPr>
                <w:rStyle w:val="BoldandItalics"/>
              </w:rPr>
              <w:t>Relevant legislation</w:t>
            </w:r>
            <w:r w:rsidRPr="00597C8C">
              <w:t xml:space="preserve"> may include:</w:t>
            </w:r>
          </w:p>
        </w:tc>
        <w:tc>
          <w:tcPr>
            <w:tcW w:w="5417" w:type="dxa"/>
            <w:tcBorders>
              <w:top w:val="nil"/>
              <w:left w:val="nil"/>
              <w:bottom w:val="nil"/>
              <w:right w:val="nil"/>
            </w:tcBorders>
            <w:tcMar>
              <w:top w:w="0" w:type="dxa"/>
              <w:left w:w="62" w:type="dxa"/>
              <w:bottom w:w="0" w:type="dxa"/>
              <w:right w:w="62" w:type="dxa"/>
            </w:tcMar>
          </w:tcPr>
          <w:p w:rsidR="00000000" w:rsidRPr="00597C8C" w:rsidP="00597C8C">
            <w:pPr>
              <w:pStyle w:val="ListBullet"/>
            </w:pPr>
            <w:r w:rsidRPr="00597C8C">
              <w:t>consumer legislation</w:t>
            </w:r>
          </w:p>
          <w:p w:rsidR="00000000" w:rsidRPr="00597C8C" w:rsidP="00597C8C">
            <w:pPr>
              <w:pStyle w:val="ListBullet"/>
            </w:pPr>
            <w:r w:rsidRPr="00597C8C">
              <w:t>privacy legislation</w:t>
            </w:r>
          </w:p>
          <w:p w:rsidR="00000000" w:rsidRPr="00597C8C" w:rsidP="00597C8C">
            <w:pPr>
              <w:pStyle w:val="ListBullet"/>
            </w:pPr>
            <w:r w:rsidRPr="00597C8C">
              <w:t>GST regulations</w:t>
            </w:r>
          </w:p>
          <w:p w:rsidR="00000000" w:rsidP="00597C8C">
            <w:pPr>
              <w:pStyle w:val="ListBullet"/>
              <w:rPr>
                <w:lang w:val="en-NZ"/>
              </w:rPr>
            </w:pPr>
            <w:r w:rsidRPr="00597C8C">
              <w:t>occupational health and safety legislation.</w:t>
            </w:r>
          </w:p>
        </w:tc>
      </w:tr>
      <w:tr w:rsidTr="00AE1A28">
        <w:tblPrEx>
          <w:tblW w:w="0" w:type="auto"/>
          <w:tblLayout w:type="fixed"/>
          <w:tblCellMar>
            <w:left w:w="62" w:type="dxa"/>
            <w:right w:w="62" w:type="dxa"/>
          </w:tblCellMar>
          <w:tblLook w:val="0000"/>
        </w:tblPrEx>
        <w:tc>
          <w:tcPr>
            <w:tcW w:w="3105" w:type="dxa"/>
            <w:tcBorders>
              <w:top w:val="nil"/>
              <w:left w:val="nil"/>
              <w:bottom w:val="nil"/>
              <w:right w:val="nil"/>
            </w:tcBorders>
            <w:tcMar>
              <w:top w:w="0" w:type="dxa"/>
              <w:left w:w="62" w:type="dxa"/>
              <w:bottom w:w="0" w:type="dxa"/>
              <w:right w:w="62" w:type="dxa"/>
            </w:tcMar>
          </w:tcPr>
          <w:p w:rsidR="00000000" w:rsidP="00597C8C">
            <w:pPr>
              <w:pStyle w:val="BodyText"/>
              <w:rPr>
                <w:lang w:val="en-NZ"/>
              </w:rPr>
            </w:pPr>
            <w:r w:rsidRPr="00597C8C">
              <w:rPr>
                <w:rStyle w:val="BoldandItalics"/>
              </w:rPr>
              <w:t>Clients</w:t>
            </w:r>
            <w:r w:rsidRPr="00597C8C">
              <w:t xml:space="preserve"> may include:</w:t>
            </w:r>
          </w:p>
        </w:tc>
        <w:tc>
          <w:tcPr>
            <w:tcW w:w="5417" w:type="dxa"/>
            <w:tcBorders>
              <w:top w:val="nil"/>
              <w:left w:val="nil"/>
              <w:bottom w:val="nil"/>
              <w:right w:val="nil"/>
            </w:tcBorders>
            <w:tcMar>
              <w:top w:w="0" w:type="dxa"/>
              <w:left w:w="62" w:type="dxa"/>
              <w:bottom w:w="0" w:type="dxa"/>
              <w:right w:w="62" w:type="dxa"/>
            </w:tcMar>
          </w:tcPr>
          <w:p w:rsidR="00000000" w:rsidRPr="00597C8C" w:rsidP="00597C8C">
            <w:pPr>
              <w:pStyle w:val="ListBullet"/>
            </w:pPr>
            <w:r w:rsidRPr="00597C8C">
              <w:t>new or regular clients with routine or special</w:t>
            </w:r>
            <w:r w:rsidRPr="00597C8C">
              <w:t xml:space="preserve"> needs</w:t>
            </w:r>
          </w:p>
          <w:p w:rsidR="00000000" w:rsidRPr="00597C8C" w:rsidP="00597C8C">
            <w:pPr>
              <w:pStyle w:val="ListBullet"/>
            </w:pPr>
            <w:r w:rsidRPr="00597C8C">
              <w:t>male or female clients</w:t>
            </w:r>
          </w:p>
          <w:p w:rsidR="00000000" w:rsidP="00597C8C">
            <w:pPr>
              <w:pStyle w:val="ListBullet"/>
              <w:rPr>
                <w:lang w:val="en-NZ"/>
              </w:rPr>
            </w:pPr>
            <w:r w:rsidRPr="00597C8C">
              <w:t>people from a range of social, cultural and ethnic backgrounds with varying physical and mental abilities.</w:t>
            </w:r>
          </w:p>
        </w:tc>
      </w:tr>
      <w:tr w:rsidTr="00AE1A28">
        <w:tblPrEx>
          <w:tblW w:w="0" w:type="auto"/>
          <w:tblLayout w:type="fixed"/>
          <w:tblCellMar>
            <w:left w:w="62" w:type="dxa"/>
            <w:right w:w="62" w:type="dxa"/>
          </w:tblCellMar>
          <w:tblLook w:val="0000"/>
        </w:tblPrEx>
        <w:tc>
          <w:tcPr>
            <w:tcW w:w="3105" w:type="dxa"/>
            <w:tcBorders>
              <w:top w:val="nil"/>
              <w:left w:val="nil"/>
              <w:bottom w:val="nil"/>
              <w:right w:val="nil"/>
            </w:tcBorders>
            <w:tcMar>
              <w:top w:w="0" w:type="dxa"/>
              <w:left w:w="62" w:type="dxa"/>
              <w:bottom w:w="0" w:type="dxa"/>
              <w:right w:w="62" w:type="dxa"/>
            </w:tcMar>
          </w:tcPr>
          <w:p w:rsidR="00000000" w:rsidP="00597C8C">
            <w:pPr>
              <w:pStyle w:val="BodyText"/>
              <w:rPr>
                <w:lang w:val="en-NZ"/>
              </w:rPr>
            </w:pPr>
            <w:r w:rsidRPr="00597C8C">
              <w:rPr>
                <w:rStyle w:val="BoldandItalics"/>
              </w:rPr>
              <w:t>Client documentation</w:t>
            </w:r>
            <w:r w:rsidRPr="00597C8C">
              <w:t xml:space="preserve"> may include:</w:t>
            </w:r>
          </w:p>
        </w:tc>
        <w:tc>
          <w:tcPr>
            <w:tcW w:w="5417" w:type="dxa"/>
            <w:tcBorders>
              <w:top w:val="nil"/>
              <w:left w:val="nil"/>
              <w:bottom w:val="nil"/>
              <w:right w:val="nil"/>
            </w:tcBorders>
            <w:tcMar>
              <w:top w:w="0" w:type="dxa"/>
              <w:left w:w="62" w:type="dxa"/>
              <w:bottom w:w="0" w:type="dxa"/>
              <w:right w:w="62" w:type="dxa"/>
            </w:tcMar>
          </w:tcPr>
          <w:p w:rsidR="00000000" w:rsidRPr="00597C8C" w:rsidP="00597C8C">
            <w:pPr>
              <w:pStyle w:val="ListBullet"/>
            </w:pPr>
            <w:r w:rsidRPr="00597C8C">
              <w:t>order forms</w:t>
            </w:r>
          </w:p>
          <w:p w:rsidR="00000000" w:rsidRPr="00597C8C" w:rsidP="00597C8C">
            <w:pPr>
              <w:pStyle w:val="ListBullet"/>
            </w:pPr>
            <w:r w:rsidRPr="00597C8C">
              <w:t>gift vouchers</w:t>
            </w:r>
          </w:p>
          <w:p w:rsidR="00000000" w:rsidRPr="00597C8C" w:rsidP="00597C8C">
            <w:pPr>
              <w:pStyle w:val="ListBullet"/>
            </w:pPr>
            <w:r w:rsidRPr="00597C8C">
              <w:t>invoices</w:t>
            </w:r>
          </w:p>
          <w:p w:rsidR="00000000" w:rsidRPr="00597C8C" w:rsidP="00597C8C">
            <w:pPr>
              <w:pStyle w:val="ListBullet"/>
            </w:pPr>
            <w:r w:rsidRPr="00597C8C">
              <w:t>receipts.</w:t>
            </w:r>
          </w:p>
        </w:tc>
      </w:tr>
    </w:tbl>
    <w:p w:rsidR="00000000" w:rsidRPr="00597C8C" w:rsidP="00597C8C">
      <w:pPr>
        <w:pStyle w:val="BodyText"/>
      </w:pPr>
    </w:p>
    <w:p w:rsidR="00000000" w:rsidRPr="00597C8C" w:rsidP="00597C8C">
      <w:pPr>
        <w:pStyle w:val="AllowPageBreak"/>
      </w:pPr>
    </w:p>
    <w:p w:rsidR="00000000" w:rsidRPr="00597C8C" w:rsidP="00597C8C">
      <w:pPr>
        <w:pStyle w:val="Heading1"/>
      </w:pPr>
      <w:bookmarkStart w:id="12" w:name="O_396396"/>
      <w:bookmarkEnd w:id="12"/>
      <w:r w:rsidRPr="00597C8C">
        <w:t>Unit Sector(s)</w:t>
      </w:r>
    </w:p>
    <w:p w:rsidR="00000000" w:rsidRPr="00597C8C" w:rsidP="00597C8C">
      <w:pPr>
        <w:pStyle w:val="BodyText"/>
      </w:pPr>
      <w:r w:rsidRPr="00597C8C">
        <w:t>Cross-Sector</w:t>
      </w:r>
    </w:p>
    <w:p w:rsidR="00000000" w:rsidRPr="00597C8C" w:rsidP="00597C8C">
      <w:pPr>
        <w:pStyle w:val="AllowPageBreak"/>
      </w:pPr>
    </w:p>
    <w:p w:rsidR="00000000" w:rsidRPr="00597C8C" w:rsidP="00597C8C">
      <w:pPr>
        <w:pStyle w:val="Heading1"/>
      </w:pPr>
      <w:bookmarkStart w:id="13" w:name="O_396408"/>
      <w:bookmarkEnd w:id="13"/>
      <w:r w:rsidRPr="00597C8C">
        <w:t>Competency Field</w:t>
      </w:r>
    </w:p>
    <w:p w:rsidR="00000000" w:rsidRPr="00597C8C" w:rsidP="00597C8C">
      <w:pPr>
        <w:pStyle w:val="BodyText"/>
      </w:pPr>
      <w:r w:rsidRPr="00597C8C">
        <w:t>Client Services</w:t>
      </w:r>
    </w:p>
    <w:p w:rsidR="00000000" w:rsidRPr="00597C8C" w:rsidP="00597C8C"/>
    <w:sectPr w:rsidSect="00597C8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7C8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E1A28" w:rsidP="00AE1A28">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7C8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1A28" w:rsidP="00597C8C">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AE1A28" w:rsidP="00597C8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AE1A28" w:rsidP="00597C8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7C8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7C8C" w:rsidRPr="00AE1A28" w:rsidP="00AE1A28">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7C8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1A28" w:rsidRPr="002D2AF8" w:rsidP="00597C8C">
    <w:pPr>
      <w:pStyle w:val="Header"/>
      <w:framePr w:wrap="around"/>
    </w:pPr>
    <w:r>
      <w:fldChar w:fldCharType="begin"/>
    </w:r>
    <w:r>
      <w:instrText xml:space="preserve"> TITLE   \* MERGEFORMAT </w:instrText>
    </w:r>
    <w:r>
      <w:fldChar w:fldCharType="separate"/>
    </w:r>
    <w:r>
      <w:t>SIBXCCS201A Conduct financial transactions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October 2012</w:t>
    </w:r>
    <w:r>
      <w:fldChar w:fldCharType="end"/>
    </w:r>
  </w:p>
  <w:p w:rsidR="00AE1A28" w:rsidP="00597C8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490212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B326DA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858515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97C8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97C8C"/>
    <w:pPr>
      <w:spacing w:before="360" w:after="60"/>
      <w:outlineLvl w:val="0"/>
    </w:pPr>
    <w:rPr>
      <w:sz w:val="32"/>
    </w:rPr>
  </w:style>
  <w:style w:type="paragraph" w:styleId="Heading2">
    <w:name w:val="heading 2"/>
    <w:basedOn w:val="HeadingBase"/>
    <w:next w:val="BodyText"/>
    <w:link w:val="Heading2Char"/>
    <w:qFormat/>
    <w:rsid w:val="00597C8C"/>
    <w:pPr>
      <w:keepLines/>
      <w:spacing w:before="240" w:after="120"/>
      <w:outlineLvl w:val="1"/>
    </w:pPr>
    <w:rPr>
      <w:sz w:val="28"/>
      <w:szCs w:val="40"/>
    </w:rPr>
  </w:style>
  <w:style w:type="paragraph" w:styleId="Heading3">
    <w:name w:val="heading 3"/>
    <w:basedOn w:val="HeadingBase"/>
    <w:next w:val="BodyText"/>
    <w:link w:val="Heading3Char"/>
    <w:qFormat/>
    <w:rsid w:val="00597C8C"/>
    <w:pPr>
      <w:spacing w:before="180" w:after="120"/>
      <w:outlineLvl w:val="2"/>
    </w:pPr>
    <w:rPr>
      <w:spacing w:val="-10"/>
      <w:kern w:val="32"/>
    </w:rPr>
  </w:style>
  <w:style w:type="paragraph" w:styleId="Heading4">
    <w:name w:val="heading 4"/>
    <w:basedOn w:val="HeadingBase"/>
    <w:next w:val="BodyText"/>
    <w:link w:val="Heading4Char"/>
    <w:qFormat/>
    <w:rsid w:val="00597C8C"/>
    <w:pPr>
      <w:spacing w:before="160" w:after="120"/>
      <w:outlineLvl w:val="3"/>
    </w:pPr>
    <w:rPr>
      <w:sz w:val="22"/>
    </w:rPr>
  </w:style>
  <w:style w:type="paragraph" w:styleId="Heading5">
    <w:name w:val="heading 5"/>
    <w:basedOn w:val="HeadingBase"/>
    <w:next w:val="Normal"/>
    <w:link w:val="Heading5Char"/>
    <w:qFormat/>
    <w:rsid w:val="00597C8C"/>
    <w:pPr>
      <w:spacing w:before="80"/>
      <w:outlineLvl w:val="4"/>
    </w:pPr>
    <w:rPr>
      <w:color w:val="918585"/>
      <w:sz w:val="20"/>
    </w:rPr>
  </w:style>
  <w:style w:type="paragraph" w:styleId="Heading6">
    <w:name w:val="heading 6"/>
    <w:basedOn w:val="HeadingBase"/>
    <w:next w:val="Normal"/>
    <w:link w:val="Heading6Char"/>
    <w:qFormat/>
    <w:rsid w:val="00597C8C"/>
    <w:pPr>
      <w:spacing w:before="60"/>
      <w:outlineLvl w:val="5"/>
    </w:pPr>
    <w:rPr>
      <w:color w:val="918585"/>
      <w:sz w:val="20"/>
    </w:rPr>
  </w:style>
  <w:style w:type="paragraph" w:styleId="Heading7">
    <w:name w:val="heading 7"/>
    <w:basedOn w:val="Normal"/>
    <w:next w:val="Normal"/>
    <w:link w:val="Heading7Char"/>
    <w:qFormat/>
    <w:rsid w:val="00597C8C"/>
    <w:pPr>
      <w:ind w:left="720"/>
      <w:outlineLvl w:val="6"/>
    </w:pPr>
    <w:rPr>
      <w:i/>
    </w:rPr>
  </w:style>
  <w:style w:type="paragraph" w:styleId="Heading8">
    <w:name w:val="heading 8"/>
    <w:basedOn w:val="Normal"/>
    <w:next w:val="Normal"/>
    <w:link w:val="Heading8Char"/>
    <w:qFormat/>
    <w:rsid w:val="00597C8C"/>
    <w:pPr>
      <w:ind w:left="720"/>
      <w:outlineLvl w:val="7"/>
    </w:pPr>
    <w:rPr>
      <w:i/>
    </w:rPr>
  </w:style>
  <w:style w:type="paragraph" w:styleId="Heading9">
    <w:name w:val="heading 9"/>
    <w:basedOn w:val="Normal"/>
    <w:next w:val="Normal"/>
    <w:link w:val="Heading9Char"/>
    <w:qFormat/>
    <w:rsid w:val="00597C8C"/>
    <w:pPr>
      <w:ind w:left="720"/>
      <w:outlineLvl w:val="8"/>
    </w:pPr>
    <w:rPr>
      <w:i/>
    </w:rPr>
  </w:style>
  <w:style w:type="character" w:default="1" w:styleId="DefaultParagraphFont">
    <w:name w:val="Default Paragraph Font"/>
    <w:uiPriority w:val="1"/>
    <w:unhideWhenUsed/>
    <w:rsid w:val="00597C8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97C8C"/>
  </w:style>
  <w:style w:type="character" w:customStyle="1" w:styleId="Heading1Char">
    <w:name w:val="Heading 1 Char"/>
    <w:basedOn w:val="DefaultParagraphFont"/>
    <w:link w:val="Heading1"/>
    <w:rsid w:val="00597C8C"/>
    <w:rPr>
      <w:rFonts w:ascii="Times New Roman" w:eastAsia="Times New Roman" w:hAnsi="Times New Roman" w:cs="Times New Roman"/>
      <w:b/>
      <w:sz w:val="32"/>
      <w:szCs w:val="20"/>
      <w:lang w:eastAsia="en-US"/>
    </w:rPr>
  </w:style>
  <w:style w:type="paragraph" w:styleId="BodyText">
    <w:name w:val="Body Text"/>
    <w:basedOn w:val="Normal"/>
    <w:link w:val="BodyTextChar"/>
    <w:rsid w:val="00597C8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97C8C"/>
    <w:rPr>
      <w:rFonts w:ascii="Times New Roman" w:eastAsia="Times New Roman" w:hAnsi="Times New Roman" w:cs="Times New Roman"/>
      <w:sz w:val="24"/>
      <w:lang w:eastAsia="en-US"/>
    </w:rPr>
  </w:style>
  <w:style w:type="paragraph" w:styleId="Footer">
    <w:name w:val="footer"/>
    <w:basedOn w:val="Normal"/>
    <w:link w:val="FooterChar"/>
    <w:rsid w:val="00597C8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97C8C"/>
    <w:rPr>
      <w:rFonts w:ascii="Times New Roman" w:eastAsia="Times New Roman" w:hAnsi="Times New Roman" w:cs="Times New Roman"/>
      <w:sz w:val="16"/>
      <w:lang w:eastAsia="en-US"/>
    </w:rPr>
  </w:style>
  <w:style w:type="paragraph" w:styleId="List">
    <w:name w:val="List"/>
    <w:basedOn w:val="BodyText"/>
    <w:next w:val="BodyText"/>
    <w:rsid w:val="00597C8C"/>
    <w:pPr>
      <w:tabs>
        <w:tab w:val="left" w:pos="340"/>
      </w:tabs>
      <w:spacing w:before="60" w:after="60"/>
      <w:ind w:left="340" w:hanging="340"/>
    </w:pPr>
  </w:style>
  <w:style w:type="paragraph" w:styleId="ListBullet">
    <w:name w:val="List Bullet"/>
    <w:basedOn w:val="List"/>
    <w:rsid w:val="00597C8C"/>
    <w:pPr>
      <w:numPr>
        <w:numId w:val="13"/>
      </w:numPr>
      <w:tabs>
        <w:tab w:val="clear" w:pos="340"/>
      </w:tabs>
      <w:spacing w:before="40" w:after="40"/>
    </w:pPr>
  </w:style>
  <w:style w:type="character" w:customStyle="1" w:styleId="SpecialBold">
    <w:name w:val="Special Bold"/>
    <w:basedOn w:val="DefaultParagraphFont"/>
    <w:rsid w:val="00597C8C"/>
    <w:rPr>
      <w:b/>
      <w:spacing w:val="0"/>
    </w:rPr>
  </w:style>
  <w:style w:type="paragraph" w:styleId="ListBullet2">
    <w:name w:val="List Bullet 2"/>
    <w:basedOn w:val="List2"/>
    <w:rsid w:val="00597C8C"/>
    <w:pPr>
      <w:numPr>
        <w:numId w:val="14"/>
      </w:numPr>
      <w:tabs>
        <w:tab w:val="clear" w:pos="680"/>
      </w:tabs>
    </w:pPr>
  </w:style>
  <w:style w:type="paragraph" w:customStyle="1" w:styleId="SuperHeading">
    <w:name w:val="SuperHeading"/>
    <w:basedOn w:val="Normal"/>
    <w:rsid w:val="00597C8C"/>
    <w:pPr>
      <w:spacing w:before="240" w:after="120"/>
      <w:outlineLvl w:val="0"/>
    </w:pPr>
    <w:rPr>
      <w:rFonts w:ascii="Times New Roman" w:hAnsi="Times New Roman"/>
      <w:b/>
      <w:sz w:val="28"/>
    </w:rPr>
  </w:style>
  <w:style w:type="paragraph" w:customStyle="1" w:styleId="AllowPageBreak">
    <w:name w:val="AllowPageBreak"/>
    <w:rsid w:val="00597C8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597C8C"/>
    <w:rPr>
      <w:b/>
      <w:i/>
      <w:u w:val="none"/>
    </w:rPr>
  </w:style>
  <w:style w:type="character" w:customStyle="1" w:styleId="Heading2Char">
    <w:name w:val="Heading 2 Char"/>
    <w:basedOn w:val="DefaultParagraphFont"/>
    <w:link w:val="Heading2"/>
    <w:rsid w:val="00597C8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97C8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97C8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97C8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97C8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97C8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97C8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97C8C"/>
    <w:rPr>
      <w:rFonts w:ascii="Courier New" w:eastAsia="Times New Roman" w:hAnsi="Courier New" w:cs="Times New Roman"/>
      <w:i/>
      <w:szCs w:val="20"/>
      <w:lang w:eastAsia="en-US"/>
    </w:rPr>
  </w:style>
  <w:style w:type="paragraph" w:customStyle="1" w:styleId="HeadingBase">
    <w:name w:val="Heading Base"/>
    <w:rsid w:val="00597C8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97C8C"/>
    <w:pPr>
      <w:tabs>
        <w:tab w:val="right" w:leader="dot" w:pos="9072"/>
      </w:tabs>
      <w:ind w:left="567"/>
    </w:pPr>
    <w:rPr>
      <w:szCs w:val="22"/>
    </w:rPr>
  </w:style>
  <w:style w:type="paragraph" w:customStyle="1" w:styleId="TOCBase">
    <w:name w:val="TOC Base"/>
    <w:rsid w:val="00597C8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97C8C"/>
    <w:pPr>
      <w:tabs>
        <w:tab w:val="right" w:leader="dot" w:pos="9072"/>
      </w:tabs>
      <w:spacing w:before="40" w:after="40"/>
      <w:ind w:left="284"/>
    </w:pPr>
    <w:rPr>
      <w:rFonts w:ascii="Times New Roman" w:hAnsi="Times New Roman"/>
    </w:rPr>
  </w:style>
  <w:style w:type="paragraph" w:styleId="TOC1">
    <w:name w:val="toc 1"/>
    <w:basedOn w:val="TOCBase"/>
    <w:next w:val="Normal"/>
    <w:rsid w:val="00597C8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97C8C"/>
    <w:pPr>
      <w:spacing w:before="5040"/>
      <w:jc w:val="center"/>
    </w:pPr>
    <w:rPr>
      <w:sz w:val="48"/>
      <w:szCs w:val="72"/>
      <w:lang w:val="en-US"/>
    </w:rPr>
  </w:style>
  <w:style w:type="character" w:customStyle="1" w:styleId="TitleChar">
    <w:name w:val="Title Char"/>
    <w:basedOn w:val="DefaultParagraphFont"/>
    <w:link w:val="Title"/>
    <w:rsid w:val="00597C8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97C8C"/>
    <w:pPr>
      <w:tabs>
        <w:tab w:val="left" w:pos="3600"/>
        <w:tab w:val="left" w:pos="3958"/>
      </w:tabs>
    </w:pPr>
  </w:style>
  <w:style w:type="paragraph" w:customStyle="1" w:styleId="Note">
    <w:name w:val="Note"/>
    <w:basedOn w:val="BodyText"/>
    <w:rsid w:val="00597C8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97C8C"/>
    <w:pPr>
      <w:framePr w:wrap="auto" w:hAnchor="text" w:y="6049"/>
    </w:pPr>
    <w:rPr>
      <w:color w:val="000000"/>
      <w:sz w:val="40"/>
    </w:rPr>
  </w:style>
  <w:style w:type="paragraph" w:customStyle="1" w:styleId="TOCTitle">
    <w:name w:val="TOCTitle"/>
    <w:basedOn w:val="Heading1"/>
    <w:rsid w:val="00597C8C"/>
    <w:pPr>
      <w:spacing w:after="240"/>
      <w:jc w:val="center"/>
      <w:outlineLvl w:val="9"/>
    </w:pPr>
    <w:rPr>
      <w:caps/>
    </w:rPr>
  </w:style>
  <w:style w:type="paragraph" w:customStyle="1" w:styleId="Version">
    <w:name w:val="Version"/>
    <w:rsid w:val="00597C8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97C8C"/>
    <w:pPr>
      <w:keepNext w:val="0"/>
      <w:tabs>
        <w:tab w:val="right" w:pos="4176"/>
      </w:tabs>
      <w:ind w:left="198" w:hanging="198"/>
    </w:pPr>
    <w:rPr>
      <w:rFonts w:ascii="Garamond" w:hAnsi="Garamond"/>
    </w:rPr>
  </w:style>
  <w:style w:type="paragraph" w:styleId="IndexHeading">
    <w:name w:val="index heading"/>
    <w:basedOn w:val="Normal"/>
    <w:next w:val="Index1"/>
    <w:semiHidden/>
    <w:rsid w:val="00597C8C"/>
    <w:pPr>
      <w:spacing w:before="120" w:after="120"/>
    </w:pPr>
    <w:rPr>
      <w:rFonts w:ascii="Arial" w:hAnsi="Arial"/>
      <w:b/>
      <w:color w:val="918585"/>
      <w:sz w:val="24"/>
    </w:rPr>
  </w:style>
  <w:style w:type="paragraph" w:styleId="Header">
    <w:name w:val="header"/>
    <w:basedOn w:val="Normal"/>
    <w:link w:val="HeaderChar"/>
    <w:rsid w:val="00597C8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97C8C"/>
    <w:rPr>
      <w:rFonts w:ascii="Times New Roman" w:eastAsia="Times New Roman" w:hAnsi="Times New Roman" w:cs="Times New Roman"/>
      <w:sz w:val="16"/>
      <w:szCs w:val="20"/>
      <w:lang w:val="en-GB" w:eastAsia="en-US"/>
    </w:rPr>
  </w:style>
  <w:style w:type="paragraph" w:customStyle="1" w:styleId="Chapter">
    <w:name w:val="Chapter"/>
    <w:basedOn w:val="Normal"/>
    <w:rsid w:val="00597C8C"/>
    <w:pPr>
      <w:spacing w:before="240"/>
    </w:pPr>
    <w:rPr>
      <w:rFonts w:ascii="Times New Roman" w:hAnsi="Times New Roman"/>
      <w:smallCaps/>
      <w:spacing w:val="80"/>
      <w:sz w:val="28"/>
    </w:rPr>
  </w:style>
  <w:style w:type="paragraph" w:customStyle="1" w:styleId="InChapter">
    <w:name w:val="InChapter"/>
    <w:basedOn w:val="Heading3"/>
    <w:rsid w:val="00597C8C"/>
    <w:pPr>
      <w:spacing w:after="240"/>
      <w:outlineLvl w:val="9"/>
    </w:pPr>
    <w:rPr>
      <w:noProof/>
    </w:rPr>
  </w:style>
  <w:style w:type="paragraph" w:styleId="Index2">
    <w:name w:val="index 2"/>
    <w:basedOn w:val="Normal"/>
    <w:next w:val="Normal"/>
    <w:semiHidden/>
    <w:rsid w:val="00597C8C"/>
    <w:pPr>
      <w:tabs>
        <w:tab w:val="right" w:pos="4176"/>
      </w:tabs>
      <w:ind w:left="568" w:hanging="284"/>
    </w:pPr>
    <w:rPr>
      <w:rFonts w:ascii="Garamond" w:hAnsi="Garamond"/>
    </w:rPr>
  </w:style>
  <w:style w:type="paragraph" w:customStyle="1" w:styleId="Byline">
    <w:name w:val="Byline"/>
    <w:rsid w:val="00597C8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97C8C"/>
    <w:pPr>
      <w:tabs>
        <w:tab w:val="clear" w:pos="3600"/>
        <w:tab w:val="clear" w:pos="3958"/>
      </w:tabs>
      <w:jc w:val="right"/>
    </w:pPr>
  </w:style>
  <w:style w:type="character" w:styleId="Emphasis">
    <w:name w:val="Emphasis"/>
    <w:basedOn w:val="DefaultParagraphFont"/>
    <w:qFormat/>
    <w:rsid w:val="00597C8C"/>
    <w:rPr>
      <w:i/>
    </w:rPr>
  </w:style>
  <w:style w:type="paragraph" w:styleId="Caption">
    <w:name w:val="caption"/>
    <w:basedOn w:val="BodyText"/>
    <w:next w:val="Normal"/>
    <w:qFormat/>
    <w:rsid w:val="00597C8C"/>
    <w:pPr>
      <w:framePr w:w="2268" w:hSpace="181" w:vSpace="181" w:wrap="around" w:vAnchor="text" w:hAnchor="page" w:x="1135" w:y="285" w:anchorLock="1"/>
    </w:pPr>
    <w:rPr>
      <w:i/>
    </w:rPr>
  </w:style>
  <w:style w:type="paragraph" w:customStyle="1" w:styleId="MiniTOCTitle">
    <w:name w:val="MiniTOCTitle"/>
    <w:basedOn w:val="Heading4"/>
    <w:rsid w:val="00597C8C"/>
    <w:pPr>
      <w:spacing w:before="240"/>
      <w:outlineLvl w:val="9"/>
    </w:pPr>
    <w:rPr>
      <w:noProof/>
      <w:sz w:val="24"/>
    </w:rPr>
  </w:style>
  <w:style w:type="paragraph" w:customStyle="1" w:styleId="MiniTOCItem">
    <w:name w:val="MiniTOCItem"/>
    <w:basedOn w:val="ListBullet"/>
    <w:rsid w:val="00597C8C"/>
    <w:pPr>
      <w:numPr>
        <w:numId w:val="0"/>
      </w:numPr>
      <w:tabs>
        <w:tab w:val="right" w:leader="dot" w:pos="6521"/>
      </w:tabs>
      <w:spacing w:before="0" w:after="0"/>
    </w:pPr>
  </w:style>
  <w:style w:type="paragraph" w:customStyle="1" w:styleId="TOFTitle">
    <w:name w:val="TOFTitle"/>
    <w:basedOn w:val="TOCTitle"/>
    <w:rsid w:val="00597C8C"/>
  </w:style>
  <w:style w:type="paragraph" w:styleId="TableofFigures">
    <w:name w:val="table of figures"/>
    <w:basedOn w:val="Normal"/>
    <w:next w:val="Normal"/>
    <w:semiHidden/>
    <w:rsid w:val="00597C8C"/>
    <w:pPr>
      <w:tabs>
        <w:tab w:val="right" w:leader="dot" w:pos="9072"/>
      </w:tabs>
      <w:ind w:left="970" w:hanging="403"/>
    </w:pPr>
    <w:rPr>
      <w:rFonts w:ascii="Times New Roman" w:hAnsi="Times New Roman"/>
      <w:b/>
    </w:rPr>
  </w:style>
  <w:style w:type="paragraph" w:styleId="ListNumber">
    <w:name w:val="List Number"/>
    <w:basedOn w:val="List"/>
    <w:rsid w:val="00597C8C"/>
    <w:pPr>
      <w:numPr>
        <w:numId w:val="11"/>
      </w:numPr>
    </w:pPr>
  </w:style>
  <w:style w:type="character" w:customStyle="1" w:styleId="WingdingSymbols">
    <w:name w:val="Wingding Symbols"/>
    <w:rsid w:val="00597C8C"/>
    <w:rPr>
      <w:rFonts w:ascii="Wingdings" w:hAnsi="Wingdings"/>
    </w:rPr>
  </w:style>
  <w:style w:type="paragraph" w:customStyle="1" w:styleId="TableHeading">
    <w:name w:val="Table Heading"/>
    <w:basedOn w:val="HeadingBase"/>
    <w:rsid w:val="00597C8C"/>
    <w:pPr>
      <w:keepLines/>
      <w:pBdr>
        <w:bottom w:val="single" w:sz="6" w:space="1" w:color="918585"/>
      </w:pBdr>
      <w:spacing w:before="240"/>
    </w:pPr>
  </w:style>
  <w:style w:type="character" w:customStyle="1" w:styleId="HotSpot">
    <w:name w:val="HotSpot"/>
    <w:rsid w:val="00597C8C"/>
    <w:rPr>
      <w:color w:val="0033CC"/>
      <w:u w:val="none"/>
    </w:rPr>
  </w:style>
  <w:style w:type="paragraph" w:customStyle="1" w:styleId="BodyTextRight">
    <w:name w:val="Body Text Right"/>
    <w:basedOn w:val="BodyText"/>
    <w:rsid w:val="00597C8C"/>
    <w:pPr>
      <w:spacing w:before="0" w:after="0"/>
      <w:jc w:val="right"/>
    </w:pPr>
  </w:style>
  <w:style w:type="paragraph" w:styleId="Index3">
    <w:name w:val="index 3"/>
    <w:basedOn w:val="ListNumber2"/>
    <w:next w:val="Normal"/>
    <w:semiHidden/>
    <w:rsid w:val="00597C8C"/>
    <w:pPr>
      <w:numPr>
        <w:numId w:val="0"/>
      </w:numPr>
      <w:tabs>
        <w:tab w:val="right" w:leader="dot" w:pos="4176"/>
      </w:tabs>
    </w:pPr>
  </w:style>
  <w:style w:type="paragraph" w:styleId="ListNumber2">
    <w:name w:val="List Number 2"/>
    <w:basedOn w:val="List2"/>
    <w:rsid w:val="00597C8C"/>
    <w:pPr>
      <w:numPr>
        <w:numId w:val="10"/>
      </w:numPr>
      <w:tabs>
        <w:tab w:val="clear" w:pos="1060"/>
      </w:tabs>
    </w:pPr>
  </w:style>
  <w:style w:type="paragraph" w:customStyle="1" w:styleId="MarginNote">
    <w:name w:val="Margin Note"/>
    <w:basedOn w:val="BodyText"/>
    <w:rsid w:val="00597C8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97C8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97C8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97C8C"/>
    <w:rPr>
      <w:sz w:val="32"/>
    </w:rPr>
  </w:style>
  <w:style w:type="paragraph" w:customStyle="1" w:styleId="HeadingProcedure">
    <w:name w:val="Heading Procedure"/>
    <w:basedOn w:val="HeadingBase"/>
    <w:next w:val="Normal"/>
    <w:rsid w:val="00597C8C"/>
    <w:pPr>
      <w:tabs>
        <w:tab w:val="left" w:pos="0"/>
      </w:tabs>
      <w:spacing w:before="120" w:after="60"/>
    </w:pPr>
    <w:rPr>
      <w:i/>
      <w:color w:val="918585"/>
      <w:sz w:val="22"/>
    </w:rPr>
  </w:style>
  <w:style w:type="paragraph" w:customStyle="1" w:styleId="TableBodyText">
    <w:name w:val="Table Body Text"/>
    <w:basedOn w:val="BodyText"/>
    <w:rsid w:val="00597C8C"/>
    <w:pPr>
      <w:spacing w:before="60" w:after="60"/>
    </w:pPr>
  </w:style>
  <w:style w:type="paragraph" w:styleId="ListContinue">
    <w:name w:val="List Continue"/>
    <w:basedOn w:val="List"/>
    <w:rsid w:val="00597C8C"/>
    <w:pPr>
      <w:ind w:firstLine="0"/>
    </w:pPr>
  </w:style>
  <w:style w:type="paragraph" w:customStyle="1" w:styleId="ListNote">
    <w:name w:val="List Note"/>
    <w:basedOn w:val="List"/>
    <w:rsid w:val="00597C8C"/>
    <w:pPr>
      <w:pBdr>
        <w:top w:val="single" w:sz="6" w:space="2" w:color="918585"/>
        <w:bottom w:val="single" w:sz="6" w:space="2" w:color="918585"/>
      </w:pBdr>
      <w:tabs>
        <w:tab w:val="left" w:pos="1021"/>
      </w:tabs>
      <w:ind w:firstLine="0"/>
    </w:pPr>
  </w:style>
  <w:style w:type="paragraph" w:customStyle="1" w:styleId="Warning">
    <w:name w:val="Warning"/>
    <w:basedOn w:val="BodyText"/>
    <w:rsid w:val="00597C8C"/>
    <w:pPr>
      <w:shd w:val="clear" w:color="auto" w:fill="D9D9D9"/>
      <w:tabs>
        <w:tab w:val="left" w:pos="992"/>
      </w:tabs>
      <w:ind w:left="119" w:right="119"/>
    </w:pPr>
    <w:rPr>
      <w:sz w:val="20"/>
    </w:rPr>
  </w:style>
  <w:style w:type="paragraph" w:customStyle="1" w:styleId="MarginIcons">
    <w:name w:val="Margin Icons"/>
    <w:basedOn w:val="BodyText"/>
    <w:rsid w:val="00597C8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97C8C"/>
    <w:rPr>
      <w:rFonts w:ascii="Courier New" w:hAnsi="Courier New"/>
    </w:rPr>
  </w:style>
  <w:style w:type="paragraph" w:customStyle="1" w:styleId="NoteBullet">
    <w:name w:val="Note Bullet"/>
    <w:basedOn w:val="Note"/>
    <w:rsid w:val="00597C8C"/>
    <w:pPr>
      <w:tabs>
        <w:tab w:val="clear" w:pos="680"/>
      </w:tabs>
      <w:spacing w:before="60" w:after="60"/>
    </w:pPr>
  </w:style>
  <w:style w:type="paragraph" w:customStyle="1" w:styleId="SubHeading2">
    <w:name w:val="SubHeading2"/>
    <w:basedOn w:val="HeadingBase"/>
    <w:rsid w:val="00597C8C"/>
    <w:pPr>
      <w:spacing w:before="240" w:after="60"/>
    </w:pPr>
    <w:rPr>
      <w:sz w:val="20"/>
    </w:rPr>
  </w:style>
  <w:style w:type="paragraph" w:customStyle="1" w:styleId="SubHeading1">
    <w:name w:val="SubHeading1"/>
    <w:basedOn w:val="HeadingBase"/>
    <w:rsid w:val="00597C8C"/>
    <w:pPr>
      <w:spacing w:before="240" w:after="60"/>
    </w:pPr>
    <w:rPr>
      <w:color w:val="918585"/>
      <w:sz w:val="22"/>
    </w:rPr>
  </w:style>
  <w:style w:type="paragraph" w:customStyle="1" w:styleId="SideHeading">
    <w:name w:val="Side Heading"/>
    <w:basedOn w:val="HeadingBase"/>
    <w:rsid w:val="00597C8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97C8C"/>
    <w:pPr>
      <w:numPr>
        <w:numId w:val="12"/>
      </w:numPr>
    </w:pPr>
  </w:style>
  <w:style w:type="paragraph" w:styleId="PlainText">
    <w:name w:val="Plain Text"/>
    <w:basedOn w:val="Normal"/>
    <w:link w:val="PlainTextChar"/>
    <w:rsid w:val="00597C8C"/>
    <w:rPr>
      <w:sz w:val="20"/>
    </w:rPr>
  </w:style>
  <w:style w:type="character" w:customStyle="1" w:styleId="PlainTextChar">
    <w:name w:val="Plain Text Char"/>
    <w:basedOn w:val="DefaultParagraphFont"/>
    <w:link w:val="PlainText"/>
    <w:rsid w:val="00597C8C"/>
    <w:rPr>
      <w:rFonts w:ascii="Courier New" w:eastAsia="Times New Roman" w:hAnsi="Courier New" w:cs="Times New Roman"/>
      <w:sz w:val="20"/>
      <w:szCs w:val="20"/>
      <w:lang w:eastAsia="en-US"/>
    </w:rPr>
  </w:style>
  <w:style w:type="character" w:customStyle="1" w:styleId="MenuOption">
    <w:name w:val="Menu Option"/>
    <w:basedOn w:val="DefaultParagraphFont"/>
    <w:rsid w:val="00597C8C"/>
    <w:rPr>
      <w:b/>
      <w:smallCaps/>
    </w:rPr>
  </w:style>
  <w:style w:type="paragraph" w:customStyle="1" w:styleId="TableListNumber">
    <w:name w:val="Table List Number"/>
    <w:basedOn w:val="ListNumber"/>
    <w:rsid w:val="00597C8C"/>
    <w:pPr>
      <w:numPr>
        <w:numId w:val="0"/>
      </w:numPr>
    </w:pPr>
  </w:style>
  <w:style w:type="paragraph" w:styleId="TOC4">
    <w:name w:val="toc 4"/>
    <w:basedOn w:val="TOCBase"/>
    <w:next w:val="Normal"/>
    <w:semiHidden/>
    <w:rsid w:val="00597C8C"/>
    <w:pPr>
      <w:tabs>
        <w:tab w:val="right" w:leader="dot" w:pos="9071"/>
      </w:tabs>
      <w:ind w:left="1701"/>
    </w:pPr>
  </w:style>
  <w:style w:type="paragraph" w:customStyle="1" w:styleId="ListAlpha">
    <w:name w:val="List Alpha"/>
    <w:basedOn w:val="List"/>
    <w:rsid w:val="00597C8C"/>
    <w:pPr>
      <w:numPr>
        <w:numId w:val="9"/>
      </w:numPr>
    </w:pPr>
  </w:style>
  <w:style w:type="paragraph" w:customStyle="1" w:styleId="ListAlpha2">
    <w:name w:val="List Alpha 2"/>
    <w:basedOn w:val="List2"/>
    <w:rsid w:val="00597C8C"/>
    <w:pPr>
      <w:numPr>
        <w:numId w:val="8"/>
      </w:numPr>
    </w:pPr>
  </w:style>
  <w:style w:type="paragraph" w:styleId="List2">
    <w:name w:val="List 2"/>
    <w:basedOn w:val="BodyText"/>
    <w:rsid w:val="00597C8C"/>
    <w:pPr>
      <w:tabs>
        <w:tab w:val="left" w:pos="680"/>
      </w:tabs>
      <w:spacing w:before="60" w:after="60"/>
      <w:ind w:left="680" w:hanging="340"/>
    </w:pPr>
  </w:style>
  <w:style w:type="paragraph" w:styleId="List3">
    <w:name w:val="List 3"/>
    <w:basedOn w:val="BodyText"/>
    <w:rsid w:val="00597C8C"/>
    <w:pPr>
      <w:tabs>
        <w:tab w:val="left" w:pos="1021"/>
      </w:tabs>
      <w:spacing w:before="60" w:after="60"/>
      <w:ind w:left="1020" w:hanging="340"/>
    </w:pPr>
  </w:style>
  <w:style w:type="paragraph" w:styleId="List4">
    <w:name w:val="List 4"/>
    <w:basedOn w:val="BodyText"/>
    <w:rsid w:val="00597C8C"/>
    <w:pPr>
      <w:tabs>
        <w:tab w:val="left" w:pos="1361"/>
      </w:tabs>
      <w:spacing w:before="60" w:after="60"/>
      <w:ind w:left="1361" w:hanging="340"/>
    </w:pPr>
  </w:style>
  <w:style w:type="paragraph" w:styleId="List5">
    <w:name w:val="List 5"/>
    <w:basedOn w:val="BodyText"/>
    <w:rsid w:val="00597C8C"/>
    <w:pPr>
      <w:tabs>
        <w:tab w:val="left" w:pos="1701"/>
      </w:tabs>
      <w:spacing w:before="60" w:after="60"/>
      <w:ind w:left="1701" w:hanging="340"/>
    </w:pPr>
  </w:style>
  <w:style w:type="paragraph" w:styleId="ListBullet3">
    <w:name w:val="List Bullet 3"/>
    <w:basedOn w:val="List3"/>
    <w:rsid w:val="00597C8C"/>
    <w:pPr>
      <w:numPr>
        <w:numId w:val="15"/>
      </w:numPr>
      <w:tabs>
        <w:tab w:val="clear" w:pos="1021"/>
      </w:tabs>
      <w:ind w:left="1037" w:hanging="357"/>
    </w:pPr>
  </w:style>
  <w:style w:type="paragraph" w:styleId="ListBullet4">
    <w:name w:val="List Bullet 4"/>
    <w:basedOn w:val="List4"/>
    <w:rsid w:val="00597C8C"/>
    <w:pPr>
      <w:numPr>
        <w:numId w:val="3"/>
      </w:numPr>
    </w:pPr>
  </w:style>
  <w:style w:type="paragraph" w:styleId="ListBullet5">
    <w:name w:val="List Bullet 5"/>
    <w:basedOn w:val="List5"/>
    <w:rsid w:val="00597C8C"/>
    <w:pPr>
      <w:numPr>
        <w:numId w:val="4"/>
      </w:numPr>
    </w:pPr>
  </w:style>
  <w:style w:type="paragraph" w:styleId="ListContinue2">
    <w:name w:val="List Continue 2"/>
    <w:basedOn w:val="List2"/>
    <w:rsid w:val="00597C8C"/>
    <w:pPr>
      <w:ind w:firstLine="0"/>
    </w:pPr>
  </w:style>
  <w:style w:type="paragraph" w:styleId="ListContinue3">
    <w:name w:val="List Continue 3"/>
    <w:basedOn w:val="List3"/>
    <w:rsid w:val="00597C8C"/>
    <w:pPr>
      <w:ind w:left="1021" w:firstLine="0"/>
    </w:pPr>
  </w:style>
  <w:style w:type="paragraph" w:styleId="ListContinue4">
    <w:name w:val="List Continue 4"/>
    <w:basedOn w:val="List4"/>
    <w:rsid w:val="00597C8C"/>
    <w:pPr>
      <w:ind w:firstLine="0"/>
    </w:pPr>
  </w:style>
  <w:style w:type="paragraph" w:styleId="ListContinue5">
    <w:name w:val="List Continue 5"/>
    <w:basedOn w:val="List5"/>
    <w:rsid w:val="00597C8C"/>
    <w:pPr>
      <w:ind w:firstLine="0"/>
    </w:pPr>
  </w:style>
  <w:style w:type="paragraph" w:styleId="ListNumber3">
    <w:name w:val="List Number 3"/>
    <w:basedOn w:val="List3"/>
    <w:rsid w:val="00597C8C"/>
    <w:pPr>
      <w:numPr>
        <w:numId w:val="5"/>
      </w:numPr>
    </w:pPr>
  </w:style>
  <w:style w:type="paragraph" w:styleId="ListNumber4">
    <w:name w:val="List Number 4"/>
    <w:basedOn w:val="List4"/>
    <w:rsid w:val="00597C8C"/>
    <w:pPr>
      <w:numPr>
        <w:numId w:val="6"/>
      </w:numPr>
    </w:pPr>
  </w:style>
  <w:style w:type="paragraph" w:styleId="ListNumber5">
    <w:name w:val="List Number 5"/>
    <w:basedOn w:val="List5"/>
    <w:rsid w:val="00597C8C"/>
    <w:pPr>
      <w:numPr>
        <w:numId w:val="7"/>
      </w:numPr>
    </w:pPr>
  </w:style>
  <w:style w:type="paragraph" w:styleId="BlockText">
    <w:name w:val="Block Text"/>
    <w:basedOn w:val="Normal"/>
    <w:rsid w:val="00597C8C"/>
    <w:pPr>
      <w:spacing w:after="120"/>
      <w:ind w:left="1440" w:right="1440"/>
    </w:pPr>
  </w:style>
  <w:style w:type="character" w:customStyle="1" w:styleId="Subscript">
    <w:name w:val="Subscript"/>
    <w:basedOn w:val="DefaultParagraphFont"/>
    <w:rsid w:val="00597C8C"/>
    <w:rPr>
      <w:sz w:val="16"/>
      <w:vertAlign w:val="subscript"/>
    </w:rPr>
  </w:style>
  <w:style w:type="character" w:customStyle="1" w:styleId="Superscript">
    <w:name w:val="Superscript"/>
    <w:basedOn w:val="DefaultParagraphFont"/>
    <w:rsid w:val="00597C8C"/>
    <w:rPr>
      <w:sz w:val="16"/>
      <w:vertAlign w:val="superscript"/>
    </w:rPr>
  </w:style>
  <w:style w:type="character" w:customStyle="1" w:styleId="Symbols">
    <w:name w:val="Symbols"/>
    <w:basedOn w:val="DefaultParagraphFont"/>
    <w:rsid w:val="00597C8C"/>
    <w:rPr>
      <w:rFonts w:ascii="Symbol" w:hAnsi="Symbol"/>
    </w:rPr>
  </w:style>
  <w:style w:type="character" w:customStyle="1" w:styleId="MenuOptions">
    <w:name w:val="Menu Options"/>
    <w:basedOn w:val="DefaultParagraphFont"/>
    <w:rsid w:val="00597C8C"/>
    <w:rPr>
      <w:rFonts w:ascii="Arial Narrow" w:hAnsi="Arial Narrow"/>
      <w:smallCaps/>
    </w:rPr>
  </w:style>
  <w:style w:type="character" w:customStyle="1" w:styleId="Buttons">
    <w:name w:val="Buttons"/>
    <w:basedOn w:val="DefaultParagraphFont"/>
    <w:rsid w:val="00597C8C"/>
    <w:rPr>
      <w:b/>
    </w:rPr>
  </w:style>
  <w:style w:type="character" w:customStyle="1" w:styleId="Underlined">
    <w:name w:val="Underlined"/>
    <w:basedOn w:val="DefaultParagraphFont"/>
    <w:rsid w:val="00597C8C"/>
    <w:rPr>
      <w:u w:val="single"/>
    </w:rPr>
  </w:style>
  <w:style w:type="paragraph" w:customStyle="1" w:styleId="TableBodyTextRight">
    <w:name w:val="Table Body Text Right"/>
    <w:basedOn w:val="TableBodyText"/>
    <w:rsid w:val="00597C8C"/>
    <w:pPr>
      <w:widowControl w:val="0"/>
      <w:autoSpaceDE w:val="0"/>
      <w:autoSpaceDN w:val="0"/>
      <w:adjustRightInd w:val="0"/>
      <w:jc w:val="right"/>
    </w:pPr>
    <w:rPr>
      <w:rFonts w:cs="Arial"/>
      <w:szCs w:val="18"/>
    </w:rPr>
  </w:style>
  <w:style w:type="paragraph" w:customStyle="1" w:styleId="CopyrightText">
    <w:name w:val="Copyright Text"/>
    <w:basedOn w:val="BodyText"/>
    <w:rsid w:val="00597C8C"/>
    <w:rPr>
      <w:sz w:val="18"/>
    </w:rPr>
  </w:style>
  <w:style w:type="paragraph" w:customStyle="1" w:styleId="BodySmallRight">
    <w:name w:val="Body Small Right"/>
    <w:basedOn w:val="BodyTextRight"/>
    <w:rsid w:val="00597C8C"/>
    <w:rPr>
      <w:sz w:val="18"/>
      <w:szCs w:val="18"/>
    </w:rPr>
  </w:style>
  <w:style w:type="paragraph" w:customStyle="1" w:styleId="MarginEdition">
    <w:name w:val="Margin Edition"/>
    <w:basedOn w:val="MarginNote"/>
    <w:rsid w:val="00597C8C"/>
    <w:pPr>
      <w:spacing w:before="0" w:after="0"/>
    </w:pPr>
    <w:rPr>
      <w:rFonts w:ascii="Times New Roman" w:hAnsi="Times New Roman"/>
      <w:color w:val="999999"/>
    </w:rPr>
  </w:style>
  <w:style w:type="paragraph" w:customStyle="1" w:styleId="Spacer">
    <w:name w:val="Spacer"/>
    <w:basedOn w:val="Normal"/>
    <w:rsid w:val="00597C8C"/>
    <w:rPr>
      <w:sz w:val="2"/>
      <w:szCs w:val="2"/>
    </w:rPr>
  </w:style>
  <w:style w:type="character" w:customStyle="1" w:styleId="Small">
    <w:name w:val="Small"/>
    <w:basedOn w:val="DefaultParagraphFont"/>
    <w:rsid w:val="00597C8C"/>
    <w:rPr>
      <w:sz w:val="16"/>
    </w:rPr>
  </w:style>
  <w:style w:type="paragraph" w:customStyle="1" w:styleId="WideTable">
    <w:name w:val="Wide Table"/>
    <w:basedOn w:val="Normal"/>
    <w:rsid w:val="00597C8C"/>
    <w:pPr>
      <w:ind w:left="-1418"/>
    </w:pPr>
    <w:rPr>
      <w:sz w:val="2"/>
      <w:szCs w:val="2"/>
    </w:rPr>
  </w:style>
  <w:style w:type="character" w:styleId="PageNumber">
    <w:name w:val="page number"/>
    <w:basedOn w:val="DefaultParagraphFont"/>
    <w:rsid w:val="00597C8C"/>
  </w:style>
  <w:style w:type="paragraph" w:styleId="Quote">
    <w:name w:val="Quote"/>
    <w:basedOn w:val="Heading1"/>
    <w:link w:val="QuoteChar"/>
    <w:qFormat/>
    <w:rsid w:val="00597C8C"/>
    <w:rPr>
      <w:b w:val="0"/>
      <w:sz w:val="72"/>
      <w:szCs w:val="72"/>
      <w:lang w:val="en-NZ"/>
    </w:rPr>
  </w:style>
  <w:style w:type="character" w:customStyle="1" w:styleId="QuoteChar">
    <w:name w:val="Quote Char"/>
    <w:basedOn w:val="DefaultParagraphFont"/>
    <w:link w:val="Quote"/>
    <w:rsid w:val="00597C8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97C8C"/>
    <w:pPr>
      <w:pageBreakBefore/>
    </w:pPr>
  </w:style>
  <w:style w:type="paragraph" w:customStyle="1" w:styleId="Border">
    <w:name w:val="Border"/>
    <w:basedOn w:val="Normal"/>
    <w:qFormat/>
    <w:rsid w:val="00597C8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97C8C"/>
    <w:rPr>
      <w:b/>
      <w:bCs/>
      <w:i/>
      <w:iCs/>
      <w:color w:val="auto"/>
    </w:rPr>
  </w:style>
  <w:style w:type="paragraph" w:styleId="IntenseQuote">
    <w:name w:val="Intense Quote"/>
    <w:basedOn w:val="Normal"/>
    <w:next w:val="Normal"/>
    <w:link w:val="IntenseQuoteChar"/>
    <w:uiPriority w:val="30"/>
    <w:qFormat/>
    <w:rsid w:val="00597C8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97C8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97C8C"/>
    <w:rPr>
      <w:smallCaps/>
      <w:color w:val="auto"/>
      <w:u w:val="single"/>
    </w:rPr>
  </w:style>
  <w:style w:type="character" w:styleId="IntenseReference">
    <w:name w:val="Intense Reference"/>
    <w:basedOn w:val="DefaultParagraphFont"/>
    <w:uiPriority w:val="32"/>
    <w:qFormat/>
    <w:rsid w:val="00597C8C"/>
    <w:rPr>
      <w:b/>
      <w:bCs/>
      <w:smallCaps/>
      <w:color w:val="auto"/>
      <w:spacing w:val="5"/>
      <w:u w:val="single"/>
    </w:rPr>
  </w:style>
  <w:style w:type="paragraph" w:customStyle="1" w:styleId="2ColumnHeading">
    <w:name w:val="2Column Heading"/>
    <w:basedOn w:val="BodyText"/>
    <w:qFormat/>
    <w:rsid w:val="00597C8C"/>
    <w:pPr>
      <w:spacing w:after="60"/>
      <w:ind w:left="-2268"/>
    </w:pPr>
    <w:rPr>
      <w:b/>
    </w:rPr>
  </w:style>
  <w:style w:type="paragraph" w:customStyle="1" w:styleId="Heading1TOC">
    <w:name w:val="Heading1 TOC"/>
    <w:basedOn w:val="Normal"/>
    <w:qFormat/>
    <w:rsid w:val="00597C8C"/>
    <w:pPr>
      <w:spacing w:before="240" w:after="120"/>
    </w:pPr>
    <w:rPr>
      <w:rFonts w:ascii="Times New Roman" w:hAnsi="Times New Roman"/>
      <w:b/>
      <w:sz w:val="32"/>
    </w:rPr>
  </w:style>
  <w:style w:type="paragraph" w:customStyle="1" w:styleId="Heading2TOC">
    <w:name w:val="Heading2 TOC"/>
    <w:basedOn w:val="Normal"/>
    <w:qFormat/>
    <w:rsid w:val="00597C8C"/>
    <w:pPr>
      <w:spacing w:before="240" w:after="60"/>
    </w:pPr>
    <w:rPr>
      <w:rFonts w:ascii="Times New Roman" w:hAnsi="Times New Roman"/>
      <w:b/>
      <w:sz w:val="28"/>
    </w:rPr>
  </w:style>
  <w:style w:type="character" w:customStyle="1" w:styleId="Underline">
    <w:name w:val="Underline"/>
    <w:basedOn w:val="DefaultParagraphFont"/>
    <w:qFormat/>
    <w:rsid w:val="00597C8C"/>
    <w:rPr>
      <w:u w:val="single"/>
    </w:rPr>
  </w:style>
  <w:style w:type="paragraph" w:styleId="BalloonText">
    <w:name w:val="Balloon Text"/>
    <w:basedOn w:val="Normal"/>
    <w:link w:val="BalloonTextChar"/>
    <w:rsid w:val="00597C8C"/>
    <w:rPr>
      <w:rFonts w:ascii="Tahoma" w:hAnsi="Tahoma" w:cs="Tahoma"/>
      <w:sz w:val="16"/>
      <w:szCs w:val="16"/>
    </w:rPr>
  </w:style>
  <w:style w:type="character" w:customStyle="1" w:styleId="BalloonTextChar">
    <w:name w:val="Balloon Text Char"/>
    <w:basedOn w:val="DefaultParagraphFont"/>
    <w:link w:val="BalloonText"/>
    <w:rsid w:val="00597C8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97C8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97C8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97C8C"/>
    <w:rPr>
      <w:b/>
      <w:color w:val="660033"/>
      <w:spacing w:val="0"/>
    </w:rPr>
  </w:style>
  <w:style w:type="paragraph" w:customStyle="1" w:styleId="Nameditemlist">
    <w:name w:val="Named item list"/>
    <w:basedOn w:val="BodyText"/>
    <w:qFormat/>
    <w:rsid w:val="00597C8C"/>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1312</Words>
  <Characters>8494</Characters>
  <Application>Microsoft Office Word</Application>
  <DocSecurity>0</DocSecurity>
  <Lines>270</Lines>
  <Paragraphs>179</Paragraphs>
  <ScaleCrop>false</ScaleCrop>
  <Company>Author-it Software Corporation Ltd.</Company>
  <LinksUpToDate>false</LinksUpToDate>
  <CharactersWithSpaces>9738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SIBXCCS201A Conduct financial transactions</dc:title>
  <dc:subject>Approved</dc:subject>
  <dc:creator>Service Skills Australia</dc:creator>
  <cp:keywords>Revision Number: 2</cp:keywords>
  <dc:description>Copyright © 1996-2007 Author-it Software Corporation Ltd., all rights reserved.</dc:description>
  <cp:lastModifiedBy>TPCMS</cp:lastModifiedBy>
  <cp:revision>3</cp:revision>
  <dcterms:created xsi:type="dcterms:W3CDTF">2012-10-11T21:26:00Z</dcterms:created>
  <dcterms:modified xsi:type="dcterms:W3CDTF">2012-10-11T21:26:00Z</dcterms:modified>
</cp:coreProperties>
</file>