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12DBA" w:rsidP="00512DB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SHBXCCS007 Conduct salon financial transactions</w:t>
      </w:r>
      <w:r>
        <w:fldChar w:fldCharType="end"/>
      </w:r>
    </w:p>
    <w:p w:rsidR="00512DBA" w:rsidP="00512DBA">
      <w:pPr>
        <w:pStyle w:val="Version"/>
        <w:sectPr w:rsidSect="00600B3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00B31" w:rsidP="00600B31">
      <w:pPr>
        <w:pStyle w:val="SuperHeading"/>
      </w:pPr>
      <w:r w:rsidRPr="00600B31">
        <w:t>SHBXCCS007 Conduct salon financial transactions</w:t>
      </w:r>
    </w:p>
    <w:p w:rsidR="00000000" w:rsidRPr="00600B31" w:rsidP="00600B31">
      <w:pPr>
        <w:pStyle w:val="Heading1"/>
      </w:pPr>
      <w:bookmarkStart w:id="1" w:name="O_1204343"/>
      <w:bookmarkEnd w:id="1"/>
      <w:r w:rsidRPr="00600B31">
        <w:t>Modification History</w:t>
      </w:r>
    </w:p>
    <w:p w:rsidR="00000000" w:rsidRPr="00600B31" w:rsidP="00512DBA">
      <w:pPr>
        <w:pStyle w:val="BodyText"/>
      </w:pPr>
      <w:r w:rsidRPr="00600B31">
        <w:t>Supersedes and is not equivalent to SHBXCCS001 Conduct salon financial transactions.</w:t>
      </w:r>
    </w:p>
    <w:p w:rsidR="00000000" w:rsidRPr="00600B31" w:rsidP="00600B31">
      <w:pPr>
        <w:pStyle w:val="Heading1"/>
      </w:pPr>
      <w:bookmarkStart w:id="2" w:name="O_1204344"/>
      <w:bookmarkEnd w:id="2"/>
      <w:r w:rsidRPr="00600B31">
        <w:t>Application</w:t>
      </w:r>
    </w:p>
    <w:p w:rsidR="00000000" w:rsidRPr="00600B31" w:rsidP="00512DBA">
      <w:pPr>
        <w:pStyle w:val="BodyText"/>
      </w:pPr>
      <w:r w:rsidRPr="00600B31">
        <w:t xml:space="preserve">This unit describes the performance outcomes, skills and knowledge required to conduct financial transactions </w:t>
      </w:r>
      <w:r w:rsidRPr="00600B31">
        <w:t>for the sale of products and services within a personal services environment.</w:t>
      </w:r>
    </w:p>
    <w:p w:rsidR="00000000" w:rsidRPr="00600B31" w:rsidP="00512DBA">
      <w:pPr>
        <w:pStyle w:val="BodyText"/>
      </w:pPr>
      <w:r w:rsidRPr="00600B31">
        <w:t xml:space="preserve">It requires the ability to operate point-of-sale equipment, handle cash, complete sales and reconcile takings. </w:t>
      </w:r>
    </w:p>
    <w:p w:rsidR="00000000" w:rsidRPr="00600B31" w:rsidP="00512DBA">
      <w:pPr>
        <w:pStyle w:val="BodyText"/>
      </w:pPr>
      <w:r w:rsidRPr="00600B31">
        <w:t>This unit applies to workers in personal service environments incl</w:t>
      </w:r>
      <w:r w:rsidRPr="00600B31">
        <w:t>uding beauty and hairdressing salons, nail salons and spas. In this environment they work within known routines and guidelines and use a limited range of equipment.</w:t>
      </w:r>
    </w:p>
    <w:p w:rsidR="00000000" w:rsidRPr="00600B31" w:rsidP="00512DBA">
      <w:pPr>
        <w:pStyle w:val="BodyText"/>
      </w:pPr>
      <w:r w:rsidRPr="00600B31">
        <w:t>The skills in this unit must be applied in accordance with Commonwealth and State or Territ</w:t>
      </w:r>
      <w:r w:rsidRPr="00600B31">
        <w:t>ory legislation, Australian standards and industry codes of practice.</w:t>
      </w:r>
    </w:p>
    <w:p w:rsidR="00000000" w:rsidRPr="00600B31" w:rsidP="00512DBA">
      <w:pPr>
        <w:pStyle w:val="BodyText"/>
      </w:pPr>
      <w:r w:rsidRPr="00600B31">
        <w:t>No occupational licensing, certification or specific legislative requirements apply to this unit at the time of publication.</w:t>
      </w:r>
    </w:p>
    <w:p w:rsidR="00000000" w:rsidRPr="00600B31" w:rsidP="00600B31">
      <w:pPr>
        <w:pStyle w:val="Heading1"/>
      </w:pPr>
      <w:bookmarkStart w:id="3" w:name="O_1204345"/>
      <w:bookmarkEnd w:id="3"/>
      <w:r w:rsidRPr="00600B31">
        <w:t>Pre-requisite Unit</w:t>
      </w:r>
    </w:p>
    <w:p w:rsidR="00000000" w:rsidRPr="00600B31" w:rsidP="00512DBA">
      <w:pPr>
        <w:pStyle w:val="BodyText"/>
      </w:pPr>
      <w:r w:rsidRPr="00600B31">
        <w:t xml:space="preserve">Nil </w:t>
      </w:r>
    </w:p>
    <w:p w:rsidR="00000000" w:rsidRPr="00600B31" w:rsidP="00600B31">
      <w:pPr>
        <w:pStyle w:val="Heading1"/>
      </w:pPr>
      <w:bookmarkStart w:id="4" w:name="O_1204346"/>
      <w:bookmarkEnd w:id="4"/>
      <w:r w:rsidRPr="00600B31">
        <w:t>Competency Field</w:t>
      </w:r>
    </w:p>
    <w:p w:rsidR="00000000" w:rsidRPr="00600B31" w:rsidP="00512DBA">
      <w:pPr>
        <w:pStyle w:val="BodyText"/>
      </w:pPr>
      <w:r w:rsidRPr="00600B31">
        <w:t xml:space="preserve">Client Services </w:t>
      </w:r>
    </w:p>
    <w:p w:rsidR="00000000" w:rsidRPr="00600B31" w:rsidP="00600B31">
      <w:pPr>
        <w:pStyle w:val="Heading1"/>
      </w:pPr>
      <w:bookmarkStart w:id="5" w:name="O_1204347"/>
      <w:bookmarkEnd w:id="5"/>
      <w:r w:rsidRPr="00600B31">
        <w:t>Unit Sector</w:t>
      </w:r>
    </w:p>
    <w:p w:rsidR="00000000" w:rsidRPr="00600B31" w:rsidP="00512DBA">
      <w:pPr>
        <w:pStyle w:val="BodyText"/>
      </w:pPr>
      <w:r w:rsidRPr="00600B31">
        <w:t xml:space="preserve">Cross-Sector </w:t>
      </w:r>
    </w:p>
    <w:p w:rsidR="00000000" w:rsidRPr="00600B31" w:rsidP="00600B31">
      <w:pPr>
        <w:pStyle w:val="Heading1"/>
      </w:pPr>
      <w:bookmarkStart w:id="6" w:name="O_1204348"/>
      <w:bookmarkEnd w:id="6"/>
      <w:r w:rsidRPr="00600B31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600B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0B31" w:rsidP="00600B31">
            <w:pPr>
              <w:pStyle w:val="BodyText"/>
            </w:pPr>
            <w:r w:rsidRPr="00600B31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0B31">
            <w:pPr>
              <w:pStyle w:val="BodyText"/>
              <w:rPr>
                <w:lang w:val="en-NZ"/>
              </w:rPr>
            </w:pPr>
            <w:r w:rsidRPr="00600B31">
              <w:rPr>
                <w:rStyle w:val="SpecialBold"/>
              </w:rPr>
              <w:t>PERFORMANCE</w:t>
            </w:r>
            <w:r w:rsidRPr="00600B31">
              <w:t xml:space="preserve"> </w:t>
            </w:r>
            <w:r w:rsidRPr="00600B31">
              <w:rPr>
                <w:rStyle w:val="SpecialBold"/>
              </w:rPr>
              <w:t>CRITERIA</w:t>
            </w:r>
          </w:p>
        </w:tc>
      </w:tr>
      <w:tr w:rsidTr="00600B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0B31" w:rsidP="00600B31">
            <w:pPr>
              <w:pStyle w:val="BodyText"/>
            </w:pPr>
            <w:r w:rsidRPr="00600B31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0B31">
            <w:pPr>
              <w:pStyle w:val="BodyText"/>
              <w:rPr>
                <w:lang w:val="en-NZ"/>
              </w:rPr>
            </w:pPr>
            <w:r w:rsidRPr="00600B3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00B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930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0B31">
            <w:pPr>
              <w:pStyle w:val="List"/>
              <w:rPr>
                <w:lang w:val="en-NZ"/>
              </w:rPr>
            </w:pPr>
            <w:r w:rsidRPr="00600B31">
              <w:t xml:space="preserve">1.  Operate point-of-sale equipment. 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0B31" w:rsidP="00600B31">
            <w:pPr>
              <w:pStyle w:val="List"/>
            </w:pPr>
            <w:r w:rsidRPr="00600B31">
              <w:t>1.1. Open and close point-of-sale terminal as required.</w:t>
            </w:r>
          </w:p>
          <w:p w:rsidR="00000000" w:rsidRPr="00600B31" w:rsidP="00600B31">
            <w:pPr>
              <w:pStyle w:val="List"/>
            </w:pPr>
            <w:r w:rsidRPr="00600B31">
              <w:t xml:space="preserve">1.2. Clear point-of-sale terminal and transfer tender. </w:t>
            </w:r>
          </w:p>
          <w:p w:rsidR="00000000" w:rsidRPr="00600B31" w:rsidP="00600B31">
            <w:pPr>
              <w:pStyle w:val="List"/>
            </w:pPr>
            <w:r w:rsidRPr="00600B31">
              <w:t>1.3. Cond</w:t>
            </w:r>
            <w:r w:rsidRPr="00600B31">
              <w:t xml:space="preserve">uct cash handling in accordance with organisational processes. </w:t>
            </w:r>
          </w:p>
          <w:p w:rsidR="00000000" w:rsidRPr="00600B31" w:rsidP="00600B31">
            <w:pPr>
              <w:pStyle w:val="List"/>
            </w:pPr>
            <w:r w:rsidRPr="00600B31">
              <w:t>1.4. Maintain change supplies and cash float in point-of-sale terminal.</w:t>
            </w:r>
          </w:p>
          <w:p w:rsidR="00000000" w:rsidRPr="00600B31" w:rsidP="00600B31">
            <w:pPr>
              <w:pStyle w:val="List"/>
            </w:pPr>
            <w:r w:rsidRPr="00600B31">
              <w:t>1.5. Attend to active point-of-sale terminals.</w:t>
            </w:r>
          </w:p>
          <w:p w:rsidR="00000000" w:rsidRPr="00600B31" w:rsidP="00600B31">
            <w:pPr>
              <w:pStyle w:val="List"/>
            </w:pPr>
            <w:r w:rsidRPr="00600B31">
              <w:t>1.6. Complete records of transaction errors in accordance with organisati</w:t>
            </w:r>
            <w:r w:rsidRPr="00600B31">
              <w:t>onal transactional practices.</w:t>
            </w:r>
          </w:p>
          <w:p w:rsidR="00000000" w:rsidP="00600B31">
            <w:pPr>
              <w:pStyle w:val="List"/>
              <w:rPr>
                <w:lang w:val="en-NZ"/>
              </w:rPr>
            </w:pPr>
            <w:r w:rsidRPr="00600B31">
              <w:t>1.7. Maintain adequate supplies of dockets, vouchers and point-of-sale documents.</w:t>
            </w:r>
          </w:p>
        </w:tc>
      </w:tr>
      <w:tr w:rsidTr="00600B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36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0B31">
            <w:pPr>
              <w:pStyle w:val="List"/>
              <w:rPr>
                <w:lang w:val="en-NZ"/>
              </w:rPr>
            </w:pPr>
            <w:r w:rsidRPr="00600B31">
              <w:t xml:space="preserve">2.  Complete point-of-sale transactions. 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0B31" w:rsidP="00600B31">
            <w:pPr>
              <w:pStyle w:val="List"/>
            </w:pPr>
            <w:r w:rsidRPr="00600B31">
              <w:t>2.1. Enter sales information into point-of-sale equipment.</w:t>
            </w:r>
          </w:p>
          <w:p w:rsidR="00000000" w:rsidRPr="00600B31" w:rsidP="00600B31">
            <w:pPr>
              <w:pStyle w:val="List"/>
            </w:pPr>
            <w:r w:rsidRPr="00600B31">
              <w:t xml:space="preserve">2.2. Communicate payment required and identify method of payment. </w:t>
            </w:r>
          </w:p>
          <w:p w:rsidR="00000000" w:rsidRPr="00600B31" w:rsidP="00600B31">
            <w:pPr>
              <w:pStyle w:val="List"/>
            </w:pPr>
            <w:r w:rsidRPr="00600B31">
              <w:t>2.3. Process cash and non-cash transactions.</w:t>
            </w:r>
          </w:p>
          <w:p w:rsidR="00000000" w:rsidP="00600B31">
            <w:pPr>
              <w:pStyle w:val="List"/>
              <w:rPr>
                <w:lang w:val="en-NZ"/>
              </w:rPr>
            </w:pPr>
            <w:r w:rsidRPr="00600B31">
              <w:t>2.4. Issue correct change, receipts and complete sale documentation as required.</w:t>
            </w:r>
          </w:p>
        </w:tc>
      </w:tr>
      <w:tr w:rsidTr="00600B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903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0B31">
            <w:pPr>
              <w:pStyle w:val="List"/>
              <w:rPr>
                <w:lang w:val="en-NZ"/>
              </w:rPr>
            </w:pPr>
            <w:r w:rsidRPr="00600B31">
              <w:t>3.  Complete refund.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0B31" w:rsidP="00600B31">
            <w:pPr>
              <w:pStyle w:val="List"/>
            </w:pPr>
            <w:r w:rsidRPr="00600B31">
              <w:t xml:space="preserve">3.1. Explain refund policy and procedure </w:t>
            </w:r>
            <w:r w:rsidRPr="00600B31">
              <w:t>to client.</w:t>
            </w:r>
          </w:p>
          <w:p w:rsidR="00000000" w:rsidRPr="00600B31" w:rsidP="00600B31">
            <w:pPr>
              <w:pStyle w:val="List"/>
            </w:pPr>
            <w:r w:rsidRPr="00600B31">
              <w:t xml:space="preserve">3.2. Confirm refund requirements and options for exchange with client. </w:t>
            </w:r>
          </w:p>
          <w:p w:rsidR="00000000" w:rsidP="00600B31">
            <w:pPr>
              <w:pStyle w:val="List"/>
              <w:rPr>
                <w:lang w:val="en-NZ"/>
              </w:rPr>
            </w:pPr>
            <w:r w:rsidRPr="00600B31">
              <w:t>3.3. Complete transaction to issue refund, receipts and sales documentation as required.</w:t>
            </w:r>
          </w:p>
        </w:tc>
      </w:tr>
      <w:tr w:rsidTr="00600B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53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512DBA" w:rsidP="00600B31">
            <w:pPr>
              <w:pStyle w:val="List"/>
            </w:pPr>
            <w:r w:rsidRPr="00600B31">
              <w:t xml:space="preserve">4.  Remove takings from register or terminal. </w:t>
            </w:r>
          </w:p>
          <w:p w:rsidR="00512DBA" w:rsidP="00600B31">
            <w:pPr>
              <w:pStyle w:val="List"/>
            </w:pPr>
          </w:p>
          <w:p w:rsidR="00000000" w:rsidP="00600B31">
            <w:pPr>
              <w:pStyle w:val="BodyText"/>
              <w:rPr>
                <w:lang w:val="en-NZ"/>
              </w:rPr>
            </w:pP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0B31" w:rsidP="00600B31">
            <w:pPr>
              <w:pStyle w:val="List"/>
            </w:pPr>
            <w:r w:rsidRPr="00600B31">
              <w:t xml:space="preserve">4.1. Balance register or terminal at designated times throughout business operation. </w:t>
            </w:r>
          </w:p>
          <w:p w:rsidR="00000000" w:rsidRPr="00600B31" w:rsidP="00600B31">
            <w:pPr>
              <w:pStyle w:val="List"/>
            </w:pPr>
            <w:r w:rsidRPr="00600B31">
              <w:t>4.2. Separate and secure cash float from takings prior to balancing.</w:t>
            </w:r>
          </w:p>
          <w:p w:rsidR="00000000" w:rsidRPr="00600B31" w:rsidP="00600B31">
            <w:pPr>
              <w:pStyle w:val="List"/>
            </w:pPr>
            <w:r w:rsidRPr="00600B31">
              <w:t>4.3. Supply change to register or terminal as required.</w:t>
            </w:r>
          </w:p>
          <w:p w:rsidR="00000000" w:rsidRPr="00600B31" w:rsidP="00600B31">
            <w:pPr>
              <w:pStyle w:val="List"/>
            </w:pPr>
            <w:r w:rsidRPr="00600B31">
              <w:t>4.4. Interpret register or terminal reading o</w:t>
            </w:r>
            <w:r w:rsidRPr="00600B31">
              <w:t>r print out.</w:t>
            </w:r>
          </w:p>
          <w:p w:rsidR="00000000" w:rsidP="00600B31">
            <w:pPr>
              <w:pStyle w:val="List"/>
              <w:rPr>
                <w:lang w:val="en-NZ"/>
              </w:rPr>
            </w:pPr>
            <w:r w:rsidRPr="00600B31">
              <w:t>4.5. Remove and transport cash and non-cash documents according to organisational security policies and procedures.</w:t>
            </w:r>
          </w:p>
        </w:tc>
      </w:tr>
      <w:tr w:rsidTr="00600B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0B31">
            <w:pPr>
              <w:pStyle w:val="List"/>
              <w:rPr>
                <w:lang w:val="en-NZ"/>
              </w:rPr>
            </w:pPr>
            <w:r w:rsidRPr="00600B31">
              <w:t xml:space="preserve">5.  Reconcile takings. 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0B31" w:rsidP="00600B31">
            <w:pPr>
              <w:pStyle w:val="List"/>
            </w:pPr>
            <w:r w:rsidRPr="00600B31">
              <w:t>5.1. Count cash and calculate non-cash documents.</w:t>
            </w:r>
          </w:p>
          <w:p w:rsidR="00000000" w:rsidRPr="00600B31" w:rsidP="00600B31">
            <w:pPr>
              <w:pStyle w:val="List"/>
            </w:pPr>
            <w:r w:rsidRPr="00600B31">
              <w:t xml:space="preserve">5.2. Determine balance between register or terminal </w:t>
            </w:r>
            <w:r w:rsidRPr="00600B31">
              <w:t>reading and sum of cash and non-cash transactions, record takings and if discrepancies cannot be resolved, report them to supervisor.</w:t>
            </w:r>
          </w:p>
        </w:tc>
      </w:tr>
    </w:tbl>
    <w:p w:rsidR="00000000" w:rsidRPr="00600B31" w:rsidP="00600B31">
      <w:pPr>
        <w:pStyle w:val="BodyText"/>
      </w:pPr>
    </w:p>
    <w:p w:rsidR="00000000" w:rsidRPr="00600B31" w:rsidP="00600B31">
      <w:pPr>
        <w:pStyle w:val="AllowPageBreak"/>
      </w:pPr>
    </w:p>
    <w:p w:rsidR="00000000" w:rsidRPr="00600B31" w:rsidP="00600B31">
      <w:pPr>
        <w:pStyle w:val="Heading1"/>
      </w:pPr>
      <w:bookmarkStart w:id="7" w:name="O_1204349"/>
      <w:bookmarkEnd w:id="7"/>
      <w:r w:rsidRPr="00600B31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600B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0B31">
            <w:pPr>
              <w:pStyle w:val="BodyText"/>
              <w:rPr>
                <w:lang w:val="en-NZ"/>
              </w:rPr>
            </w:pPr>
            <w:r w:rsidRPr="00600B31">
              <w:rPr>
                <w:rStyle w:val="Emphasis"/>
              </w:rPr>
              <w:t>Foundation skills essential to performance in this unit, but not explicit in the performance criteria are listed here, along with a brief context statement.</w:t>
            </w:r>
          </w:p>
        </w:tc>
      </w:tr>
      <w:tr w:rsidTr="00600B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0B31" w:rsidP="00600B31">
            <w:pPr>
              <w:pStyle w:val="BodyText"/>
            </w:pPr>
            <w:r w:rsidRPr="00600B31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0B31">
            <w:pPr>
              <w:pStyle w:val="BodyText"/>
              <w:rPr>
                <w:lang w:val="en-NZ"/>
              </w:rPr>
            </w:pPr>
            <w:r w:rsidRPr="00600B31">
              <w:rPr>
                <w:rStyle w:val="SpecialBold"/>
              </w:rPr>
              <w:t>DESCRIPTION</w:t>
            </w:r>
          </w:p>
        </w:tc>
      </w:tr>
      <w:tr w:rsidTr="00600B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0B31">
            <w:pPr>
              <w:pStyle w:val="BodyText"/>
              <w:rPr>
                <w:lang w:val="en-NZ"/>
              </w:rPr>
            </w:pPr>
            <w:r w:rsidRPr="00600B31">
              <w:t>Numeracy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0B31" w:rsidP="00600B31">
            <w:pPr>
              <w:pStyle w:val="ListBullet"/>
            </w:pPr>
            <w:r w:rsidRPr="00600B31">
              <w:t>estimate the total cost of transaction to determine accu</w:t>
            </w:r>
            <w:r w:rsidRPr="00600B31">
              <w:t>racy of point-of-sale equipment</w:t>
            </w:r>
          </w:p>
          <w:p w:rsidR="00000000" w:rsidP="00600B31">
            <w:pPr>
              <w:pStyle w:val="ListBullet"/>
              <w:rPr>
                <w:lang w:val="en-NZ"/>
              </w:rPr>
            </w:pPr>
            <w:r w:rsidRPr="00600B31">
              <w:t>count change required during cash transactions.</w:t>
            </w:r>
          </w:p>
        </w:tc>
      </w:tr>
      <w:tr w:rsidTr="00600B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0B31">
            <w:pPr>
              <w:pStyle w:val="BodyText"/>
              <w:rPr>
                <w:lang w:val="en-NZ"/>
              </w:rPr>
            </w:pPr>
            <w:r w:rsidRPr="00600B31">
              <w:t>Problem-solving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0B31" w:rsidP="00600B31">
            <w:pPr>
              <w:pStyle w:val="ListBullet"/>
            </w:pPr>
            <w:r w:rsidRPr="00600B31">
              <w:t>determine the cause of discrepancies in point-of-sale transactions.</w:t>
            </w:r>
          </w:p>
        </w:tc>
      </w:tr>
    </w:tbl>
    <w:p w:rsidR="00000000" w:rsidRPr="00600B31" w:rsidP="00600B31">
      <w:pPr>
        <w:pStyle w:val="BodyText"/>
      </w:pPr>
    </w:p>
    <w:p w:rsidR="00000000" w:rsidRPr="00600B31" w:rsidP="00600B31">
      <w:pPr>
        <w:pStyle w:val="AllowPageBreak"/>
      </w:pPr>
    </w:p>
    <w:p w:rsidR="00000000" w:rsidRPr="00600B31" w:rsidP="00600B31">
      <w:pPr>
        <w:pStyle w:val="Heading1"/>
      </w:pPr>
      <w:bookmarkStart w:id="8" w:name="O_1204351"/>
      <w:bookmarkEnd w:id="8"/>
      <w:r w:rsidRPr="00600B31">
        <w:t>Unit Mapping Information</w:t>
      </w:r>
    </w:p>
    <w:p w:rsidR="00000000" w:rsidRPr="00600B31" w:rsidP="00512DBA">
      <w:pPr>
        <w:pStyle w:val="BodyText"/>
      </w:pPr>
      <w:r w:rsidRPr="00600B31">
        <w:t>Supersedes and is not equivalent to SHBXCCS001 Conduct salon financial transactions.</w:t>
      </w:r>
    </w:p>
    <w:p w:rsidR="00000000" w:rsidRPr="00600B31" w:rsidP="00600B31">
      <w:pPr>
        <w:pStyle w:val="Heading1"/>
      </w:pPr>
      <w:bookmarkStart w:id="9" w:name="O_1204358"/>
      <w:bookmarkEnd w:id="9"/>
      <w:r w:rsidRPr="00600B31">
        <w:t>Links</w:t>
      </w:r>
    </w:p>
    <w:p w:rsidR="00000000" w:rsidRPr="00600B31" w:rsidP="00512DBA">
      <w:pPr>
        <w:pStyle w:val="BodyText"/>
      </w:pPr>
      <w:r w:rsidRPr="00600B3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"https://vetnet.gov.au/Pages/TrainingDocs.aspx?q=255d312b-db07-48f2-b6d6-1b0b06c42898" </w:instrText>
      </w:r>
      <w:r>
        <w:fldChar w:fldCharType="separate"/>
      </w:r>
      <w:r w:rsidRPr="007B4EDD">
        <w:rPr>
          <w:rStyle w:val="Hyperlink"/>
        </w:rPr>
        <w:t>https://vetnet.gov.au/Pages/TrainingDocs.aspx?q=255d312b-db07-48f2-b6d6-1b0b06c42898</w:t>
      </w:r>
      <w:r>
        <w:fldChar w:fldCharType="end"/>
      </w:r>
    </w:p>
    <w:p w:rsidR="00000000" w:rsidRPr="00600B31" w:rsidP="00600B31"/>
    <w:sectPr w:rsidSect="00600B3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0B3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0B31" w:rsidRPr="00512DBA" w:rsidP="00512DB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0B3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2DBA" w:rsidP="00600B3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12DBA" w:rsidP="00600B3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512DBA" w:rsidP="00600B3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0B3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2DB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00B31" w:rsidRPr="00512DBA" w:rsidP="00512DB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0B3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2DBA" w:rsidRPr="002D2AF8" w:rsidP="00600B3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SHBXCCS007 Conduct salon financial transactions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5 July 2022</w:t>
    </w:r>
    <w:r>
      <w:fldChar w:fldCharType="end"/>
    </w:r>
  </w:p>
  <w:p w:rsidR="00512DBA" w:rsidP="00600B3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460656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C9A51D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00B3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00B3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00B3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00B3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00B3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00B3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00B3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00B3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00B3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00B3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00B3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00B31"/>
  </w:style>
  <w:style w:type="character" w:customStyle="1" w:styleId="Heading1Char">
    <w:name w:val="Heading 1 Char"/>
    <w:basedOn w:val="DefaultParagraphFont"/>
    <w:link w:val="Heading1"/>
    <w:rsid w:val="00600B3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00B3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00B31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600B3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00B3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00B31"/>
    <w:rPr>
      <w:b/>
      <w:spacing w:val="0"/>
    </w:rPr>
  </w:style>
  <w:style w:type="character" w:styleId="Emphasis">
    <w:name w:val="Emphasis"/>
    <w:basedOn w:val="DefaultParagraphFont"/>
    <w:qFormat/>
    <w:rsid w:val="00600B31"/>
    <w:rPr>
      <w:i/>
    </w:rPr>
  </w:style>
  <w:style w:type="paragraph" w:customStyle="1" w:styleId="SuperHeading">
    <w:name w:val="SuperHeading"/>
    <w:basedOn w:val="Normal"/>
    <w:rsid w:val="00600B3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00B3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00B3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00B3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00B3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00B3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00B3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00B3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00B3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00B3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00B3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00B3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00B3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00B3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00B3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00B3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00B3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00B3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00B3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00B31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600B3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00B3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00B3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00B3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00B3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00B3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00B3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00B3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00B3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00B3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00B3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00B3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00B3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00B3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00B3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00B3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00B3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00B31"/>
  </w:style>
  <w:style w:type="paragraph" w:styleId="TableofFigures">
    <w:name w:val="table of figures"/>
    <w:basedOn w:val="Normal"/>
    <w:next w:val="Normal"/>
    <w:semiHidden/>
    <w:rsid w:val="00600B3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00B3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00B31"/>
    <w:rPr>
      <w:rFonts w:ascii="Wingdings" w:hAnsi="Wingdings"/>
    </w:rPr>
  </w:style>
  <w:style w:type="paragraph" w:customStyle="1" w:styleId="TableHeading">
    <w:name w:val="Table Heading"/>
    <w:basedOn w:val="HeadingBase"/>
    <w:rsid w:val="00600B3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00B31"/>
    <w:rPr>
      <w:color w:val="0033CC"/>
      <w:u w:val="none"/>
    </w:rPr>
  </w:style>
  <w:style w:type="paragraph" w:customStyle="1" w:styleId="BodyTextRight">
    <w:name w:val="Body Text Right"/>
    <w:basedOn w:val="BodyText"/>
    <w:rsid w:val="00600B3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00B3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00B3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00B3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00B3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00B3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00B31"/>
    <w:rPr>
      <w:sz w:val="32"/>
    </w:rPr>
  </w:style>
  <w:style w:type="paragraph" w:customStyle="1" w:styleId="HeadingProcedure">
    <w:name w:val="Heading Procedure"/>
    <w:basedOn w:val="HeadingBase"/>
    <w:next w:val="Normal"/>
    <w:rsid w:val="00600B3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00B31"/>
    <w:pPr>
      <w:spacing w:before="60" w:after="60"/>
    </w:pPr>
  </w:style>
  <w:style w:type="paragraph" w:styleId="ListContinue">
    <w:name w:val="List Continue"/>
    <w:basedOn w:val="List"/>
    <w:rsid w:val="00600B31"/>
    <w:pPr>
      <w:ind w:firstLine="0"/>
    </w:pPr>
  </w:style>
  <w:style w:type="paragraph" w:customStyle="1" w:styleId="ListNote">
    <w:name w:val="List Note"/>
    <w:basedOn w:val="List"/>
    <w:rsid w:val="00600B3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00B3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00B3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00B31"/>
    <w:rPr>
      <w:rFonts w:ascii="Courier New" w:hAnsi="Courier New"/>
    </w:rPr>
  </w:style>
  <w:style w:type="paragraph" w:customStyle="1" w:styleId="NoteBullet">
    <w:name w:val="Note Bullet"/>
    <w:basedOn w:val="Note"/>
    <w:rsid w:val="00600B3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00B3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00B3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00B3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00B3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00B3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00B3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00B31"/>
    <w:rPr>
      <w:b/>
      <w:smallCaps/>
    </w:rPr>
  </w:style>
  <w:style w:type="paragraph" w:customStyle="1" w:styleId="TableListNumber">
    <w:name w:val="Table List Number"/>
    <w:basedOn w:val="ListNumber"/>
    <w:rsid w:val="00600B3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00B3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00B31"/>
    <w:pPr>
      <w:numPr>
        <w:numId w:val="8"/>
      </w:numPr>
    </w:pPr>
  </w:style>
  <w:style w:type="paragraph" w:customStyle="1" w:styleId="ListAlpha2">
    <w:name w:val="List Alpha 2"/>
    <w:basedOn w:val="List2"/>
    <w:rsid w:val="00600B31"/>
    <w:pPr>
      <w:numPr>
        <w:numId w:val="7"/>
      </w:numPr>
    </w:pPr>
  </w:style>
  <w:style w:type="paragraph" w:styleId="List2">
    <w:name w:val="List 2"/>
    <w:basedOn w:val="BodyText"/>
    <w:rsid w:val="00600B3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00B3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00B3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00B3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00B3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00B3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00B31"/>
    <w:pPr>
      <w:numPr>
        <w:numId w:val="3"/>
      </w:numPr>
    </w:pPr>
  </w:style>
  <w:style w:type="paragraph" w:styleId="ListContinue2">
    <w:name w:val="List Continue 2"/>
    <w:basedOn w:val="List2"/>
    <w:rsid w:val="00600B31"/>
    <w:pPr>
      <w:ind w:firstLine="0"/>
    </w:pPr>
  </w:style>
  <w:style w:type="paragraph" w:styleId="ListContinue3">
    <w:name w:val="List Continue 3"/>
    <w:basedOn w:val="List3"/>
    <w:rsid w:val="00600B31"/>
    <w:pPr>
      <w:ind w:left="1021" w:firstLine="0"/>
    </w:pPr>
  </w:style>
  <w:style w:type="paragraph" w:styleId="ListContinue4">
    <w:name w:val="List Continue 4"/>
    <w:basedOn w:val="List4"/>
    <w:rsid w:val="00600B31"/>
    <w:pPr>
      <w:ind w:firstLine="0"/>
    </w:pPr>
  </w:style>
  <w:style w:type="paragraph" w:styleId="ListContinue5">
    <w:name w:val="List Continue 5"/>
    <w:basedOn w:val="List5"/>
    <w:rsid w:val="00600B31"/>
    <w:pPr>
      <w:ind w:firstLine="0"/>
    </w:pPr>
  </w:style>
  <w:style w:type="paragraph" w:styleId="ListNumber3">
    <w:name w:val="List Number 3"/>
    <w:basedOn w:val="List3"/>
    <w:rsid w:val="00600B31"/>
    <w:pPr>
      <w:numPr>
        <w:numId w:val="4"/>
      </w:numPr>
    </w:pPr>
  </w:style>
  <w:style w:type="paragraph" w:styleId="ListNumber4">
    <w:name w:val="List Number 4"/>
    <w:basedOn w:val="List4"/>
    <w:rsid w:val="00600B31"/>
    <w:pPr>
      <w:numPr>
        <w:numId w:val="5"/>
      </w:numPr>
    </w:pPr>
  </w:style>
  <w:style w:type="paragraph" w:styleId="ListNumber5">
    <w:name w:val="List Number 5"/>
    <w:basedOn w:val="List5"/>
    <w:rsid w:val="00600B31"/>
    <w:pPr>
      <w:numPr>
        <w:numId w:val="6"/>
      </w:numPr>
    </w:pPr>
  </w:style>
  <w:style w:type="paragraph" w:styleId="BlockText">
    <w:name w:val="Block Text"/>
    <w:basedOn w:val="Normal"/>
    <w:rsid w:val="00600B3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00B3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00B31"/>
    <w:rPr>
      <w:sz w:val="16"/>
      <w:vertAlign w:val="superscript"/>
    </w:rPr>
  </w:style>
  <w:style w:type="character" w:customStyle="1" w:styleId="Symbols">
    <w:name w:val="Symbols"/>
    <w:basedOn w:val="DefaultParagraphFont"/>
    <w:rsid w:val="00600B31"/>
    <w:rPr>
      <w:rFonts w:ascii="Symbol" w:hAnsi="Symbol"/>
    </w:rPr>
  </w:style>
  <w:style w:type="character" w:customStyle="1" w:styleId="MenuOptions">
    <w:name w:val="Menu Options"/>
    <w:basedOn w:val="DefaultParagraphFont"/>
    <w:rsid w:val="00600B3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00B31"/>
    <w:rPr>
      <w:b/>
    </w:rPr>
  </w:style>
  <w:style w:type="character" w:customStyle="1" w:styleId="Underlined">
    <w:name w:val="Underlined"/>
    <w:basedOn w:val="DefaultParagraphFont"/>
    <w:rsid w:val="00600B31"/>
    <w:rPr>
      <w:u w:val="single"/>
    </w:rPr>
  </w:style>
  <w:style w:type="paragraph" w:customStyle="1" w:styleId="TableBodyTextRight">
    <w:name w:val="Table Body Text Right"/>
    <w:basedOn w:val="TableBodyText"/>
    <w:rsid w:val="00600B3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00B31"/>
    <w:rPr>
      <w:sz w:val="18"/>
    </w:rPr>
  </w:style>
  <w:style w:type="paragraph" w:customStyle="1" w:styleId="BodySmallRight">
    <w:name w:val="Body Small Right"/>
    <w:basedOn w:val="BodyTextRight"/>
    <w:rsid w:val="00600B31"/>
    <w:rPr>
      <w:sz w:val="18"/>
      <w:szCs w:val="18"/>
    </w:rPr>
  </w:style>
  <w:style w:type="paragraph" w:customStyle="1" w:styleId="MarginEdition">
    <w:name w:val="Margin Edition"/>
    <w:basedOn w:val="MarginNote"/>
    <w:rsid w:val="00600B3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00B31"/>
    <w:rPr>
      <w:sz w:val="2"/>
      <w:szCs w:val="2"/>
    </w:rPr>
  </w:style>
  <w:style w:type="character" w:customStyle="1" w:styleId="Small">
    <w:name w:val="Small"/>
    <w:basedOn w:val="DefaultParagraphFont"/>
    <w:rsid w:val="00600B31"/>
    <w:rPr>
      <w:sz w:val="16"/>
    </w:rPr>
  </w:style>
  <w:style w:type="paragraph" w:customStyle="1" w:styleId="WideTable">
    <w:name w:val="Wide Table"/>
    <w:basedOn w:val="Normal"/>
    <w:rsid w:val="00600B3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00B31"/>
  </w:style>
  <w:style w:type="paragraph" w:styleId="Quote">
    <w:name w:val="Quote"/>
    <w:basedOn w:val="Heading1"/>
    <w:link w:val="QuoteChar"/>
    <w:qFormat/>
    <w:rsid w:val="00600B3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00B3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00B31"/>
    <w:pPr>
      <w:pageBreakBefore/>
    </w:pPr>
  </w:style>
  <w:style w:type="paragraph" w:customStyle="1" w:styleId="Border">
    <w:name w:val="Border"/>
    <w:basedOn w:val="Normal"/>
    <w:qFormat/>
    <w:rsid w:val="00600B3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00B3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00B3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00B3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00B3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00B3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00B3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00B3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00B3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00B31"/>
    <w:rPr>
      <w:u w:val="single"/>
    </w:rPr>
  </w:style>
  <w:style w:type="character" w:customStyle="1" w:styleId="BoldandItalics">
    <w:name w:val="Bold and Italics"/>
    <w:qFormat/>
    <w:rsid w:val="00600B31"/>
    <w:rPr>
      <w:b/>
      <w:i/>
      <w:u w:val="none"/>
    </w:rPr>
  </w:style>
  <w:style w:type="paragraph" w:styleId="BalloonText">
    <w:name w:val="Balloon Text"/>
    <w:basedOn w:val="Normal"/>
    <w:link w:val="BalloonTextChar"/>
    <w:rsid w:val="00600B3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00B3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00B3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00B3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00B3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00B3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00B31"/>
    <w:pPr>
      <w:spacing w:before="0" w:after="0"/>
    </w:pPr>
  </w:style>
  <w:style w:type="paragraph" w:customStyle="1" w:styleId="BodyTextBold">
    <w:name w:val="Body Text Bold"/>
    <w:basedOn w:val="BodyText"/>
    <w:qFormat/>
    <w:rsid w:val="00600B31"/>
    <w:rPr>
      <w:b/>
    </w:rPr>
  </w:style>
  <w:style w:type="character" w:styleId="Hyperlink">
    <w:name w:val="Hyperlink"/>
    <w:basedOn w:val="DefaultParagraphFont"/>
    <w:uiPriority w:val="99"/>
    <w:unhideWhenUsed/>
    <w:rsid w:val="00512DB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524</Words>
  <Characters>3445</Characters>
  <Application>Microsoft Office Word</Application>
  <DocSecurity>0</DocSecurity>
  <Lines>111</Lines>
  <Paragraphs>73</Paragraphs>
  <ScaleCrop>false</ScaleCrop>
  <Company>Author-it Software Corporation Ltd.</Company>
  <LinksUpToDate>false</LinksUpToDate>
  <CharactersWithSpaces>3896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SHBXCCS007 Conduct salon financial transactions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2022-07-05T04:09:00Z</dcterms:created>
  <dcterms:modified xsi:type="dcterms:W3CDTF">2022-07-05T04:09:00Z</dcterms:modified>
</cp:coreProperties>
</file>