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072" w:rsidP="00F34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SHBXCCS007 Conduct salon financial transactions</w:t>
      </w:r>
      <w:r>
        <w:fldChar w:fldCharType="end"/>
      </w:r>
    </w:p>
    <w:p w:rsidR="00F34072" w:rsidP="00F34072">
      <w:pPr>
        <w:pStyle w:val="Version"/>
        <w:sectPr w:rsidSect="000B5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8A3" w:rsidP="000B58A3">
      <w:pPr>
        <w:pStyle w:val="SuperHeading"/>
      </w:pPr>
      <w:r w:rsidRPr="000B58A3">
        <w:t>Assessment Requirements for SHBXCCS007 Conduct salon financial transactions</w:t>
      </w:r>
    </w:p>
    <w:p w:rsidR="00000000" w:rsidRPr="000B58A3" w:rsidP="000B58A3">
      <w:pPr>
        <w:pStyle w:val="Heading1"/>
      </w:pPr>
      <w:bookmarkStart w:id="1" w:name="O_1204353"/>
      <w:bookmarkEnd w:id="1"/>
      <w:r w:rsidRPr="000B58A3">
        <w:t>Modification History</w:t>
      </w:r>
    </w:p>
    <w:p w:rsidR="00000000" w:rsidRPr="000B58A3" w:rsidP="00F34072">
      <w:pPr>
        <w:pStyle w:val="BodyText"/>
      </w:pPr>
      <w:r w:rsidRPr="000B58A3">
        <w:t>Supersedes and is not equivalent to SHBXCCS001 Conduct salon financial transactions.</w:t>
      </w:r>
    </w:p>
    <w:p w:rsidR="00000000" w:rsidRPr="000B58A3" w:rsidP="000B58A3">
      <w:pPr>
        <w:pStyle w:val="Heading1"/>
      </w:pPr>
      <w:bookmarkStart w:id="2" w:name="O_1204354"/>
      <w:bookmarkEnd w:id="2"/>
      <w:r w:rsidRPr="000B58A3">
        <w:t>Performance Evidence</w:t>
      </w:r>
    </w:p>
    <w:p w:rsidR="00000000" w:rsidRPr="000B58A3" w:rsidP="00F34072">
      <w:pPr>
        <w:pStyle w:val="BodyText"/>
      </w:pPr>
      <w:r w:rsidRPr="000B58A3">
        <w:t>Evidence of the ability to complete tasks outlined in elements and performance criteria of this unit in the context of the job role, and:</w:t>
      </w:r>
    </w:p>
    <w:p w:rsidR="00000000" w:rsidRPr="000B58A3" w:rsidP="000B58A3">
      <w:pPr>
        <w:pStyle w:val="ListBullet"/>
      </w:pPr>
      <w:r w:rsidRPr="000B58A3">
        <w:t>operate electronic point-of-sale equipment to accurately perform each of the following transactions on at least two o</w:t>
      </w:r>
      <w:r w:rsidRPr="000B58A3">
        <w:t xml:space="preserve">ccasions: </w:t>
      </w:r>
    </w:p>
    <w:p w:rsidR="00000000" w:rsidRPr="000B58A3" w:rsidP="000B58A3">
      <w:pPr>
        <w:pStyle w:val="ListBullet2"/>
      </w:pPr>
      <w:r w:rsidRPr="000B58A3">
        <w:t>cash sales</w:t>
      </w:r>
    </w:p>
    <w:p w:rsidR="00000000" w:rsidRPr="000B58A3" w:rsidP="000B58A3">
      <w:pPr>
        <w:pStyle w:val="ListBullet2"/>
      </w:pPr>
      <w:r w:rsidRPr="000B58A3">
        <w:t>non-cash sales:</w:t>
      </w:r>
    </w:p>
    <w:p w:rsidR="00000000" w:rsidRPr="000B58A3" w:rsidP="000B58A3">
      <w:pPr>
        <w:pStyle w:val="ListBullet3"/>
      </w:pPr>
      <w:r w:rsidRPr="000B58A3">
        <w:t xml:space="preserve">credit card </w:t>
      </w:r>
    </w:p>
    <w:p w:rsidR="00000000" w:rsidRPr="000B58A3" w:rsidP="000B58A3">
      <w:pPr>
        <w:pStyle w:val="ListBullet3"/>
      </w:pPr>
      <w:r w:rsidRPr="000B58A3">
        <w:t>EFTPOS</w:t>
      </w:r>
    </w:p>
    <w:p w:rsidR="00000000" w:rsidRPr="000B58A3" w:rsidP="000B58A3">
      <w:pPr>
        <w:pStyle w:val="ListBullet3"/>
      </w:pPr>
      <w:r w:rsidRPr="000B58A3">
        <w:t>refunds and exchanges</w:t>
      </w:r>
    </w:p>
    <w:p w:rsidR="00000000" w:rsidRPr="000B58A3" w:rsidP="000B58A3">
      <w:pPr>
        <w:pStyle w:val="ListBullet"/>
      </w:pPr>
      <w:r w:rsidRPr="000B58A3">
        <w:t>demonstrate the following secure payment handling procedures on at least two occasions:</w:t>
      </w:r>
    </w:p>
    <w:p w:rsidR="00000000" w:rsidRPr="000B58A3" w:rsidP="000B58A3">
      <w:pPr>
        <w:pStyle w:val="ListBullet2"/>
      </w:pPr>
      <w:r w:rsidRPr="000B58A3">
        <w:t>balancing point-of-sale terminal</w:t>
      </w:r>
    </w:p>
    <w:p w:rsidR="00000000" w:rsidRPr="000B58A3" w:rsidP="000B58A3">
      <w:pPr>
        <w:pStyle w:val="ListBullet2"/>
      </w:pPr>
      <w:r w:rsidRPr="000B58A3">
        <w:t>calculating non-cash documents</w:t>
      </w:r>
    </w:p>
    <w:p w:rsidR="00000000" w:rsidRPr="000B58A3" w:rsidP="000B58A3">
      <w:pPr>
        <w:pStyle w:val="ListBullet2"/>
      </w:pPr>
      <w:r w:rsidRPr="000B58A3">
        <w:t>clearing terminal and transferring tender</w:t>
      </w:r>
    </w:p>
    <w:p w:rsidR="00000000" w:rsidRPr="000B58A3" w:rsidP="000B58A3">
      <w:pPr>
        <w:pStyle w:val="ListBullet2"/>
      </w:pPr>
      <w:r w:rsidRPr="000B58A3">
        <w:t>counting cash</w:t>
      </w:r>
    </w:p>
    <w:p w:rsidR="00000000" w:rsidRPr="000B58A3" w:rsidP="000B58A3">
      <w:pPr>
        <w:pStyle w:val="ListBullet2"/>
      </w:pPr>
      <w:r w:rsidRPr="000B58A3">
        <w:t>determining change required and denominations of change</w:t>
      </w:r>
    </w:p>
    <w:p w:rsidR="00000000" w:rsidRPr="000B58A3" w:rsidP="000B58A3">
      <w:pPr>
        <w:pStyle w:val="ListBullet2"/>
      </w:pPr>
      <w:r w:rsidRPr="000B58A3">
        <w:t>ensuring security of cash and non-cash transactions</w:t>
      </w:r>
    </w:p>
    <w:p w:rsidR="00000000" w:rsidRPr="000B58A3" w:rsidP="000B58A3">
      <w:pPr>
        <w:pStyle w:val="ListBullet2"/>
      </w:pPr>
      <w:r w:rsidRPr="000B58A3">
        <w:t>maintaining cash float</w:t>
      </w:r>
    </w:p>
    <w:p w:rsidR="00000000" w:rsidRPr="000B58A3" w:rsidP="000B58A3">
      <w:pPr>
        <w:pStyle w:val="ListBullet2"/>
      </w:pPr>
      <w:r w:rsidRPr="000B58A3">
        <w:t>opening and closing of point-of-sale terminal</w:t>
      </w:r>
    </w:p>
    <w:p w:rsidR="00000000" w:rsidRPr="000B58A3" w:rsidP="000B58A3">
      <w:pPr>
        <w:pStyle w:val="ListBullet2"/>
      </w:pPr>
      <w:r w:rsidRPr="000B58A3">
        <w:t>recording takings</w:t>
      </w:r>
    </w:p>
    <w:p w:rsidR="00000000" w:rsidRPr="000B58A3" w:rsidP="000B58A3">
      <w:pPr>
        <w:pStyle w:val="ListBullet2"/>
      </w:pPr>
      <w:r w:rsidRPr="000B58A3">
        <w:t>securing cash and non-cash transactions</w:t>
      </w:r>
    </w:p>
    <w:p w:rsidR="00000000" w:rsidRPr="000B58A3" w:rsidP="000B58A3">
      <w:pPr>
        <w:pStyle w:val="ListBullet2"/>
      </w:pPr>
      <w:r w:rsidRPr="000B58A3">
        <w:t>tendering change.</w:t>
      </w:r>
    </w:p>
    <w:p w:rsidR="00000000" w:rsidRPr="000B58A3" w:rsidP="000B58A3">
      <w:pPr>
        <w:pStyle w:val="AllowPageBreak"/>
      </w:pPr>
    </w:p>
    <w:p w:rsidR="00000000" w:rsidRPr="000B58A3" w:rsidP="000B58A3">
      <w:pPr>
        <w:pStyle w:val="Heading1"/>
      </w:pPr>
      <w:bookmarkStart w:id="3" w:name="O_1204355"/>
      <w:bookmarkEnd w:id="3"/>
      <w:r w:rsidRPr="000B58A3">
        <w:t>Knowledge Evidence</w:t>
      </w:r>
    </w:p>
    <w:p w:rsidR="00000000" w:rsidRPr="000B58A3" w:rsidP="00F34072">
      <w:pPr>
        <w:pStyle w:val="BodyText"/>
      </w:pPr>
      <w:r w:rsidRPr="000B58A3">
        <w:t>Demonstrated knowledge required to complete the tasks outlined in elements and performance criteria of this unit:</w:t>
      </w:r>
    </w:p>
    <w:p w:rsidR="00000000" w:rsidRPr="000B58A3" w:rsidP="000B58A3">
      <w:pPr>
        <w:pStyle w:val="ListBullet"/>
      </w:pPr>
      <w:r w:rsidRPr="000B58A3">
        <w:t>cash and non-cash handling procedures:</w:t>
      </w:r>
    </w:p>
    <w:p w:rsidR="00000000" w:rsidRPr="000B58A3" w:rsidP="000B58A3">
      <w:pPr>
        <w:pStyle w:val="ListBullet2"/>
      </w:pPr>
      <w:r w:rsidRPr="000B58A3">
        <w:t>balan</w:t>
      </w:r>
      <w:r w:rsidRPr="000B58A3">
        <w:t>cing point-of-sale equipment</w:t>
      </w:r>
    </w:p>
    <w:p w:rsidR="00000000" w:rsidRPr="000B58A3" w:rsidP="000B58A3">
      <w:pPr>
        <w:pStyle w:val="ListBullet2"/>
      </w:pPr>
      <w:r w:rsidRPr="000B58A3">
        <w:t>change required, denominations of change and tendering change</w:t>
      </w:r>
    </w:p>
    <w:p w:rsidR="00000000" w:rsidRPr="000B58A3" w:rsidP="000B58A3">
      <w:pPr>
        <w:pStyle w:val="ListBullet2"/>
      </w:pPr>
      <w:r w:rsidRPr="000B58A3">
        <w:t>clearance of terminal and transference of tender</w:t>
      </w:r>
    </w:p>
    <w:p w:rsidR="00000000" w:rsidRPr="000B58A3" w:rsidP="000B58A3">
      <w:pPr>
        <w:pStyle w:val="ListBullet2"/>
      </w:pPr>
      <w:r w:rsidRPr="000B58A3">
        <w:t>counting cash</w:t>
      </w:r>
    </w:p>
    <w:p w:rsidR="00000000" w:rsidRPr="000B58A3" w:rsidP="000B58A3">
      <w:pPr>
        <w:pStyle w:val="ListBullet2"/>
      </w:pPr>
      <w:r w:rsidRPr="000B58A3">
        <w:t>maintenance of cash float</w:t>
      </w:r>
    </w:p>
    <w:p w:rsidR="00000000" w:rsidRPr="000B58A3" w:rsidP="000B58A3">
      <w:pPr>
        <w:pStyle w:val="ListBullet2"/>
      </w:pPr>
      <w:r w:rsidRPr="000B58A3">
        <w:t>opening and closing point-of-sale terminal</w:t>
      </w:r>
    </w:p>
    <w:p w:rsidR="00000000" w:rsidRPr="000B58A3" w:rsidP="000B58A3">
      <w:pPr>
        <w:pStyle w:val="ListBullet2"/>
      </w:pPr>
      <w:r w:rsidRPr="000B58A3">
        <w:t>recording takings</w:t>
      </w:r>
    </w:p>
    <w:p w:rsidR="00000000" w:rsidRPr="000B58A3" w:rsidP="000B58A3">
      <w:pPr>
        <w:pStyle w:val="ListBullet2"/>
      </w:pPr>
      <w:r w:rsidRPr="000B58A3">
        <w:t>security of cash and non-cash transactions</w:t>
      </w:r>
    </w:p>
    <w:p w:rsidR="00000000" w:rsidRPr="000B58A3" w:rsidP="000B58A3">
      <w:pPr>
        <w:pStyle w:val="ListBullet"/>
      </w:pPr>
      <w:r w:rsidRPr="000B58A3">
        <w:t>organisational policies and procedures relevant to financial transactions:</w:t>
      </w:r>
    </w:p>
    <w:p w:rsidR="00000000" w:rsidRPr="000B58A3" w:rsidP="000B58A3">
      <w:pPr>
        <w:pStyle w:val="ListBullet2"/>
      </w:pPr>
      <w:r w:rsidRPr="000B58A3">
        <w:t xml:space="preserve">cash handling security </w:t>
      </w:r>
    </w:p>
    <w:p w:rsidR="00000000" w:rsidRPr="000B58A3" w:rsidP="000B58A3">
      <w:pPr>
        <w:pStyle w:val="ListBullet2"/>
      </w:pPr>
      <w:r w:rsidRPr="000B58A3">
        <w:t>exchanges, returns and refunds</w:t>
      </w:r>
    </w:p>
    <w:p w:rsidR="00000000" w:rsidRPr="000B58A3" w:rsidP="000B58A3">
      <w:pPr>
        <w:pStyle w:val="ListBullet2"/>
      </w:pPr>
      <w:r w:rsidRPr="000B58A3">
        <w:t>operation of point-of-sale equipment</w:t>
      </w:r>
    </w:p>
    <w:p w:rsidR="00000000" w:rsidRPr="000B58A3" w:rsidP="000B58A3">
      <w:pPr>
        <w:pStyle w:val="ListBullet2"/>
      </w:pPr>
      <w:r w:rsidRPr="000B58A3">
        <w:t>point-of-sale transactions</w:t>
      </w:r>
    </w:p>
    <w:p w:rsidR="00000000" w:rsidRPr="000B58A3" w:rsidP="000B58A3">
      <w:pPr>
        <w:pStyle w:val="ListBullet2"/>
      </w:pPr>
      <w:r w:rsidRPr="000B58A3">
        <w:t>work health and s</w:t>
      </w:r>
      <w:r w:rsidRPr="000B58A3">
        <w:t>afety</w:t>
      </w:r>
    </w:p>
    <w:p w:rsidR="00000000" w:rsidRPr="000B58A3" w:rsidP="000B58A3">
      <w:pPr>
        <w:pStyle w:val="ListBullet"/>
      </w:pPr>
      <w:r w:rsidRPr="000B58A3">
        <w:t>functions and procedures for operating point-of-sale equipment:</w:t>
      </w:r>
    </w:p>
    <w:p w:rsidR="00000000" w:rsidRPr="000B58A3" w:rsidP="000B58A3">
      <w:pPr>
        <w:pStyle w:val="ListBullet2"/>
      </w:pPr>
      <w:r w:rsidRPr="000B58A3">
        <w:t>cash register</w:t>
      </w:r>
    </w:p>
    <w:p w:rsidR="00000000" w:rsidRPr="000B58A3" w:rsidP="000B58A3">
      <w:pPr>
        <w:pStyle w:val="ListBullet2"/>
      </w:pPr>
      <w:r w:rsidRPr="000B58A3">
        <w:t>EFTPOS terminal</w:t>
      </w:r>
    </w:p>
    <w:p w:rsidR="00000000" w:rsidRPr="000B58A3" w:rsidP="000B58A3">
      <w:pPr>
        <w:pStyle w:val="ListBullet2"/>
      </w:pPr>
      <w:r w:rsidRPr="000B58A3">
        <w:t>barcode scanner</w:t>
      </w:r>
    </w:p>
    <w:p w:rsidR="00000000" w:rsidRPr="000B58A3" w:rsidP="000B58A3">
      <w:pPr>
        <w:pStyle w:val="ListBullet"/>
      </w:pPr>
      <w:r w:rsidRPr="000B58A3">
        <w:t xml:space="preserve">relevant national and state or territory legislation: </w:t>
      </w:r>
    </w:p>
    <w:p w:rsidR="00000000" w:rsidRPr="000B58A3" w:rsidP="000B58A3">
      <w:pPr>
        <w:pStyle w:val="ListBullet2"/>
      </w:pPr>
      <w:r w:rsidRPr="000B58A3">
        <w:t>consumer protection</w:t>
      </w:r>
    </w:p>
    <w:p w:rsidR="00000000" w:rsidRPr="000B58A3" w:rsidP="000B58A3">
      <w:pPr>
        <w:pStyle w:val="ListBullet2"/>
      </w:pPr>
      <w:r w:rsidRPr="000B58A3">
        <w:t xml:space="preserve">privacy </w:t>
      </w:r>
    </w:p>
    <w:p w:rsidR="00000000" w:rsidRPr="000B58A3" w:rsidP="000B58A3">
      <w:pPr>
        <w:pStyle w:val="ListBullet2"/>
      </w:pPr>
      <w:r w:rsidRPr="000B58A3">
        <w:t>GST</w:t>
      </w:r>
    </w:p>
    <w:p w:rsidR="00000000" w:rsidRPr="000B58A3" w:rsidP="000B58A3">
      <w:pPr>
        <w:pStyle w:val="ListBullet2"/>
      </w:pPr>
      <w:r w:rsidRPr="000B58A3">
        <w:t>work health and safety.</w:t>
      </w:r>
    </w:p>
    <w:p w:rsidR="00000000" w:rsidRPr="000B58A3" w:rsidP="000B58A3">
      <w:pPr>
        <w:pStyle w:val="AllowPageBreak"/>
      </w:pPr>
    </w:p>
    <w:p w:rsidR="00000000" w:rsidRPr="000B58A3" w:rsidP="000B58A3">
      <w:pPr>
        <w:pStyle w:val="Heading1"/>
      </w:pPr>
      <w:bookmarkStart w:id="4" w:name="O_1204356"/>
      <w:bookmarkEnd w:id="4"/>
      <w:r w:rsidRPr="000B58A3">
        <w:t>Assessment Conditions</w:t>
      </w:r>
    </w:p>
    <w:p w:rsidR="00000000" w:rsidRPr="000B58A3" w:rsidP="00F34072">
      <w:pPr>
        <w:pStyle w:val="BodyText"/>
      </w:pPr>
      <w:r w:rsidRPr="000B58A3">
        <w:t xml:space="preserve">Skills must be demonstrated in a personal services salon environment; this can be: </w:t>
      </w:r>
    </w:p>
    <w:p w:rsidR="00000000" w:rsidRPr="000B58A3" w:rsidP="000B58A3">
      <w:pPr>
        <w:pStyle w:val="ListBullet"/>
      </w:pPr>
      <w:r w:rsidRPr="000B58A3">
        <w:t>an industry workplace or</w:t>
      </w:r>
    </w:p>
    <w:p w:rsidR="00000000" w:rsidRPr="000B58A3" w:rsidP="000B58A3">
      <w:pPr>
        <w:pStyle w:val="ListBullet"/>
      </w:pPr>
      <w:r w:rsidRPr="000B58A3">
        <w:t>a simulated workplace set up for the purpose of skills assessment, that provides services to paying members of the public.</w:t>
      </w:r>
    </w:p>
    <w:p w:rsidR="00000000" w:rsidRPr="000B58A3" w:rsidP="00F34072">
      <w:pPr>
        <w:pStyle w:val="BodyText"/>
      </w:pPr>
      <w:r w:rsidRPr="000B58A3">
        <w:t>A</w:t>
      </w:r>
      <w:r w:rsidRPr="000B58A3">
        <w:t>ssessment must ensure access to:</w:t>
      </w:r>
    </w:p>
    <w:p w:rsidR="00000000" w:rsidRPr="000B58A3" w:rsidP="000B58A3">
      <w:pPr>
        <w:pStyle w:val="ListBullet"/>
      </w:pPr>
      <w:r w:rsidRPr="000B58A3">
        <w:t>paying clients with different transaction requirements, who have the expectation that the services provided reflect those of a commercial business</w:t>
      </w:r>
    </w:p>
    <w:p w:rsidR="00000000" w:rsidRPr="000B58A3" w:rsidP="000B58A3">
      <w:pPr>
        <w:pStyle w:val="ListBullet"/>
      </w:pPr>
      <w:r w:rsidRPr="000B58A3">
        <w:t>relevant workplace documentation:</w:t>
      </w:r>
    </w:p>
    <w:p w:rsidR="00000000" w:rsidRPr="000B58A3" w:rsidP="000B58A3">
      <w:pPr>
        <w:pStyle w:val="ListBullet2"/>
      </w:pPr>
      <w:r w:rsidRPr="000B58A3">
        <w:t>organisational policies and procedures r</w:t>
      </w:r>
      <w:r w:rsidRPr="000B58A3">
        <w:t>elevant to financial transactions</w:t>
      </w:r>
    </w:p>
    <w:p w:rsidR="00000000" w:rsidRPr="000B58A3" w:rsidP="000B58A3">
      <w:pPr>
        <w:pStyle w:val="ListBullet2"/>
      </w:pPr>
      <w:r w:rsidRPr="000B58A3">
        <w:t xml:space="preserve">manufacturer instructions. </w:t>
      </w:r>
    </w:p>
    <w:p w:rsidR="00000000" w:rsidRPr="000B58A3" w:rsidP="00F34072">
      <w:pPr>
        <w:pStyle w:val="BodyText"/>
      </w:pPr>
      <w:r w:rsidRPr="000B58A3">
        <w:t>Assessment must ensure use of:</w:t>
      </w:r>
    </w:p>
    <w:p w:rsidR="00000000" w:rsidRPr="000B58A3" w:rsidP="000B58A3">
      <w:pPr>
        <w:pStyle w:val="ListBullet"/>
      </w:pPr>
      <w:r w:rsidRPr="000B58A3">
        <w:t>computer with salon software system</w:t>
      </w:r>
    </w:p>
    <w:p w:rsidR="00000000" w:rsidRPr="000B58A3" w:rsidP="000B58A3">
      <w:pPr>
        <w:pStyle w:val="ListBullet"/>
      </w:pPr>
      <w:r w:rsidRPr="000B58A3">
        <w:t>point-of-sale equipment that can process credit cards and EFTPOS transactions</w:t>
      </w:r>
    </w:p>
    <w:p w:rsidR="00000000" w:rsidRPr="000B58A3" w:rsidP="000B58A3">
      <w:pPr>
        <w:pStyle w:val="ListBullet"/>
      </w:pPr>
      <w:r w:rsidRPr="000B58A3">
        <w:t>relevant point-of-sale documents:</w:t>
      </w:r>
    </w:p>
    <w:p w:rsidR="00000000" w:rsidRPr="000B58A3" w:rsidP="000B58A3">
      <w:pPr>
        <w:pStyle w:val="ListBullet2"/>
      </w:pPr>
      <w:r w:rsidRPr="000B58A3">
        <w:t>stock,</w:t>
      </w:r>
      <w:r w:rsidRPr="000B58A3">
        <w:t xml:space="preserve"> inventory and price lists</w:t>
      </w:r>
    </w:p>
    <w:p w:rsidR="00000000" w:rsidRPr="000B58A3" w:rsidP="000B58A3">
      <w:pPr>
        <w:pStyle w:val="ListBullet2"/>
      </w:pPr>
      <w:r w:rsidRPr="000B58A3">
        <w:t>financial transaction dockets and slips</w:t>
      </w:r>
    </w:p>
    <w:p w:rsidR="00000000" w:rsidRPr="000B58A3" w:rsidP="000B58A3">
      <w:pPr>
        <w:pStyle w:val="ListBullet2"/>
      </w:pPr>
      <w:r w:rsidRPr="000B58A3">
        <w:t>credit and product return slips</w:t>
      </w:r>
    </w:p>
    <w:p w:rsidR="00000000" w:rsidRPr="000B58A3" w:rsidP="000B58A3">
      <w:pPr>
        <w:pStyle w:val="ListBullet2"/>
      </w:pPr>
      <w:r w:rsidRPr="000B58A3">
        <w:t>sample debit and credit card vouchers.</w:t>
      </w:r>
    </w:p>
    <w:p w:rsidR="00000000" w:rsidRPr="000B58A3" w:rsidP="00F34072">
      <w:pPr>
        <w:pStyle w:val="BodyText"/>
      </w:pPr>
      <w:r w:rsidRPr="000B58A3">
        <w:t>Assessment activities that allow the individual to:</w:t>
      </w:r>
    </w:p>
    <w:p w:rsidR="00000000" w:rsidRPr="000B58A3" w:rsidP="000B58A3">
      <w:pPr>
        <w:pStyle w:val="ListBullet"/>
      </w:pPr>
      <w:r w:rsidRPr="000B58A3">
        <w:t>complete financial transactions within commercially realistic spe</w:t>
      </w:r>
      <w:r w:rsidRPr="000B58A3">
        <w:t xml:space="preserve">ed, timing and productivity </w:t>
      </w:r>
    </w:p>
    <w:p w:rsidR="00000000" w:rsidRPr="000B58A3" w:rsidP="000B58A3">
      <w:pPr>
        <w:pStyle w:val="ListBullet"/>
      </w:pPr>
      <w:r w:rsidRPr="000B58A3">
        <w:t xml:space="preserve">demonstrate competency in an environment reflective of real work situations </w:t>
      </w:r>
    </w:p>
    <w:p w:rsidR="00000000" w:rsidRPr="000B58A3" w:rsidP="000B58A3">
      <w:pPr>
        <w:pStyle w:val="ListBullet"/>
      </w:pPr>
      <w:r w:rsidRPr="000B58A3">
        <w:t>manage tasks and contingencies in the context of the job role.</w:t>
      </w:r>
    </w:p>
    <w:p w:rsidR="00000000" w:rsidRPr="000B58A3" w:rsidP="00F34072">
      <w:pPr>
        <w:pStyle w:val="BodyText"/>
      </w:pPr>
      <w:r w:rsidRPr="000B58A3">
        <w:t>Assessors must satisfy the Standards for Registered Training Organisations’ requirement</w:t>
      </w:r>
      <w:r w:rsidRPr="000B58A3">
        <w:t>s for assessors.</w:t>
      </w:r>
    </w:p>
    <w:p w:rsidR="00000000" w:rsidRPr="000B58A3" w:rsidP="000B58A3">
      <w:pPr>
        <w:pStyle w:val="Heading1"/>
      </w:pPr>
      <w:bookmarkStart w:id="5" w:name="O_1204359"/>
      <w:bookmarkEnd w:id="5"/>
      <w:r w:rsidRPr="000B58A3">
        <w:t>Links</w:t>
      </w:r>
    </w:p>
    <w:p w:rsidR="00000000" w:rsidRPr="000B58A3" w:rsidP="00F34072">
      <w:pPr>
        <w:pStyle w:val="BodyText"/>
      </w:pPr>
      <w:r w:rsidRPr="000B5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6406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B58A3" w:rsidP="000B58A3"/>
    <w:sectPr w:rsidSect="000B5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A3" w:rsidRPr="00F34072" w:rsidP="00F34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72" w:rsidP="000B5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072" w:rsidP="000B5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4072" w:rsidP="000B5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8A3" w:rsidRPr="00F34072" w:rsidP="00F34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72" w:rsidRPr="002D2AF8" w:rsidP="000B5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SHBXCCS007 Conduct salon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34072" w:rsidP="000B5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0A9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82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EAB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8A3"/>
  </w:style>
  <w:style w:type="character" w:customStyle="1" w:styleId="Heading1Char">
    <w:name w:val="Heading 1 Char"/>
    <w:basedOn w:val="DefaultParagraphFont"/>
    <w:link w:val="Heading1"/>
    <w:rsid w:val="000B5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8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8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58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5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8A3"/>
    <w:rPr>
      <w:b/>
      <w:spacing w:val="0"/>
    </w:rPr>
  </w:style>
  <w:style w:type="paragraph" w:customStyle="1" w:styleId="SuperTitle">
    <w:name w:val="SuperTitle"/>
    <w:basedOn w:val="Title"/>
    <w:rsid w:val="000B5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8A3"/>
    <w:rPr>
      <w:i/>
    </w:rPr>
  </w:style>
  <w:style w:type="paragraph" w:styleId="Caption">
    <w:name w:val="caption"/>
    <w:basedOn w:val="BodyText"/>
    <w:next w:val="Normal"/>
    <w:qFormat/>
    <w:rsid w:val="000B5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8A3"/>
  </w:style>
  <w:style w:type="paragraph" w:styleId="TableofFigures">
    <w:name w:val="table of figures"/>
    <w:basedOn w:val="Normal"/>
    <w:next w:val="Normal"/>
    <w:semiHidden/>
    <w:rsid w:val="000B5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8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58A3"/>
    <w:rPr>
      <w:rFonts w:ascii="Wingdings" w:hAnsi="Wingdings"/>
    </w:rPr>
  </w:style>
  <w:style w:type="paragraph" w:customStyle="1" w:styleId="TableHeading">
    <w:name w:val="Table Heading"/>
    <w:basedOn w:val="HeadingBase"/>
    <w:rsid w:val="000B5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8A3"/>
    <w:rPr>
      <w:color w:val="0033CC"/>
      <w:u w:val="none"/>
    </w:rPr>
  </w:style>
  <w:style w:type="paragraph" w:customStyle="1" w:styleId="BodyTextRight">
    <w:name w:val="Body Text Right"/>
    <w:basedOn w:val="BodyText"/>
    <w:rsid w:val="000B5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8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8A3"/>
    <w:rPr>
      <w:sz w:val="32"/>
    </w:rPr>
  </w:style>
  <w:style w:type="paragraph" w:customStyle="1" w:styleId="HeadingProcedure">
    <w:name w:val="Heading Procedure"/>
    <w:basedOn w:val="HeadingBase"/>
    <w:next w:val="Normal"/>
    <w:rsid w:val="000B5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8A3"/>
    <w:pPr>
      <w:spacing w:before="60" w:after="60"/>
    </w:pPr>
  </w:style>
  <w:style w:type="paragraph" w:styleId="ListContinue">
    <w:name w:val="List Continue"/>
    <w:basedOn w:val="List"/>
    <w:rsid w:val="000B58A3"/>
    <w:pPr>
      <w:ind w:firstLine="0"/>
    </w:pPr>
  </w:style>
  <w:style w:type="paragraph" w:customStyle="1" w:styleId="ListNote">
    <w:name w:val="List Note"/>
    <w:basedOn w:val="List"/>
    <w:rsid w:val="000B5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8A3"/>
    <w:rPr>
      <w:rFonts w:ascii="Courier New" w:hAnsi="Courier New"/>
    </w:rPr>
  </w:style>
  <w:style w:type="paragraph" w:customStyle="1" w:styleId="NoteBullet">
    <w:name w:val="Note Bullet"/>
    <w:basedOn w:val="Note"/>
    <w:rsid w:val="000B5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8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5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8A3"/>
    <w:rPr>
      <w:b/>
      <w:smallCaps/>
    </w:rPr>
  </w:style>
  <w:style w:type="paragraph" w:customStyle="1" w:styleId="TableListNumber">
    <w:name w:val="Table List Number"/>
    <w:basedOn w:val="ListNumber"/>
    <w:rsid w:val="000B5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8A3"/>
    <w:pPr>
      <w:numPr>
        <w:numId w:val="10"/>
      </w:numPr>
    </w:pPr>
  </w:style>
  <w:style w:type="paragraph" w:customStyle="1" w:styleId="ListAlpha2">
    <w:name w:val="List Alpha 2"/>
    <w:basedOn w:val="List2"/>
    <w:rsid w:val="000B58A3"/>
    <w:pPr>
      <w:numPr>
        <w:numId w:val="9"/>
      </w:numPr>
    </w:pPr>
  </w:style>
  <w:style w:type="paragraph" w:styleId="List2">
    <w:name w:val="List 2"/>
    <w:basedOn w:val="BodyText"/>
    <w:rsid w:val="000B5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8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58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58A3"/>
    <w:pPr>
      <w:numPr>
        <w:numId w:val="5"/>
      </w:numPr>
    </w:pPr>
  </w:style>
  <w:style w:type="paragraph" w:styleId="ListContinue2">
    <w:name w:val="List Continue 2"/>
    <w:basedOn w:val="List2"/>
    <w:rsid w:val="000B58A3"/>
    <w:pPr>
      <w:ind w:firstLine="0"/>
    </w:pPr>
  </w:style>
  <w:style w:type="paragraph" w:styleId="ListContinue3">
    <w:name w:val="List Continue 3"/>
    <w:basedOn w:val="List3"/>
    <w:rsid w:val="000B58A3"/>
    <w:pPr>
      <w:ind w:left="1021" w:firstLine="0"/>
    </w:pPr>
  </w:style>
  <w:style w:type="paragraph" w:styleId="ListContinue4">
    <w:name w:val="List Continue 4"/>
    <w:basedOn w:val="List4"/>
    <w:rsid w:val="000B58A3"/>
    <w:pPr>
      <w:ind w:firstLine="0"/>
    </w:pPr>
  </w:style>
  <w:style w:type="paragraph" w:styleId="ListContinue5">
    <w:name w:val="List Continue 5"/>
    <w:basedOn w:val="List5"/>
    <w:rsid w:val="000B58A3"/>
    <w:pPr>
      <w:ind w:firstLine="0"/>
    </w:pPr>
  </w:style>
  <w:style w:type="paragraph" w:styleId="ListNumber3">
    <w:name w:val="List Number 3"/>
    <w:basedOn w:val="List3"/>
    <w:rsid w:val="000B58A3"/>
    <w:pPr>
      <w:numPr>
        <w:numId w:val="6"/>
      </w:numPr>
    </w:pPr>
  </w:style>
  <w:style w:type="paragraph" w:styleId="ListNumber4">
    <w:name w:val="List Number 4"/>
    <w:basedOn w:val="List4"/>
    <w:rsid w:val="000B58A3"/>
    <w:pPr>
      <w:numPr>
        <w:numId w:val="7"/>
      </w:numPr>
    </w:pPr>
  </w:style>
  <w:style w:type="paragraph" w:styleId="ListNumber5">
    <w:name w:val="List Number 5"/>
    <w:basedOn w:val="List5"/>
    <w:rsid w:val="000B58A3"/>
    <w:pPr>
      <w:numPr>
        <w:numId w:val="8"/>
      </w:numPr>
    </w:pPr>
  </w:style>
  <w:style w:type="paragraph" w:styleId="BlockText">
    <w:name w:val="Block Text"/>
    <w:basedOn w:val="Normal"/>
    <w:rsid w:val="000B5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8A3"/>
    <w:rPr>
      <w:sz w:val="16"/>
      <w:vertAlign w:val="superscript"/>
    </w:rPr>
  </w:style>
  <w:style w:type="character" w:customStyle="1" w:styleId="Symbols">
    <w:name w:val="Symbols"/>
    <w:basedOn w:val="DefaultParagraphFont"/>
    <w:rsid w:val="000B58A3"/>
    <w:rPr>
      <w:rFonts w:ascii="Symbol" w:hAnsi="Symbol"/>
    </w:rPr>
  </w:style>
  <w:style w:type="character" w:customStyle="1" w:styleId="MenuOptions">
    <w:name w:val="Menu Options"/>
    <w:basedOn w:val="DefaultParagraphFont"/>
    <w:rsid w:val="000B5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8A3"/>
    <w:rPr>
      <w:b/>
    </w:rPr>
  </w:style>
  <w:style w:type="character" w:customStyle="1" w:styleId="Underlined">
    <w:name w:val="Underlined"/>
    <w:basedOn w:val="DefaultParagraphFont"/>
    <w:rsid w:val="000B58A3"/>
    <w:rPr>
      <w:u w:val="single"/>
    </w:rPr>
  </w:style>
  <w:style w:type="paragraph" w:customStyle="1" w:styleId="TableBodyTextRight">
    <w:name w:val="Table Body Text Right"/>
    <w:basedOn w:val="TableBodyText"/>
    <w:rsid w:val="000B5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8A3"/>
    <w:rPr>
      <w:sz w:val="18"/>
    </w:rPr>
  </w:style>
  <w:style w:type="paragraph" w:customStyle="1" w:styleId="BodySmallRight">
    <w:name w:val="Body Small Right"/>
    <w:basedOn w:val="BodyTextRight"/>
    <w:rsid w:val="000B58A3"/>
    <w:rPr>
      <w:sz w:val="18"/>
      <w:szCs w:val="18"/>
    </w:rPr>
  </w:style>
  <w:style w:type="paragraph" w:customStyle="1" w:styleId="MarginEdition">
    <w:name w:val="Margin Edition"/>
    <w:basedOn w:val="MarginNote"/>
    <w:rsid w:val="000B5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8A3"/>
    <w:rPr>
      <w:sz w:val="2"/>
      <w:szCs w:val="2"/>
    </w:rPr>
  </w:style>
  <w:style w:type="character" w:customStyle="1" w:styleId="Small">
    <w:name w:val="Small"/>
    <w:basedOn w:val="DefaultParagraphFont"/>
    <w:rsid w:val="000B58A3"/>
    <w:rPr>
      <w:sz w:val="16"/>
    </w:rPr>
  </w:style>
  <w:style w:type="paragraph" w:customStyle="1" w:styleId="WideTable">
    <w:name w:val="Wide Table"/>
    <w:basedOn w:val="Normal"/>
    <w:rsid w:val="000B5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8A3"/>
  </w:style>
  <w:style w:type="paragraph" w:styleId="Quote">
    <w:name w:val="Quote"/>
    <w:basedOn w:val="Heading1"/>
    <w:link w:val="QuoteChar"/>
    <w:qFormat/>
    <w:rsid w:val="000B5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8A3"/>
    <w:pPr>
      <w:pageBreakBefore/>
    </w:pPr>
  </w:style>
  <w:style w:type="paragraph" w:customStyle="1" w:styleId="Border">
    <w:name w:val="Border"/>
    <w:basedOn w:val="Normal"/>
    <w:qFormat/>
    <w:rsid w:val="000B5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8A3"/>
    <w:rPr>
      <w:u w:val="single"/>
    </w:rPr>
  </w:style>
  <w:style w:type="character" w:customStyle="1" w:styleId="BoldandItalics">
    <w:name w:val="Bold and Italics"/>
    <w:qFormat/>
    <w:rsid w:val="000B58A3"/>
    <w:rPr>
      <w:b/>
      <w:i/>
      <w:u w:val="none"/>
    </w:rPr>
  </w:style>
  <w:style w:type="paragraph" w:styleId="BalloonText">
    <w:name w:val="Balloon Text"/>
    <w:basedOn w:val="Normal"/>
    <w:link w:val="BalloonTextChar"/>
    <w:rsid w:val="000B5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8A3"/>
    <w:pPr>
      <w:spacing w:before="0" w:after="0"/>
    </w:pPr>
  </w:style>
  <w:style w:type="paragraph" w:customStyle="1" w:styleId="BodyTextBold">
    <w:name w:val="Body Text Bold"/>
    <w:basedOn w:val="BodyText"/>
    <w:qFormat/>
    <w:rsid w:val="000B58A3"/>
    <w:rPr>
      <w:b/>
    </w:rPr>
  </w:style>
  <w:style w:type="character" w:styleId="Hyperlink">
    <w:name w:val="Hyperlink"/>
    <w:basedOn w:val="DefaultParagraphFont"/>
    <w:uiPriority w:val="99"/>
    <w:unhideWhenUsed/>
    <w:rsid w:val="00F34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3144</Characters>
  <Application>Microsoft Office Word</Application>
  <DocSecurity>0</DocSecurity>
  <Lines>95</Lines>
  <Paragraphs>87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SHBXCCS007 Conduct salon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