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196" w:rsidP="00815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SHBBSKT010 Provide skin needling treatments</w:t>
      </w:r>
      <w:r>
        <w:fldChar w:fldCharType="end"/>
      </w:r>
    </w:p>
    <w:p w:rsidR="00815196" w:rsidP="00815196">
      <w:pPr>
        <w:pStyle w:val="Version"/>
        <w:sectPr w:rsidSect="00215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5EFE" w:rsidP="00215EFE">
      <w:pPr>
        <w:pStyle w:val="SuperHeading"/>
      </w:pPr>
      <w:r w:rsidRPr="00215EFE">
        <w:t>Assessment Requirements for SHBBSKT010 Provide skin needling treatments</w:t>
      </w:r>
    </w:p>
    <w:p w:rsidR="00000000" w:rsidRPr="00215EFE" w:rsidP="00215EFE">
      <w:pPr>
        <w:pStyle w:val="Heading1"/>
      </w:pPr>
      <w:bookmarkStart w:id="1" w:name="O_1236225"/>
      <w:bookmarkEnd w:id="1"/>
      <w:r w:rsidRPr="00215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34"/>
      </w:tblGrid>
      <w:tr w:rsidTr="00815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FE">
            <w:pPr>
              <w:pStyle w:val="BodyText"/>
              <w:rPr>
                <w:lang w:val="en-NZ"/>
              </w:rPr>
            </w:pPr>
            <w:r w:rsidRPr="00215EFE">
              <w:t>Release 2</w:t>
            </w:r>
          </w:p>
        </w:tc>
        <w:tc>
          <w:tcPr>
            <w:tcW w:w="7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FE">
            <w:pPr>
              <w:pStyle w:val="BodyText"/>
              <w:rPr>
                <w:lang w:val="en-NZ"/>
              </w:rPr>
            </w:pPr>
            <w:r w:rsidRPr="00215EFE">
              <w:t>Minor correction to Performance Evidence.</w:t>
            </w:r>
          </w:p>
        </w:tc>
      </w:tr>
      <w:tr w:rsidTr="00815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FE">
            <w:pPr>
              <w:pStyle w:val="BodyText"/>
              <w:rPr>
                <w:lang w:val="en-NZ"/>
              </w:rPr>
            </w:pPr>
            <w:r w:rsidRPr="00215EFE">
              <w:t>Release 1</w:t>
            </w:r>
          </w:p>
        </w:tc>
        <w:tc>
          <w:tcPr>
            <w:tcW w:w="7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FE" w:rsidP="00215EFE">
            <w:pPr>
              <w:pStyle w:val="BodyText"/>
            </w:pPr>
            <w:r w:rsidRPr="00215EFE">
              <w:t>No equivalent unit.</w:t>
            </w:r>
          </w:p>
        </w:tc>
      </w:tr>
    </w:tbl>
    <w:p w:rsidR="00000000" w:rsidRPr="00215EFE" w:rsidP="00215EFE">
      <w:pPr>
        <w:pStyle w:val="BodyText"/>
      </w:pPr>
    </w:p>
    <w:p w:rsidR="00000000" w:rsidRPr="00215EFE" w:rsidP="00215EFE">
      <w:pPr>
        <w:pStyle w:val="AllowPageBreak"/>
      </w:pPr>
    </w:p>
    <w:p w:rsidR="00000000" w:rsidRPr="00215EFE" w:rsidP="00215EFE">
      <w:pPr>
        <w:pStyle w:val="Heading1"/>
      </w:pPr>
      <w:bookmarkStart w:id="2" w:name="O_1236224"/>
      <w:bookmarkEnd w:id="2"/>
      <w:r w:rsidRPr="00215EFE">
        <w:t>Performance Evidence</w:t>
      </w:r>
    </w:p>
    <w:p w:rsidR="00000000" w:rsidRPr="00215EFE" w:rsidP="00815196">
      <w:pPr>
        <w:pStyle w:val="BodyText"/>
      </w:pPr>
      <w:r w:rsidRPr="00215EFE">
        <w:t>Evidence of the ability to complete tasks outlined in elements and performance criteria of this unit in the context of the job role, and:</w:t>
      </w:r>
    </w:p>
    <w:p w:rsidR="00000000" w:rsidRPr="00215EFE" w:rsidP="00215EFE">
      <w:pPr>
        <w:pStyle w:val="ListBullet"/>
      </w:pPr>
      <w:r w:rsidRPr="00215EFE">
        <w:t xml:space="preserve">analyse the skin of three different clients to determine suitability for treatment </w:t>
      </w:r>
    </w:p>
    <w:p w:rsidR="00000000" w:rsidRPr="00215EFE" w:rsidP="00215EFE">
      <w:pPr>
        <w:pStyle w:val="ListBullet"/>
      </w:pPr>
      <w:r w:rsidRPr="00215EFE">
        <w:t>discuss and confirm proposed trea</w:t>
      </w:r>
      <w:r w:rsidRPr="00215EFE">
        <w:t>tment plan with three different clients with varying skin conditions</w:t>
      </w:r>
    </w:p>
    <w:p w:rsidR="00000000" w:rsidRPr="00215EFE" w:rsidP="00215EFE">
      <w:pPr>
        <w:pStyle w:val="ListBullet"/>
      </w:pPr>
      <w:r w:rsidRPr="00215EFE">
        <w:t>develop or modify treatment plan in agreement with clients</w:t>
      </w:r>
    </w:p>
    <w:p w:rsidR="00000000" w:rsidRPr="00215EFE" w:rsidP="00215EFE">
      <w:pPr>
        <w:pStyle w:val="ListBullet"/>
      </w:pPr>
      <w:r w:rsidRPr="00215EFE">
        <w:t>perform epidermal skin needling treatment on three clients</w:t>
      </w:r>
    </w:p>
    <w:p w:rsidR="00000000" w:rsidRPr="00215EFE" w:rsidP="00215EFE">
      <w:pPr>
        <w:pStyle w:val="ListBullet"/>
      </w:pPr>
      <w:r w:rsidRPr="00215EFE">
        <w:t>for each of the above:</w:t>
      </w:r>
    </w:p>
    <w:p w:rsidR="00000000" w:rsidRPr="00215EFE" w:rsidP="00215EFE">
      <w:pPr>
        <w:pStyle w:val="ListBullet2"/>
      </w:pPr>
      <w:r w:rsidRPr="00215EFE">
        <w:t xml:space="preserve">advise clients on appropriate client care and precautionary requirements </w:t>
      </w:r>
    </w:p>
    <w:p w:rsidR="00000000" w:rsidRPr="00215EFE" w:rsidP="00215EFE">
      <w:pPr>
        <w:pStyle w:val="ListBullet2"/>
      </w:pPr>
      <w:r w:rsidRPr="00215EFE">
        <w:t>record treatment and adjust treatment plan to reflect treatment and outcomes for each client.</w:t>
      </w:r>
    </w:p>
    <w:p w:rsidR="00000000" w:rsidRPr="00215EFE" w:rsidP="00215EFE">
      <w:pPr>
        <w:pStyle w:val="AllowPageBreak"/>
      </w:pPr>
    </w:p>
    <w:p w:rsidR="00000000" w:rsidRPr="00215EFE" w:rsidP="00215EFE">
      <w:pPr>
        <w:pStyle w:val="Heading1"/>
      </w:pPr>
      <w:bookmarkStart w:id="3" w:name="O_1236223"/>
      <w:bookmarkEnd w:id="3"/>
      <w:r w:rsidRPr="00215EFE">
        <w:t>Knowledge Evidence</w:t>
      </w:r>
    </w:p>
    <w:p w:rsidR="00000000" w:rsidRPr="00215EFE" w:rsidP="00815196">
      <w:pPr>
        <w:pStyle w:val="BodyText"/>
      </w:pPr>
      <w:r w:rsidRPr="00215EFE">
        <w:t>Demonstrated knowledge required to complete the ta</w:t>
      </w:r>
      <w:r w:rsidRPr="00215EFE">
        <w:t>sks outlined in elements and performance criteria of this unit:</w:t>
      </w:r>
    </w:p>
    <w:p w:rsidR="00000000" w:rsidRPr="00215EFE" w:rsidP="00215EFE">
      <w:pPr>
        <w:pStyle w:val="ListBullet"/>
      </w:pPr>
      <w:r w:rsidRPr="00215EFE">
        <w:t>federal, state or territory, and local Acts and regulations relating to skin penetration and health regulations and guidelines</w:t>
      </w:r>
    </w:p>
    <w:p w:rsidR="00000000" w:rsidRPr="00215EFE" w:rsidP="00215EFE">
      <w:pPr>
        <w:pStyle w:val="ListBullet"/>
      </w:pPr>
      <w:r w:rsidRPr="00215EFE">
        <w:t>relevant state and territory regulations and guidelines relating</w:t>
      </w:r>
      <w:r w:rsidRPr="00215EFE">
        <w:t xml:space="preserve"> to the supply and use of topical anaesthetics</w:t>
      </w:r>
    </w:p>
    <w:p w:rsidR="00000000" w:rsidRPr="00215EFE" w:rsidP="00215EFE">
      <w:pPr>
        <w:pStyle w:val="ListBullet"/>
      </w:pPr>
      <w:r w:rsidRPr="00215EFE">
        <w:t>infection control procedures and application of universal precautions as they apply to the provision of a skin needling treatment</w:t>
      </w:r>
    </w:p>
    <w:p w:rsidR="00000000" w:rsidRPr="00215EFE" w:rsidP="00215EFE">
      <w:pPr>
        <w:pStyle w:val="ListBullet"/>
      </w:pPr>
      <w:r w:rsidRPr="00215EFE">
        <w:t>organisation policies and procedures in regard to skin needling treatments</w:t>
      </w:r>
    </w:p>
    <w:p w:rsidR="00000000" w:rsidRPr="00215EFE" w:rsidP="00215EFE">
      <w:pPr>
        <w:pStyle w:val="ListBullet"/>
      </w:pPr>
      <w:r w:rsidRPr="00215EFE">
        <w:t>oper</w:t>
      </w:r>
      <w:r w:rsidRPr="00215EFE">
        <w:t>ator’s legal and insurance liabilities and responsibilities in regard to skin needling</w:t>
      </w:r>
    </w:p>
    <w:p w:rsidR="00000000" w:rsidRPr="00215EFE" w:rsidP="00215EFE">
      <w:pPr>
        <w:pStyle w:val="ListBullet"/>
      </w:pPr>
      <w:r w:rsidRPr="00215EFE">
        <w:t>scope of practice for skin therapists</w:t>
      </w:r>
    </w:p>
    <w:p w:rsidR="00000000" w:rsidRPr="00215EFE" w:rsidP="00215EFE">
      <w:pPr>
        <w:pStyle w:val="ListBullet"/>
      </w:pPr>
      <w:r w:rsidRPr="00215EFE">
        <w:t>devices:</w:t>
      </w:r>
    </w:p>
    <w:p w:rsidR="00000000" w:rsidRPr="00215EFE" w:rsidP="00215EFE">
      <w:pPr>
        <w:pStyle w:val="ListBullet2"/>
      </w:pPr>
      <w:r w:rsidRPr="00215EFE">
        <w:t>TGA approval</w:t>
      </w:r>
    </w:p>
    <w:p w:rsidR="00000000" w:rsidRPr="00215EFE" w:rsidP="00215EFE">
      <w:pPr>
        <w:pStyle w:val="ListBullet2"/>
      </w:pPr>
      <w:r w:rsidRPr="00215EFE">
        <w:t>needle depth</w:t>
      </w:r>
    </w:p>
    <w:p w:rsidR="00000000" w:rsidRPr="00215EFE" w:rsidP="00215EFE">
      <w:pPr>
        <w:pStyle w:val="ListBullet2"/>
      </w:pPr>
      <w:r w:rsidRPr="00215EFE">
        <w:t>number of needles</w:t>
      </w:r>
    </w:p>
    <w:p w:rsidR="00000000" w:rsidRPr="00215EFE" w:rsidP="00215EFE">
      <w:pPr>
        <w:pStyle w:val="ListBullet2"/>
      </w:pPr>
      <w:r w:rsidRPr="00215EFE">
        <w:t>type:</w:t>
      </w:r>
    </w:p>
    <w:p w:rsidR="00000000" w:rsidRPr="00215EFE" w:rsidP="00215EFE">
      <w:pPr>
        <w:pStyle w:val="ListBullet3"/>
      </w:pPr>
      <w:r w:rsidRPr="00215EFE">
        <w:t xml:space="preserve">pen </w:t>
      </w:r>
    </w:p>
    <w:p w:rsidR="00000000" w:rsidRPr="00215EFE" w:rsidP="00215EFE">
      <w:pPr>
        <w:pStyle w:val="ListBullet3"/>
      </w:pPr>
      <w:r w:rsidRPr="00215EFE">
        <w:t>stamp</w:t>
      </w:r>
    </w:p>
    <w:p w:rsidR="00000000" w:rsidRPr="00215EFE" w:rsidP="00215EFE">
      <w:pPr>
        <w:pStyle w:val="ListBullet3"/>
      </w:pPr>
      <w:r w:rsidRPr="00215EFE">
        <w:t xml:space="preserve">roller </w:t>
      </w:r>
    </w:p>
    <w:p w:rsidR="00000000" w:rsidRPr="00215EFE" w:rsidP="00215EFE">
      <w:pPr>
        <w:pStyle w:val="ListBullet3"/>
      </w:pPr>
      <w:r w:rsidRPr="00215EFE">
        <w:t xml:space="preserve">tattoo devices </w:t>
      </w:r>
    </w:p>
    <w:p w:rsidR="00000000" w:rsidRPr="00215EFE" w:rsidP="00215EFE">
      <w:pPr>
        <w:pStyle w:val="ListBullet"/>
      </w:pPr>
      <w:r w:rsidRPr="00215EFE">
        <w:t>factors to consider when choosing skin needling technology:</w:t>
      </w:r>
    </w:p>
    <w:p w:rsidR="00000000" w:rsidRPr="00215EFE" w:rsidP="00215EFE">
      <w:pPr>
        <w:pStyle w:val="ListBullet2"/>
      </w:pPr>
      <w:r w:rsidRPr="00215EFE">
        <w:t>scope of practice</w:t>
      </w:r>
    </w:p>
    <w:p w:rsidR="00000000" w:rsidRPr="00215EFE" w:rsidP="00215EFE">
      <w:pPr>
        <w:pStyle w:val="ListBullet2"/>
      </w:pPr>
      <w:r w:rsidRPr="00215EFE">
        <w:t>number of passes</w:t>
      </w:r>
    </w:p>
    <w:p w:rsidR="00000000" w:rsidRPr="00215EFE" w:rsidP="00215EFE">
      <w:pPr>
        <w:pStyle w:val="ListBullet2"/>
      </w:pPr>
      <w:r w:rsidRPr="00215EFE">
        <w:t xml:space="preserve">technique </w:t>
      </w:r>
    </w:p>
    <w:p w:rsidR="00000000" w:rsidRPr="00215EFE" w:rsidP="00215EFE">
      <w:pPr>
        <w:pStyle w:val="ListBullet2"/>
      </w:pPr>
      <w:r w:rsidRPr="00215EFE">
        <w:t>disposable, sterile, pre-packed rollers</w:t>
      </w:r>
    </w:p>
    <w:p w:rsidR="00000000" w:rsidRPr="00215EFE" w:rsidP="00215EFE">
      <w:pPr>
        <w:pStyle w:val="ListBullet2"/>
      </w:pPr>
      <w:r w:rsidRPr="00215EFE">
        <w:t>grade of steel used in needle</w:t>
      </w:r>
    </w:p>
    <w:p w:rsidR="00000000" w:rsidRPr="00215EFE" w:rsidP="00215EFE">
      <w:pPr>
        <w:pStyle w:val="ListBullet2"/>
      </w:pPr>
      <w:r w:rsidRPr="00215EFE">
        <w:t>length of needle up to 1.0mm</w:t>
      </w:r>
    </w:p>
    <w:p w:rsidR="00000000" w:rsidRPr="00215EFE" w:rsidP="00215EFE">
      <w:pPr>
        <w:pStyle w:val="ListBullet"/>
      </w:pPr>
      <w:r w:rsidRPr="00215EFE">
        <w:t>factors affecting use of topical anaesthetic:</w:t>
      </w:r>
    </w:p>
    <w:p w:rsidR="00000000" w:rsidRPr="00215EFE" w:rsidP="00215EFE">
      <w:pPr>
        <w:pStyle w:val="ListBullet2"/>
      </w:pPr>
      <w:r w:rsidRPr="00215EFE">
        <w:t>concentration of active ingredient</w:t>
      </w:r>
    </w:p>
    <w:p w:rsidR="00000000" w:rsidRPr="00215EFE" w:rsidP="00215EFE">
      <w:pPr>
        <w:pStyle w:val="ListBullet2"/>
      </w:pPr>
      <w:r w:rsidRPr="00215EFE">
        <w:t>toxicity risks and management</w:t>
      </w:r>
    </w:p>
    <w:p w:rsidR="00000000" w:rsidRPr="00215EFE" w:rsidP="00215EFE">
      <w:pPr>
        <w:pStyle w:val="ListBullet2"/>
      </w:pPr>
      <w:r w:rsidRPr="00215EFE">
        <w:t>safe use and disposal</w:t>
      </w:r>
    </w:p>
    <w:p w:rsidR="00000000" w:rsidRPr="00215EFE" w:rsidP="00215EFE">
      <w:pPr>
        <w:pStyle w:val="ListBullet2"/>
      </w:pPr>
      <w:r w:rsidRPr="00215EFE">
        <w:t>scope of practice</w:t>
      </w:r>
    </w:p>
    <w:p w:rsidR="00000000" w:rsidRPr="00215EFE" w:rsidP="00215EFE">
      <w:pPr>
        <w:pStyle w:val="ListBullet"/>
      </w:pPr>
      <w:r w:rsidRPr="00215EFE">
        <w:t>indications for treatment:</w:t>
      </w:r>
    </w:p>
    <w:p w:rsidR="00000000" w:rsidRPr="00215EFE" w:rsidP="00215EFE">
      <w:pPr>
        <w:pStyle w:val="ListBullet2"/>
      </w:pPr>
      <w:r w:rsidRPr="00215EFE">
        <w:t>textural improvement of the skin</w:t>
      </w:r>
    </w:p>
    <w:p w:rsidR="00000000" w:rsidRPr="00215EFE" w:rsidP="00215EFE">
      <w:pPr>
        <w:pStyle w:val="ListBullet2"/>
      </w:pPr>
      <w:r w:rsidRPr="00215EFE">
        <w:t>mild hyperpigmentation</w:t>
      </w:r>
    </w:p>
    <w:p w:rsidR="00000000" w:rsidRPr="00215EFE" w:rsidP="00215EFE">
      <w:pPr>
        <w:pStyle w:val="ListBullet2"/>
      </w:pPr>
      <w:r w:rsidRPr="00215EFE">
        <w:t xml:space="preserve">improving the appearance superficial scars </w:t>
      </w:r>
    </w:p>
    <w:p w:rsidR="00000000" w:rsidRPr="00215EFE" w:rsidP="00215EFE">
      <w:pPr>
        <w:pStyle w:val="ListBullet2"/>
      </w:pPr>
      <w:r w:rsidRPr="00215EFE">
        <w:t>sun-damaged skin</w:t>
      </w:r>
    </w:p>
    <w:p w:rsidR="00000000" w:rsidRPr="00215EFE" w:rsidP="00215EFE">
      <w:pPr>
        <w:pStyle w:val="ListBullet2"/>
      </w:pPr>
      <w:r w:rsidRPr="00215EFE">
        <w:t xml:space="preserve">fine </w:t>
      </w:r>
      <w:r w:rsidRPr="00215EFE">
        <w:t xml:space="preserve">wrinkling </w:t>
      </w:r>
    </w:p>
    <w:p w:rsidR="00000000" w:rsidRPr="00215EFE" w:rsidP="00215EFE">
      <w:pPr>
        <w:pStyle w:val="ListBullet"/>
      </w:pPr>
      <w:r w:rsidRPr="00215EFE">
        <w:t>contraindications to treatment:</w:t>
      </w:r>
    </w:p>
    <w:p w:rsidR="00000000" w:rsidRPr="00215EFE" w:rsidP="00215EFE">
      <w:pPr>
        <w:pStyle w:val="ListBullet2"/>
      </w:pPr>
      <w:r w:rsidRPr="00215EFE">
        <w:t>infection and raised temperature</w:t>
      </w:r>
    </w:p>
    <w:p w:rsidR="00000000" w:rsidRPr="00215EFE" w:rsidP="00215EFE">
      <w:pPr>
        <w:pStyle w:val="ListBullet2"/>
      </w:pPr>
      <w:r w:rsidRPr="00215EFE">
        <w:t>aged skin which bruises easily</w:t>
      </w:r>
    </w:p>
    <w:p w:rsidR="00000000" w:rsidRPr="00215EFE" w:rsidP="00215EFE">
      <w:pPr>
        <w:pStyle w:val="ListBullet2"/>
      </w:pPr>
      <w:r w:rsidRPr="00215EFE">
        <w:t>active acne</w:t>
      </w:r>
    </w:p>
    <w:p w:rsidR="00000000" w:rsidRPr="00215EFE" w:rsidP="00215EFE">
      <w:pPr>
        <w:pStyle w:val="ListBullet2"/>
      </w:pPr>
      <w:r w:rsidRPr="00215EFE">
        <w:t>isotretinoin treatment within last six months</w:t>
      </w:r>
    </w:p>
    <w:p w:rsidR="00000000" w:rsidRPr="00215EFE" w:rsidP="00215EFE">
      <w:pPr>
        <w:pStyle w:val="ListBullet2"/>
      </w:pPr>
      <w:r w:rsidRPr="00215EFE">
        <w:t>blood thinning medications</w:t>
      </w:r>
    </w:p>
    <w:p w:rsidR="00000000" w:rsidRPr="00215EFE" w:rsidP="00215EFE">
      <w:pPr>
        <w:pStyle w:val="ListBullet2"/>
      </w:pPr>
      <w:r w:rsidRPr="00215EFE">
        <w:t>blood clotting disorders</w:t>
      </w:r>
    </w:p>
    <w:p w:rsidR="00000000" w:rsidRPr="00215EFE" w:rsidP="00215EFE">
      <w:pPr>
        <w:pStyle w:val="ListBullet2"/>
      </w:pPr>
      <w:r w:rsidRPr="00215EFE">
        <w:t>herpes simplex or other infection or chronic skin condition in area to be treated</w:t>
      </w:r>
    </w:p>
    <w:p w:rsidR="00000000" w:rsidRPr="00215EFE" w:rsidP="00215EFE">
      <w:pPr>
        <w:pStyle w:val="ListBullet2"/>
      </w:pPr>
      <w:r w:rsidRPr="00215EFE">
        <w:t>skin in treatment area that is numb or lacks sensation</w:t>
      </w:r>
    </w:p>
    <w:p w:rsidR="00000000" w:rsidRPr="00215EFE" w:rsidP="00215EFE">
      <w:pPr>
        <w:pStyle w:val="ListBullet2"/>
      </w:pPr>
      <w:r w:rsidRPr="00215EFE">
        <w:t>history of keloid or hypertrophic scars or poor wound healing</w:t>
      </w:r>
    </w:p>
    <w:p w:rsidR="00000000" w:rsidRPr="00215EFE" w:rsidP="00215EFE">
      <w:pPr>
        <w:pStyle w:val="ListBullet"/>
      </w:pPr>
      <w:r w:rsidRPr="00215EFE">
        <w:t>contraindications which require medical clearance:</w:t>
      </w:r>
    </w:p>
    <w:p w:rsidR="00000000" w:rsidRPr="00215EFE" w:rsidP="00215EFE">
      <w:pPr>
        <w:pStyle w:val="ListBullet2"/>
      </w:pPr>
      <w:r w:rsidRPr="00215EFE">
        <w:t>skin</w:t>
      </w:r>
      <w:r w:rsidRPr="00215EFE">
        <w:t xml:space="preserve"> cancer treatments in the area to be treated</w:t>
      </w:r>
    </w:p>
    <w:p w:rsidR="00000000" w:rsidRPr="00215EFE" w:rsidP="00215EFE">
      <w:pPr>
        <w:pStyle w:val="ListBullet2"/>
      </w:pPr>
      <w:r w:rsidRPr="00215EFE">
        <w:t>inflammatory conditions</w:t>
      </w:r>
    </w:p>
    <w:p w:rsidR="00000000" w:rsidRPr="00215EFE" w:rsidP="00215EFE">
      <w:pPr>
        <w:pStyle w:val="ListBullet2"/>
      </w:pPr>
      <w:r w:rsidRPr="00215EFE">
        <w:t>pregnancy</w:t>
      </w:r>
    </w:p>
    <w:p w:rsidR="00000000" w:rsidRPr="00215EFE" w:rsidP="00215EFE">
      <w:pPr>
        <w:pStyle w:val="ListBullet2"/>
      </w:pPr>
      <w:r w:rsidRPr="00215EFE">
        <w:t>diabetes</w:t>
      </w:r>
    </w:p>
    <w:p w:rsidR="00000000" w:rsidRPr="00215EFE" w:rsidP="00215EFE">
      <w:pPr>
        <w:pStyle w:val="ListBullet"/>
      </w:pPr>
      <w:r w:rsidRPr="00215EFE">
        <w:t>normal tissue responses, allergic and adverse effects of skin needling treatments:</w:t>
      </w:r>
    </w:p>
    <w:p w:rsidR="00000000" w:rsidRPr="00215EFE" w:rsidP="00215EFE">
      <w:pPr>
        <w:pStyle w:val="ListBullet2"/>
      </w:pPr>
      <w:r w:rsidRPr="00215EFE">
        <w:t>erythema</w:t>
      </w:r>
    </w:p>
    <w:p w:rsidR="00000000" w:rsidRPr="00215EFE" w:rsidP="00215EFE">
      <w:pPr>
        <w:pStyle w:val="ListBullet2"/>
      </w:pPr>
      <w:r w:rsidRPr="00215EFE">
        <w:t>minor bleeding and bruising</w:t>
      </w:r>
    </w:p>
    <w:p w:rsidR="00000000" w:rsidRPr="00215EFE" w:rsidP="00215EFE">
      <w:pPr>
        <w:pStyle w:val="ListBullet2"/>
      </w:pPr>
      <w:r w:rsidRPr="00215EFE">
        <w:t>skin may feel warm, tight and itchy</w:t>
      </w:r>
    </w:p>
    <w:p w:rsidR="00000000" w:rsidRPr="00215EFE" w:rsidP="00215EFE">
      <w:pPr>
        <w:pStyle w:val="ListBullet2"/>
      </w:pPr>
      <w:r w:rsidRPr="00215EFE">
        <w:t>minor flaking or dryness of skin with scab formation in rare cases</w:t>
      </w:r>
    </w:p>
    <w:p w:rsidR="00000000" w:rsidRPr="00215EFE" w:rsidP="00215EFE">
      <w:pPr>
        <w:pStyle w:val="ListBullet2"/>
      </w:pPr>
      <w:r w:rsidRPr="00215EFE">
        <w:t>hyperpigmentation</w:t>
      </w:r>
    </w:p>
    <w:p w:rsidR="00000000" w:rsidRPr="00215EFE" w:rsidP="00215EFE">
      <w:pPr>
        <w:pStyle w:val="ListBullet2"/>
      </w:pPr>
      <w:r w:rsidRPr="00215EFE">
        <w:t>herpes simplex outbreak</w:t>
      </w:r>
    </w:p>
    <w:p w:rsidR="00000000" w:rsidRPr="00215EFE" w:rsidP="00215EFE">
      <w:pPr>
        <w:pStyle w:val="ListBullet"/>
      </w:pPr>
      <w:r w:rsidRPr="00215EFE">
        <w:t>procedure for managing adverse reactions to treatment:</w:t>
      </w:r>
    </w:p>
    <w:p w:rsidR="00000000" w:rsidRPr="00215EFE" w:rsidP="00215EFE">
      <w:pPr>
        <w:pStyle w:val="ListBullet2"/>
      </w:pPr>
      <w:r w:rsidRPr="00215EFE">
        <w:t>medical referral</w:t>
      </w:r>
    </w:p>
    <w:p w:rsidR="00000000" w:rsidRPr="00215EFE" w:rsidP="00215EFE">
      <w:pPr>
        <w:pStyle w:val="ListBullet"/>
      </w:pPr>
      <w:r w:rsidRPr="00215EFE">
        <w:t>use of topical anaesthetics:</w:t>
      </w:r>
    </w:p>
    <w:p w:rsidR="00000000" w:rsidRPr="00215EFE" w:rsidP="00215EFE">
      <w:pPr>
        <w:pStyle w:val="ListBullet2"/>
      </w:pPr>
      <w:r w:rsidRPr="00215EFE">
        <w:t>concentration of active ingredient</w:t>
      </w:r>
    </w:p>
    <w:p w:rsidR="00000000" w:rsidRPr="00215EFE" w:rsidP="00215EFE">
      <w:pPr>
        <w:pStyle w:val="ListBullet2"/>
      </w:pPr>
      <w:r w:rsidRPr="00215EFE">
        <w:t>toxicit</w:t>
      </w:r>
      <w:r w:rsidRPr="00215EFE">
        <w:t>y risks and management</w:t>
      </w:r>
    </w:p>
    <w:p w:rsidR="00000000" w:rsidRPr="00215EFE" w:rsidP="00215EFE">
      <w:pPr>
        <w:pStyle w:val="ListBullet2"/>
      </w:pPr>
      <w:r w:rsidRPr="00215EFE">
        <w:t>safe use and disposal</w:t>
      </w:r>
    </w:p>
    <w:p w:rsidR="00000000" w:rsidRPr="00215EFE" w:rsidP="00215EFE">
      <w:pPr>
        <w:pStyle w:val="ListBullet2"/>
      </w:pPr>
      <w:r w:rsidRPr="00215EFE">
        <w:t>states or territory restrictions</w:t>
      </w:r>
    </w:p>
    <w:p w:rsidR="00000000" w:rsidRPr="00215EFE" w:rsidP="00215EFE">
      <w:pPr>
        <w:pStyle w:val="ListBullet"/>
      </w:pPr>
      <w:r w:rsidRPr="00215EFE">
        <w:t>cosmetic ingredients in relevant pre- and post-treatment products, particularly in regard to:</w:t>
      </w:r>
    </w:p>
    <w:p w:rsidR="00000000" w:rsidRPr="00215EFE" w:rsidP="00215EFE">
      <w:pPr>
        <w:pStyle w:val="ListBullet2"/>
      </w:pPr>
      <w:r w:rsidRPr="00215EFE">
        <w:t>their likely effects on skin</w:t>
      </w:r>
    </w:p>
    <w:p w:rsidR="00000000" w:rsidRPr="00215EFE" w:rsidP="00215EFE">
      <w:pPr>
        <w:pStyle w:val="ListBullet2"/>
      </w:pPr>
      <w:r w:rsidRPr="00215EFE">
        <w:t>toxic effects of various substances and their contrib</w:t>
      </w:r>
      <w:r w:rsidRPr="00215EFE">
        <w:t>ution to premature ageing</w:t>
      </w:r>
    </w:p>
    <w:p w:rsidR="00000000" w:rsidRPr="00215EFE" w:rsidP="00215EFE">
      <w:pPr>
        <w:pStyle w:val="ListBullet2"/>
      </w:pPr>
      <w:r w:rsidRPr="00215EFE">
        <w:t>possible contraindications in combination with other products or circumstances</w:t>
      </w:r>
    </w:p>
    <w:p w:rsidR="00000000" w:rsidRPr="00215EFE" w:rsidP="00215EFE">
      <w:pPr>
        <w:pStyle w:val="ListBullet"/>
      </w:pPr>
      <w:r w:rsidRPr="00215EFE">
        <w:t>factors to consider when combining skin needling treatments with other skin treatments</w:t>
      </w:r>
    </w:p>
    <w:p w:rsidR="00000000" w:rsidRPr="00215EFE" w:rsidP="00215EFE">
      <w:pPr>
        <w:pStyle w:val="ListBullet"/>
      </w:pPr>
      <w:r w:rsidRPr="00215EFE">
        <w:t>wound healing cycle</w:t>
      </w:r>
    </w:p>
    <w:p w:rsidR="00000000" w:rsidRPr="00215EFE" w:rsidP="00215EFE">
      <w:pPr>
        <w:pStyle w:val="ListBullet"/>
      </w:pPr>
      <w:r w:rsidRPr="00215EFE">
        <w:t>pre- and post-treatment advice to client:</w:t>
      </w:r>
    </w:p>
    <w:p w:rsidR="00000000" w:rsidRPr="00215EFE" w:rsidP="00215EFE">
      <w:pPr>
        <w:pStyle w:val="ListBullet2"/>
      </w:pPr>
      <w:r w:rsidRPr="00215EFE">
        <w:t xml:space="preserve">skin care products </w:t>
      </w:r>
    </w:p>
    <w:p w:rsidR="00000000" w:rsidRPr="00215EFE" w:rsidP="00215EFE">
      <w:pPr>
        <w:pStyle w:val="ListBullet2"/>
      </w:pPr>
      <w:r w:rsidRPr="00215EFE">
        <w:t>care of skin</w:t>
      </w:r>
    </w:p>
    <w:p w:rsidR="00000000" w:rsidRPr="00215EFE" w:rsidP="00215EFE">
      <w:pPr>
        <w:pStyle w:val="ListBullet2"/>
      </w:pPr>
      <w:r w:rsidRPr="00215EFE">
        <w:t>sun or solaria protection</w:t>
      </w:r>
    </w:p>
    <w:p w:rsidR="00000000" w:rsidRPr="00215EFE" w:rsidP="00215EFE">
      <w:pPr>
        <w:pStyle w:val="ListBullet2"/>
      </w:pPr>
      <w:r w:rsidRPr="00215EFE">
        <w:t>infection control</w:t>
      </w:r>
    </w:p>
    <w:p w:rsidR="00000000" w:rsidRPr="00215EFE" w:rsidP="00215EFE">
      <w:pPr>
        <w:pStyle w:val="ListBullet2"/>
      </w:pPr>
      <w:r w:rsidRPr="00215EFE">
        <w:t>normal and abnormal reactions</w:t>
      </w:r>
    </w:p>
    <w:p w:rsidR="00000000" w:rsidRPr="00215EFE" w:rsidP="00215EFE">
      <w:pPr>
        <w:pStyle w:val="ListBullet2"/>
      </w:pPr>
      <w:r w:rsidRPr="00215EFE">
        <w:t>circumstances that indicate the client should contact the clinic</w:t>
      </w:r>
    </w:p>
    <w:p w:rsidR="00000000" w:rsidRPr="00215EFE" w:rsidP="00215EFE">
      <w:pPr>
        <w:pStyle w:val="ListBullet2"/>
      </w:pPr>
      <w:r w:rsidRPr="00215EFE">
        <w:t>lifestyle changes.</w:t>
      </w:r>
    </w:p>
    <w:p w:rsidR="00000000" w:rsidRPr="00215EFE" w:rsidP="00215EFE">
      <w:pPr>
        <w:pStyle w:val="AllowPageBreak"/>
      </w:pPr>
    </w:p>
    <w:p w:rsidR="00000000" w:rsidRPr="00215EFE" w:rsidP="00215EFE">
      <w:pPr>
        <w:pStyle w:val="Heading1"/>
      </w:pPr>
      <w:bookmarkStart w:id="4" w:name="O_1236222"/>
      <w:bookmarkEnd w:id="4"/>
      <w:r w:rsidRPr="00215EFE">
        <w:t>Assessment Conditions</w:t>
      </w:r>
    </w:p>
    <w:p w:rsidR="00000000" w:rsidRPr="00215EFE" w:rsidP="00815196">
      <w:pPr>
        <w:pStyle w:val="BodyText"/>
      </w:pPr>
      <w:r w:rsidRPr="00215EFE">
        <w:t>Skills must be demonstra</w:t>
      </w:r>
      <w:r w:rsidRPr="00215EFE">
        <w:t>ted in a simulated clinical workplace environment set up for the purposes of assessment.</w:t>
      </w:r>
    </w:p>
    <w:p w:rsidR="00000000" w:rsidRPr="00215EFE" w:rsidP="00815196">
      <w:pPr>
        <w:pStyle w:val="BodyText"/>
      </w:pPr>
      <w:r w:rsidRPr="00215EFE">
        <w:t>Assessment must ensure access to:</w:t>
      </w:r>
    </w:p>
    <w:p w:rsidR="00000000" w:rsidRPr="00215EFE" w:rsidP="00215EFE">
      <w:pPr>
        <w:pStyle w:val="ListBullet"/>
      </w:pPr>
      <w:r w:rsidRPr="00215EFE">
        <w:t>relevant documentation:</w:t>
      </w:r>
    </w:p>
    <w:p w:rsidR="00000000" w:rsidRPr="00215EFE" w:rsidP="00215EFE">
      <w:pPr>
        <w:pStyle w:val="ListBullet2"/>
      </w:pPr>
      <w:r w:rsidRPr="00215EFE">
        <w:t xml:space="preserve">key aspects of federal and state and territory legislation in relation to work health and safety </w:t>
      </w:r>
    </w:p>
    <w:p w:rsidR="00000000" w:rsidRPr="00215EFE" w:rsidP="00215EFE">
      <w:pPr>
        <w:pStyle w:val="ListBullet2"/>
      </w:pPr>
      <w:r w:rsidRPr="00215EFE">
        <w:t>National Infection Control Guidelines.</w:t>
      </w:r>
    </w:p>
    <w:p w:rsidR="00000000" w:rsidRPr="00215EFE" w:rsidP="00815196">
      <w:pPr>
        <w:pStyle w:val="BodyText"/>
      </w:pPr>
      <w:r w:rsidRPr="00215EFE">
        <w:t>Assessment must ensure use of:</w:t>
      </w:r>
    </w:p>
    <w:p w:rsidR="00000000" w:rsidRPr="00215EFE" w:rsidP="00215EFE">
      <w:pPr>
        <w:pStyle w:val="ListBullet"/>
      </w:pPr>
      <w:r w:rsidRPr="00215EFE">
        <w:t>individual client workstations with:</w:t>
      </w:r>
    </w:p>
    <w:p w:rsidR="00000000" w:rsidRPr="00215EFE" w:rsidP="00215EFE">
      <w:pPr>
        <w:pStyle w:val="ListBullet2"/>
      </w:pPr>
      <w:r w:rsidRPr="00215EFE">
        <w:t>electrical supply</w:t>
      </w:r>
    </w:p>
    <w:p w:rsidR="00000000" w:rsidRPr="00215EFE" w:rsidP="00215EFE">
      <w:pPr>
        <w:pStyle w:val="ListBullet2"/>
      </w:pPr>
      <w:r w:rsidRPr="00215EFE">
        <w:t>skin needling equipment and single use disposable sterile rollers of 1.0mm or less needle length</w:t>
      </w:r>
    </w:p>
    <w:p w:rsidR="00000000" w:rsidRPr="00215EFE" w:rsidP="00215EFE">
      <w:pPr>
        <w:pStyle w:val="ListBullet2"/>
      </w:pPr>
      <w:r w:rsidRPr="00215EFE">
        <w:t>sharps container</w:t>
      </w:r>
    </w:p>
    <w:p w:rsidR="00000000" w:rsidRPr="00215EFE" w:rsidP="00215EFE">
      <w:pPr>
        <w:pStyle w:val="ListBullet2"/>
      </w:pPr>
      <w:r w:rsidRPr="00215EFE">
        <w:t>adjustable couc</w:t>
      </w:r>
      <w:r w:rsidRPr="00215EFE">
        <w:t>hes with safe working access for operator and equipment at head, foot and each side</w:t>
      </w:r>
    </w:p>
    <w:p w:rsidR="00000000" w:rsidRPr="00215EFE" w:rsidP="00215EFE">
      <w:pPr>
        <w:pStyle w:val="ListBullet2"/>
      </w:pPr>
      <w:r w:rsidRPr="00215EFE">
        <w:t>magnifying lamps</w:t>
      </w:r>
    </w:p>
    <w:p w:rsidR="00000000" w:rsidRPr="00215EFE" w:rsidP="00215EFE">
      <w:pPr>
        <w:pStyle w:val="ListBullet2"/>
      </w:pPr>
      <w:r w:rsidRPr="00215EFE">
        <w:t>trolleys</w:t>
      </w:r>
    </w:p>
    <w:p w:rsidR="00000000" w:rsidRPr="00215EFE" w:rsidP="00215EFE">
      <w:pPr>
        <w:pStyle w:val="ListBullet2"/>
      </w:pPr>
      <w:r w:rsidRPr="00215EFE">
        <w:t>towels</w:t>
      </w:r>
    </w:p>
    <w:p w:rsidR="00000000" w:rsidRPr="00215EFE" w:rsidP="00215EFE">
      <w:pPr>
        <w:pStyle w:val="ListBullet2"/>
      </w:pPr>
      <w:r w:rsidRPr="00215EFE">
        <w:t>client gowns and covers</w:t>
      </w:r>
    </w:p>
    <w:p w:rsidR="00000000" w:rsidRPr="00215EFE" w:rsidP="00215EFE">
      <w:pPr>
        <w:pStyle w:val="ListBullet"/>
      </w:pPr>
      <w:r w:rsidRPr="00215EFE">
        <w:t>professional skin care range and post treatment products</w:t>
      </w:r>
    </w:p>
    <w:p w:rsidR="00000000" w:rsidRPr="00215EFE" w:rsidP="00215EFE">
      <w:pPr>
        <w:pStyle w:val="ListBullet"/>
      </w:pPr>
      <w:r w:rsidRPr="00215EFE">
        <w:t>skin antiseptic and sterile saline solution</w:t>
      </w:r>
    </w:p>
    <w:p w:rsidR="00000000" w:rsidRPr="00215EFE" w:rsidP="00215EFE">
      <w:pPr>
        <w:pStyle w:val="ListBullet"/>
      </w:pPr>
      <w:r w:rsidRPr="00215EFE">
        <w:t>cleaning and disinfection products and equipment</w:t>
      </w:r>
    </w:p>
    <w:p w:rsidR="00000000" w:rsidRPr="00215EFE" w:rsidP="00215EFE">
      <w:pPr>
        <w:pStyle w:val="ListBullet"/>
      </w:pPr>
      <w:r w:rsidRPr="00215EFE">
        <w:t>disposable single use sponges or skin wipes</w:t>
      </w:r>
    </w:p>
    <w:p w:rsidR="00000000" w:rsidRPr="00215EFE" w:rsidP="00215EFE">
      <w:pPr>
        <w:pStyle w:val="ListBullet"/>
      </w:pPr>
      <w:r w:rsidRPr="00215EFE">
        <w:t>relevant workplace documentation:</w:t>
      </w:r>
    </w:p>
    <w:p w:rsidR="00000000" w:rsidRPr="00215EFE" w:rsidP="00215EFE">
      <w:pPr>
        <w:pStyle w:val="ListBullet2"/>
      </w:pPr>
      <w:r w:rsidRPr="00215EFE">
        <w:t>safety data sheets</w:t>
      </w:r>
    </w:p>
    <w:p w:rsidR="00000000" w:rsidRPr="00215EFE" w:rsidP="00215EFE">
      <w:pPr>
        <w:pStyle w:val="ListBullet2"/>
      </w:pPr>
      <w:r w:rsidRPr="00215EFE">
        <w:t>manufacturer instructions</w:t>
      </w:r>
    </w:p>
    <w:p w:rsidR="00000000" w:rsidRPr="00215EFE" w:rsidP="00215EFE">
      <w:pPr>
        <w:pStyle w:val="ListBullet2"/>
      </w:pPr>
      <w:r w:rsidRPr="00215EFE">
        <w:t>product instructions</w:t>
      </w:r>
    </w:p>
    <w:p w:rsidR="00000000" w:rsidRPr="00215EFE" w:rsidP="00215EFE">
      <w:pPr>
        <w:pStyle w:val="ListBullet2"/>
      </w:pPr>
      <w:r w:rsidRPr="00215EFE">
        <w:t xml:space="preserve">organisational policies and procedures </w:t>
      </w:r>
    </w:p>
    <w:p w:rsidR="00000000" w:rsidRPr="00215EFE" w:rsidP="00215EFE">
      <w:pPr>
        <w:pStyle w:val="ListBullet"/>
      </w:pPr>
      <w:r w:rsidRPr="00215EFE">
        <w:t>clients, both new and</w:t>
      </w:r>
      <w:r w:rsidRPr="00215EFE">
        <w:t xml:space="preserve"> existing, with different skin rejuvenation therapy requirements; who have the expectation that the services provided reflect those of a commercial business</w:t>
      </w:r>
    </w:p>
    <w:p w:rsidR="00000000" w:rsidRPr="00215EFE" w:rsidP="00215EFE">
      <w:pPr>
        <w:pStyle w:val="ListBullet"/>
      </w:pPr>
      <w:r w:rsidRPr="00215EFE">
        <w:t>activities that reflect industry practice and allow the individual to work with commercial timing a</w:t>
      </w:r>
      <w:r w:rsidRPr="00215EFE">
        <w:t>nd productivity to complete skin treatments within designated timeframes.</w:t>
      </w:r>
    </w:p>
    <w:p w:rsidR="00000000" w:rsidRPr="00215EFE" w:rsidP="00815196">
      <w:pPr>
        <w:pStyle w:val="BodyText"/>
      </w:pPr>
      <w:r w:rsidRPr="00215EFE">
        <w:t>At least one assessment must be directly observed in person, for the total duration of the skin needling treatment, by assessors who meet the assessor requirements outlined below.</w:t>
      </w:r>
    </w:p>
    <w:p w:rsidR="00000000" w:rsidRPr="00215EFE" w:rsidP="00815196">
      <w:pPr>
        <w:pStyle w:val="BodyText"/>
      </w:pPr>
      <w:r w:rsidRPr="00215EFE">
        <w:t>As</w:t>
      </w:r>
      <w:r w:rsidRPr="00215EFE">
        <w:t>sessors must satisfy the Standards for Registered Training Organisations</w:t>
      </w:r>
      <w:r>
        <w:t>’</w:t>
      </w:r>
      <w:r w:rsidRPr="00215EFE">
        <w:t xml:space="preserve"> requirements for assessors and:</w:t>
      </w:r>
    </w:p>
    <w:p w:rsidR="00000000" w:rsidRPr="00215EFE" w:rsidP="00215EFE">
      <w:pPr>
        <w:pStyle w:val="ListBullet"/>
      </w:pPr>
      <w:r w:rsidRPr="00215EFE">
        <w:t>have worked for at least three years where they have applied the skills and knowledge of this unit of competency.</w:t>
      </w:r>
    </w:p>
    <w:p w:rsidR="00000000" w:rsidRPr="00215EFE" w:rsidP="00215EFE">
      <w:pPr>
        <w:pStyle w:val="AllowPageBreak"/>
      </w:pPr>
    </w:p>
    <w:p w:rsidR="00000000" w:rsidRPr="00215EFE" w:rsidP="00215EFE">
      <w:pPr>
        <w:pStyle w:val="Heading1"/>
      </w:pPr>
      <w:bookmarkStart w:id="5" w:name="O_1236236"/>
      <w:bookmarkEnd w:id="5"/>
      <w:r w:rsidRPr="00215EFE">
        <w:t>Links</w:t>
      </w:r>
    </w:p>
    <w:p w:rsidR="00000000" w:rsidRPr="00215EFE" w:rsidP="00815196">
      <w:pPr>
        <w:pStyle w:val="BodyText"/>
      </w:pPr>
      <w:r w:rsidRPr="00215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6340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15EFE" w:rsidP="00215EFE"/>
    <w:sectPr w:rsidSect="00215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FE" w:rsidRPr="00815196" w:rsidP="00815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96" w:rsidP="00215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196" w:rsidP="00215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5196" w:rsidP="00215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EFE" w:rsidRPr="00815196" w:rsidP="00815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96" w:rsidRPr="002D2AF8" w:rsidP="00215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SHBBSKT010 Provide skin needling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15196" w:rsidP="00215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009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788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09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EFE"/>
  </w:style>
  <w:style w:type="character" w:customStyle="1" w:styleId="Heading1Char">
    <w:name w:val="Heading 1 Char"/>
    <w:basedOn w:val="DefaultParagraphFont"/>
    <w:link w:val="Heading1"/>
    <w:rsid w:val="00215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EF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5E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5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5E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5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EFE"/>
    <w:rPr>
      <w:b/>
      <w:spacing w:val="0"/>
    </w:rPr>
  </w:style>
  <w:style w:type="paragraph" w:customStyle="1" w:styleId="SuperTitle">
    <w:name w:val="SuperTitle"/>
    <w:basedOn w:val="Title"/>
    <w:rsid w:val="00215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EFE"/>
    <w:rPr>
      <w:i/>
    </w:rPr>
  </w:style>
  <w:style w:type="paragraph" w:styleId="Caption">
    <w:name w:val="caption"/>
    <w:basedOn w:val="BodyText"/>
    <w:next w:val="Normal"/>
    <w:qFormat/>
    <w:rsid w:val="00215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EFE"/>
  </w:style>
  <w:style w:type="paragraph" w:styleId="TableofFigures">
    <w:name w:val="table of figures"/>
    <w:basedOn w:val="Normal"/>
    <w:next w:val="Normal"/>
    <w:semiHidden/>
    <w:rsid w:val="00215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E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5EFE"/>
    <w:rPr>
      <w:rFonts w:ascii="Wingdings" w:hAnsi="Wingdings"/>
    </w:rPr>
  </w:style>
  <w:style w:type="paragraph" w:customStyle="1" w:styleId="TableHeading">
    <w:name w:val="Table Heading"/>
    <w:basedOn w:val="HeadingBase"/>
    <w:rsid w:val="00215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EFE"/>
    <w:rPr>
      <w:color w:val="0033CC"/>
      <w:u w:val="none"/>
    </w:rPr>
  </w:style>
  <w:style w:type="paragraph" w:customStyle="1" w:styleId="BodyTextRight">
    <w:name w:val="Body Text Right"/>
    <w:basedOn w:val="BodyText"/>
    <w:rsid w:val="00215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E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EFE"/>
    <w:rPr>
      <w:sz w:val="32"/>
    </w:rPr>
  </w:style>
  <w:style w:type="paragraph" w:customStyle="1" w:styleId="HeadingProcedure">
    <w:name w:val="Heading Procedure"/>
    <w:basedOn w:val="HeadingBase"/>
    <w:next w:val="Normal"/>
    <w:rsid w:val="00215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EFE"/>
    <w:pPr>
      <w:spacing w:before="60" w:after="60"/>
    </w:pPr>
  </w:style>
  <w:style w:type="paragraph" w:styleId="ListContinue">
    <w:name w:val="List Continue"/>
    <w:basedOn w:val="List"/>
    <w:rsid w:val="00215EFE"/>
    <w:pPr>
      <w:ind w:firstLine="0"/>
    </w:pPr>
  </w:style>
  <w:style w:type="paragraph" w:customStyle="1" w:styleId="ListNote">
    <w:name w:val="List Note"/>
    <w:basedOn w:val="List"/>
    <w:rsid w:val="00215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EFE"/>
    <w:rPr>
      <w:rFonts w:ascii="Courier New" w:hAnsi="Courier New"/>
    </w:rPr>
  </w:style>
  <w:style w:type="paragraph" w:customStyle="1" w:styleId="NoteBullet">
    <w:name w:val="Note Bullet"/>
    <w:basedOn w:val="Note"/>
    <w:rsid w:val="00215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E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5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EFE"/>
    <w:rPr>
      <w:b/>
      <w:smallCaps/>
    </w:rPr>
  </w:style>
  <w:style w:type="paragraph" w:customStyle="1" w:styleId="TableListNumber">
    <w:name w:val="Table List Number"/>
    <w:basedOn w:val="ListNumber"/>
    <w:rsid w:val="00215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EFE"/>
    <w:pPr>
      <w:numPr>
        <w:numId w:val="10"/>
      </w:numPr>
    </w:pPr>
  </w:style>
  <w:style w:type="paragraph" w:customStyle="1" w:styleId="ListAlpha2">
    <w:name w:val="List Alpha 2"/>
    <w:basedOn w:val="List2"/>
    <w:rsid w:val="00215EFE"/>
    <w:pPr>
      <w:numPr>
        <w:numId w:val="9"/>
      </w:numPr>
    </w:pPr>
  </w:style>
  <w:style w:type="paragraph" w:styleId="List2">
    <w:name w:val="List 2"/>
    <w:basedOn w:val="BodyText"/>
    <w:rsid w:val="00215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E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5E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5EFE"/>
    <w:pPr>
      <w:numPr>
        <w:numId w:val="5"/>
      </w:numPr>
    </w:pPr>
  </w:style>
  <w:style w:type="paragraph" w:styleId="ListContinue2">
    <w:name w:val="List Continue 2"/>
    <w:basedOn w:val="List2"/>
    <w:rsid w:val="00215EFE"/>
    <w:pPr>
      <w:ind w:firstLine="0"/>
    </w:pPr>
  </w:style>
  <w:style w:type="paragraph" w:styleId="ListContinue3">
    <w:name w:val="List Continue 3"/>
    <w:basedOn w:val="List3"/>
    <w:rsid w:val="00215EFE"/>
    <w:pPr>
      <w:ind w:left="1021" w:firstLine="0"/>
    </w:pPr>
  </w:style>
  <w:style w:type="paragraph" w:styleId="ListContinue4">
    <w:name w:val="List Continue 4"/>
    <w:basedOn w:val="List4"/>
    <w:rsid w:val="00215EFE"/>
    <w:pPr>
      <w:ind w:firstLine="0"/>
    </w:pPr>
  </w:style>
  <w:style w:type="paragraph" w:styleId="ListContinue5">
    <w:name w:val="List Continue 5"/>
    <w:basedOn w:val="List5"/>
    <w:rsid w:val="00215EFE"/>
    <w:pPr>
      <w:ind w:firstLine="0"/>
    </w:pPr>
  </w:style>
  <w:style w:type="paragraph" w:styleId="ListNumber3">
    <w:name w:val="List Number 3"/>
    <w:basedOn w:val="List3"/>
    <w:rsid w:val="00215EFE"/>
    <w:pPr>
      <w:numPr>
        <w:numId w:val="6"/>
      </w:numPr>
    </w:pPr>
  </w:style>
  <w:style w:type="paragraph" w:styleId="ListNumber4">
    <w:name w:val="List Number 4"/>
    <w:basedOn w:val="List4"/>
    <w:rsid w:val="00215EFE"/>
    <w:pPr>
      <w:numPr>
        <w:numId w:val="7"/>
      </w:numPr>
    </w:pPr>
  </w:style>
  <w:style w:type="paragraph" w:styleId="ListNumber5">
    <w:name w:val="List Number 5"/>
    <w:basedOn w:val="List5"/>
    <w:rsid w:val="00215EFE"/>
    <w:pPr>
      <w:numPr>
        <w:numId w:val="8"/>
      </w:numPr>
    </w:pPr>
  </w:style>
  <w:style w:type="paragraph" w:styleId="BlockText">
    <w:name w:val="Block Text"/>
    <w:basedOn w:val="Normal"/>
    <w:rsid w:val="00215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EFE"/>
    <w:rPr>
      <w:sz w:val="16"/>
      <w:vertAlign w:val="superscript"/>
    </w:rPr>
  </w:style>
  <w:style w:type="character" w:customStyle="1" w:styleId="Symbols">
    <w:name w:val="Symbols"/>
    <w:basedOn w:val="DefaultParagraphFont"/>
    <w:rsid w:val="00215EFE"/>
    <w:rPr>
      <w:rFonts w:ascii="Symbol" w:hAnsi="Symbol"/>
    </w:rPr>
  </w:style>
  <w:style w:type="character" w:customStyle="1" w:styleId="MenuOptions">
    <w:name w:val="Menu Options"/>
    <w:basedOn w:val="DefaultParagraphFont"/>
    <w:rsid w:val="00215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EFE"/>
    <w:rPr>
      <w:b/>
    </w:rPr>
  </w:style>
  <w:style w:type="character" w:customStyle="1" w:styleId="Underlined">
    <w:name w:val="Underlined"/>
    <w:basedOn w:val="DefaultParagraphFont"/>
    <w:rsid w:val="00215EFE"/>
    <w:rPr>
      <w:u w:val="single"/>
    </w:rPr>
  </w:style>
  <w:style w:type="paragraph" w:customStyle="1" w:styleId="TableBodyTextRight">
    <w:name w:val="Table Body Text Right"/>
    <w:basedOn w:val="TableBodyText"/>
    <w:rsid w:val="00215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EFE"/>
    <w:rPr>
      <w:sz w:val="18"/>
    </w:rPr>
  </w:style>
  <w:style w:type="paragraph" w:customStyle="1" w:styleId="BodySmallRight">
    <w:name w:val="Body Small Right"/>
    <w:basedOn w:val="BodyTextRight"/>
    <w:rsid w:val="00215EFE"/>
    <w:rPr>
      <w:sz w:val="18"/>
      <w:szCs w:val="18"/>
    </w:rPr>
  </w:style>
  <w:style w:type="paragraph" w:customStyle="1" w:styleId="MarginEdition">
    <w:name w:val="Margin Edition"/>
    <w:basedOn w:val="MarginNote"/>
    <w:rsid w:val="00215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EFE"/>
    <w:rPr>
      <w:sz w:val="2"/>
      <w:szCs w:val="2"/>
    </w:rPr>
  </w:style>
  <w:style w:type="character" w:customStyle="1" w:styleId="Small">
    <w:name w:val="Small"/>
    <w:basedOn w:val="DefaultParagraphFont"/>
    <w:rsid w:val="00215EFE"/>
    <w:rPr>
      <w:sz w:val="16"/>
    </w:rPr>
  </w:style>
  <w:style w:type="paragraph" w:customStyle="1" w:styleId="WideTable">
    <w:name w:val="Wide Table"/>
    <w:basedOn w:val="Normal"/>
    <w:rsid w:val="00215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EFE"/>
  </w:style>
  <w:style w:type="paragraph" w:styleId="Quote">
    <w:name w:val="Quote"/>
    <w:basedOn w:val="Heading1"/>
    <w:link w:val="QuoteChar"/>
    <w:qFormat/>
    <w:rsid w:val="00215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EFE"/>
    <w:pPr>
      <w:pageBreakBefore/>
    </w:pPr>
  </w:style>
  <w:style w:type="paragraph" w:customStyle="1" w:styleId="Border">
    <w:name w:val="Border"/>
    <w:basedOn w:val="Normal"/>
    <w:qFormat/>
    <w:rsid w:val="00215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EFE"/>
    <w:rPr>
      <w:u w:val="single"/>
    </w:rPr>
  </w:style>
  <w:style w:type="character" w:customStyle="1" w:styleId="BoldandItalics">
    <w:name w:val="Bold and Italics"/>
    <w:qFormat/>
    <w:rsid w:val="00215EFE"/>
    <w:rPr>
      <w:b/>
      <w:i/>
      <w:u w:val="none"/>
    </w:rPr>
  </w:style>
  <w:style w:type="paragraph" w:styleId="BalloonText">
    <w:name w:val="Balloon Text"/>
    <w:basedOn w:val="Normal"/>
    <w:link w:val="BalloonTextChar"/>
    <w:rsid w:val="00215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EFE"/>
    <w:pPr>
      <w:spacing w:before="0" w:after="0"/>
    </w:pPr>
  </w:style>
  <w:style w:type="paragraph" w:customStyle="1" w:styleId="BodyTextBold">
    <w:name w:val="Body Text Bold"/>
    <w:basedOn w:val="BodyText"/>
    <w:qFormat/>
    <w:rsid w:val="00215EFE"/>
    <w:rPr>
      <w:b/>
    </w:rPr>
  </w:style>
  <w:style w:type="character" w:styleId="Hyperlink">
    <w:name w:val="Hyperlink"/>
    <w:basedOn w:val="DefaultParagraphFont"/>
    <w:uiPriority w:val="99"/>
    <w:unhideWhenUsed/>
    <w:rsid w:val="00815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5171</Characters>
  <Application>Microsoft Office Word</Application>
  <DocSecurity>0</DocSecurity>
  <Lines>156</Lines>
  <Paragraphs>145</Paragraphs>
  <ScaleCrop>false</ScaleCrop>
  <Company>Author-it Software Corporation Ltd.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SHBBSKT010 Provide skin needling treatments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