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AC9" w:rsidP="006F6A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SHBBSKT009 Provide light emitting diode skin treatments</w:t>
      </w:r>
      <w:r>
        <w:fldChar w:fldCharType="end"/>
      </w:r>
    </w:p>
    <w:p w:rsidR="006F6AC9" w:rsidP="006F6AC9">
      <w:pPr>
        <w:pStyle w:val="Version"/>
        <w:sectPr w:rsidSect="00FF62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22B" w:rsidP="00FF622B">
      <w:pPr>
        <w:pStyle w:val="SuperHeading"/>
      </w:pPr>
      <w:r w:rsidRPr="00FF622B">
        <w:t>Assessment Requirements for SHBBSKT009 Provide light emitting diode skin treatments</w:t>
      </w:r>
    </w:p>
    <w:p w:rsidR="00000000" w:rsidRPr="00FF622B" w:rsidP="00FF622B">
      <w:pPr>
        <w:pStyle w:val="Heading1"/>
      </w:pPr>
      <w:bookmarkStart w:id="1" w:name="O_1204087"/>
      <w:bookmarkEnd w:id="1"/>
      <w:r w:rsidRPr="00FF622B">
        <w:t>Modification History</w:t>
      </w:r>
    </w:p>
    <w:p w:rsidR="00000000" w:rsidRPr="00FF622B" w:rsidP="006F6AC9">
      <w:pPr>
        <w:pStyle w:val="BodyText"/>
      </w:pPr>
      <w:r w:rsidRPr="00FF622B">
        <w:t>No equivalent unit.</w:t>
      </w:r>
    </w:p>
    <w:p w:rsidR="00000000" w:rsidRPr="00FF622B" w:rsidP="00FF622B">
      <w:pPr>
        <w:pStyle w:val="Heading1"/>
      </w:pPr>
      <w:bookmarkStart w:id="2" w:name="O_1204088"/>
      <w:bookmarkEnd w:id="2"/>
      <w:r w:rsidRPr="00FF622B">
        <w:t>Performance Evidence</w:t>
      </w:r>
    </w:p>
    <w:p w:rsidR="00000000" w:rsidRPr="00FF622B" w:rsidP="006F6AC9">
      <w:pPr>
        <w:pStyle w:val="BodyText"/>
      </w:pPr>
      <w:r w:rsidRPr="00FF622B">
        <w:t>Evidence of the ability to complete tasks outlined in elements and performance criteria of this unit in the context of the job role, and:</w:t>
      </w:r>
    </w:p>
    <w:p w:rsidR="00000000" w:rsidRPr="00FF622B" w:rsidP="00FF622B">
      <w:pPr>
        <w:pStyle w:val="ListBullet"/>
      </w:pPr>
      <w:r w:rsidRPr="00FF622B">
        <w:t>safely provide LED treatments to at least three different clients, each with different Fitzpatrick skin types</w:t>
      </w:r>
    </w:p>
    <w:p w:rsidR="00000000" w:rsidRPr="00FF622B" w:rsidP="00FF622B">
      <w:pPr>
        <w:pStyle w:val="ListBullet"/>
      </w:pPr>
      <w:r w:rsidRPr="00FF622B">
        <w:t>for eac</w:t>
      </w:r>
      <w:r w:rsidRPr="00FF622B">
        <w:t>h of the above LED treatments:</w:t>
      </w:r>
    </w:p>
    <w:p w:rsidR="00000000" w:rsidRPr="00FF622B" w:rsidP="00FF622B">
      <w:pPr>
        <w:pStyle w:val="ListBullet2"/>
      </w:pPr>
      <w:r w:rsidRPr="00FF622B">
        <w:t>adjust and modify treatment programs in response to client reaction to treatment</w:t>
      </w:r>
    </w:p>
    <w:p w:rsidR="00000000" w:rsidRPr="00FF622B" w:rsidP="00FF622B">
      <w:pPr>
        <w:pStyle w:val="ListBullet2"/>
      </w:pPr>
      <w:r w:rsidRPr="00FF622B">
        <w:t xml:space="preserve">correctly set-up, operate and pack down equipment </w:t>
      </w:r>
    </w:p>
    <w:p w:rsidR="00000000" w:rsidRPr="00FF622B" w:rsidP="00FF622B">
      <w:pPr>
        <w:pStyle w:val="ListBullet2"/>
      </w:pPr>
      <w:r w:rsidRPr="00FF622B">
        <w:t xml:space="preserve">provide pre- and post-treatment advice to clients </w:t>
      </w:r>
    </w:p>
    <w:p w:rsidR="00000000" w:rsidRPr="00FF622B" w:rsidP="00FF622B">
      <w:pPr>
        <w:pStyle w:val="ListBullet2"/>
      </w:pPr>
      <w:r w:rsidRPr="00FF622B">
        <w:t>complete and store client records and wor</w:t>
      </w:r>
      <w:r w:rsidRPr="00FF622B">
        <w:t xml:space="preserve">kplace documentation </w:t>
      </w:r>
    </w:p>
    <w:p w:rsidR="00000000" w:rsidRPr="00FF622B" w:rsidP="00FF622B">
      <w:pPr>
        <w:pStyle w:val="ListBullet2"/>
      </w:pPr>
      <w:r w:rsidRPr="00FF622B">
        <w:t>consult, advise and reassure clients at all stages in treatment</w:t>
      </w:r>
    </w:p>
    <w:p w:rsidR="00000000" w:rsidRPr="00FF622B" w:rsidP="00FF622B">
      <w:pPr>
        <w:pStyle w:val="ListBullet"/>
      </w:pPr>
      <w:r w:rsidRPr="00FF622B">
        <w:t>during the above treatments, consistently follow organisational policies and procedures and relevant state or territory laws, codes and guidelines related to the safe us</w:t>
      </w:r>
      <w:r w:rsidRPr="00FF622B">
        <w:t>e of LED for cosmetic treatments.</w:t>
      </w:r>
    </w:p>
    <w:p w:rsidR="00000000" w:rsidRPr="00FF622B" w:rsidP="00FF622B">
      <w:pPr>
        <w:pStyle w:val="AllowPageBreak"/>
      </w:pPr>
    </w:p>
    <w:p w:rsidR="00000000" w:rsidRPr="00FF622B" w:rsidP="00FF622B">
      <w:pPr>
        <w:pStyle w:val="Heading1"/>
      </w:pPr>
      <w:bookmarkStart w:id="3" w:name="O_1204089"/>
      <w:bookmarkEnd w:id="3"/>
      <w:r w:rsidRPr="00FF622B">
        <w:t>Knowledge Evidence</w:t>
      </w:r>
    </w:p>
    <w:p w:rsidR="00000000" w:rsidRPr="00FF622B" w:rsidP="006F6AC9">
      <w:pPr>
        <w:pStyle w:val="BodyText"/>
      </w:pPr>
      <w:r w:rsidRPr="00FF622B">
        <w:t>Demonstrated knowledge required to complete the tasks outlined in elements and performance criteria of this unit:</w:t>
      </w:r>
    </w:p>
    <w:p w:rsidR="00000000" w:rsidRPr="00FF622B" w:rsidP="00FF622B">
      <w:pPr>
        <w:pStyle w:val="ListBullet"/>
      </w:pPr>
      <w:r w:rsidRPr="00FF622B">
        <w:t>current local, state or territory health legislation, regulation and industry standards and guidelines relevant to LED skin therapy</w:t>
      </w:r>
    </w:p>
    <w:p w:rsidR="00000000" w:rsidRPr="00FF622B" w:rsidP="00FF622B">
      <w:pPr>
        <w:pStyle w:val="ListBullet"/>
      </w:pPr>
      <w:r w:rsidRPr="00FF622B">
        <w:t>practitioner</w:t>
      </w:r>
      <w:r>
        <w:t>’</w:t>
      </w:r>
      <w:r w:rsidRPr="00FF622B">
        <w:t>s legal and insurance liabilities and responsibilities for LED treatment:</w:t>
      </w:r>
    </w:p>
    <w:p w:rsidR="00000000" w:rsidRPr="00FF622B" w:rsidP="00FF622B">
      <w:pPr>
        <w:pStyle w:val="ListBullet2"/>
      </w:pPr>
      <w:r w:rsidRPr="00FF622B">
        <w:t>role and importance of indemnity ins</w:t>
      </w:r>
      <w:r w:rsidRPr="00FF622B">
        <w:t>urance</w:t>
      </w:r>
    </w:p>
    <w:p w:rsidR="00000000" w:rsidRPr="00FF622B" w:rsidP="00FF622B">
      <w:pPr>
        <w:pStyle w:val="ListBullet2"/>
      </w:pPr>
      <w:r w:rsidRPr="00FF622B">
        <w:t>potential risks, liabilities and consequences of non-coverage</w:t>
      </w:r>
    </w:p>
    <w:p w:rsidR="00000000" w:rsidRPr="00FF622B" w:rsidP="00FF622B">
      <w:pPr>
        <w:pStyle w:val="ListBullet"/>
      </w:pPr>
      <w:r w:rsidRPr="00FF622B">
        <w:t>responsibilities of practitioner and client related to safe and responsible LED skin treatment</w:t>
      </w:r>
    </w:p>
    <w:p w:rsidR="00000000" w:rsidRPr="00FF622B" w:rsidP="00FF622B">
      <w:pPr>
        <w:pStyle w:val="ListBullet"/>
      </w:pPr>
      <w:r w:rsidRPr="00FF622B">
        <w:t>organisational policies and procedures in regard to LED technologies including those for tr</w:t>
      </w:r>
      <w:r w:rsidRPr="00FF622B">
        <w:t>eatment of minors</w:t>
      </w:r>
    </w:p>
    <w:p w:rsidR="00000000" w:rsidRPr="00FF622B" w:rsidP="00FF622B">
      <w:pPr>
        <w:pStyle w:val="ListBullet"/>
      </w:pPr>
      <w:r w:rsidRPr="00FF622B">
        <w:t>types of LED devices and equipment commonly used within industry and accepted by industry standards, their recommended use and application</w:t>
      </w:r>
    </w:p>
    <w:p w:rsidR="00000000" w:rsidRPr="00FF622B" w:rsidP="00FF622B">
      <w:pPr>
        <w:pStyle w:val="ListBullet"/>
      </w:pPr>
      <w:r w:rsidRPr="00FF622B">
        <w:t>scope of practice for skin therapists and factors governing treatment parameters</w:t>
      </w:r>
    </w:p>
    <w:p w:rsidR="00000000" w:rsidRPr="00FF622B" w:rsidP="00FF622B">
      <w:pPr>
        <w:pStyle w:val="ListBullet"/>
      </w:pPr>
      <w:r w:rsidRPr="00FF622B">
        <w:t>principles of ligh</w:t>
      </w:r>
      <w:r w:rsidRPr="00FF622B">
        <w:t>t energy and how it interacts with the skin</w:t>
      </w:r>
    </w:p>
    <w:p w:rsidR="00000000" w:rsidRPr="00FF622B" w:rsidP="00FF622B">
      <w:pPr>
        <w:pStyle w:val="ListBullet"/>
      </w:pPr>
      <w:r w:rsidRPr="00FF622B">
        <w:t xml:space="preserve">factors impacting client suitability for LED and their associated risks, benefits and required action </w:t>
      </w:r>
    </w:p>
    <w:p w:rsidR="00000000" w:rsidRPr="00FF622B" w:rsidP="00FF622B">
      <w:pPr>
        <w:pStyle w:val="ListBullet"/>
      </w:pPr>
      <w:r w:rsidRPr="00FF622B">
        <w:t>treatment plan components</w:t>
      </w:r>
    </w:p>
    <w:p w:rsidR="00000000" w:rsidRPr="00FF622B" w:rsidP="00FF622B">
      <w:pPr>
        <w:pStyle w:val="ListBullet"/>
      </w:pPr>
      <w:r w:rsidRPr="00FF622B">
        <w:t>factors affecting LED treatments:</w:t>
      </w:r>
    </w:p>
    <w:p w:rsidR="00000000" w:rsidRPr="00FF622B" w:rsidP="00FF622B">
      <w:pPr>
        <w:pStyle w:val="ListBullet2"/>
      </w:pPr>
      <w:r w:rsidRPr="00FF622B">
        <w:t>areas unsuitable for treatment</w:t>
      </w:r>
    </w:p>
    <w:p w:rsidR="00000000" w:rsidRPr="00FF622B" w:rsidP="00FF622B">
      <w:pPr>
        <w:pStyle w:val="ListBullet2"/>
      </w:pPr>
      <w:r w:rsidRPr="00FF622B">
        <w:t xml:space="preserve">tissue responses </w:t>
      </w:r>
    </w:p>
    <w:p w:rsidR="00000000" w:rsidRPr="00FF622B" w:rsidP="00FF622B">
      <w:pPr>
        <w:pStyle w:val="ListBullet2"/>
      </w:pPr>
      <w:r w:rsidRPr="00FF622B">
        <w:t xml:space="preserve">allergic and adverse effects </w:t>
      </w:r>
    </w:p>
    <w:p w:rsidR="00000000" w:rsidRPr="00FF622B" w:rsidP="00FF622B">
      <w:pPr>
        <w:pStyle w:val="ListBullet"/>
      </w:pPr>
      <w:r w:rsidRPr="00FF622B">
        <w:t>process for obtaining written permission from a medical professional to proceed with treatment where there is pigmentation or a contraindicated condition in treatment area</w:t>
      </w:r>
    </w:p>
    <w:p w:rsidR="00000000" w:rsidRPr="00FF622B" w:rsidP="00FF622B">
      <w:pPr>
        <w:pStyle w:val="ListBullet"/>
      </w:pPr>
      <w:r w:rsidRPr="00FF622B">
        <w:t>appearance of indications, contraindications and pre</w:t>
      </w:r>
      <w:r w:rsidRPr="00FF622B">
        <w:t>cautions to treatment</w:t>
      </w:r>
    </w:p>
    <w:p w:rsidR="00000000" w:rsidRPr="00FF622B" w:rsidP="00FF622B">
      <w:pPr>
        <w:pStyle w:val="ListBullet"/>
      </w:pPr>
      <w:r w:rsidRPr="00FF622B">
        <w:t>appearance, causes and management of skin reactions, complications and adverse effects in regard to LED treatments</w:t>
      </w:r>
    </w:p>
    <w:p w:rsidR="00000000" w:rsidRPr="00FF622B" w:rsidP="00FF622B">
      <w:pPr>
        <w:pStyle w:val="ListBullet"/>
      </w:pPr>
      <w:r w:rsidRPr="00FF622B">
        <w:t>post-treatment advice and care for all treatment areas.</w:t>
      </w:r>
    </w:p>
    <w:p w:rsidR="00000000" w:rsidRPr="00FF622B" w:rsidP="00FF622B">
      <w:pPr>
        <w:pStyle w:val="AllowPageBreak"/>
      </w:pPr>
    </w:p>
    <w:p w:rsidR="00000000" w:rsidRPr="00FF622B" w:rsidP="00FF622B">
      <w:pPr>
        <w:pStyle w:val="Heading1"/>
      </w:pPr>
      <w:bookmarkStart w:id="4" w:name="O_1204090"/>
      <w:bookmarkEnd w:id="4"/>
      <w:r w:rsidRPr="00FF622B">
        <w:t>Assessment Conditions</w:t>
      </w:r>
    </w:p>
    <w:p w:rsidR="00000000" w:rsidRPr="00FF622B" w:rsidP="006F6AC9">
      <w:pPr>
        <w:pStyle w:val="BodyText"/>
      </w:pPr>
      <w:r w:rsidRPr="00FF622B">
        <w:t>Skills must be demonst</w:t>
      </w:r>
      <w:r w:rsidRPr="00FF622B">
        <w:t>rated in a simulated LED clinical workplace environment set up for the purposes of assessment.</w:t>
      </w:r>
    </w:p>
    <w:p w:rsidR="00000000" w:rsidRPr="00FF622B" w:rsidP="006F6AC9">
      <w:pPr>
        <w:pStyle w:val="BodyText"/>
      </w:pPr>
      <w:r w:rsidRPr="00FF622B">
        <w:t>Assessment must ensure access to:</w:t>
      </w:r>
    </w:p>
    <w:p w:rsidR="00000000" w:rsidRPr="00FF622B" w:rsidP="00FF622B">
      <w:pPr>
        <w:pStyle w:val="ListBullet"/>
      </w:pPr>
      <w:r w:rsidRPr="00FF622B">
        <w:t>relevant documentation including:</w:t>
      </w:r>
    </w:p>
    <w:p w:rsidR="00000000" w:rsidRPr="00FF622B" w:rsidP="00FF622B">
      <w:pPr>
        <w:pStyle w:val="ListBullet2"/>
      </w:pPr>
      <w:r w:rsidRPr="00FF622B">
        <w:t>AS/NZS IEC 62471:2011 Photobiological safety of lamps and lamp systems.</w:t>
      </w:r>
    </w:p>
    <w:p w:rsidR="00000000" w:rsidRPr="00FF622B" w:rsidP="00FF622B">
      <w:pPr>
        <w:pStyle w:val="ListBullet2"/>
      </w:pPr>
      <w:r w:rsidRPr="00FF622B">
        <w:t>product manufacturer instructions and safety data sheets</w:t>
      </w:r>
    </w:p>
    <w:p w:rsidR="00000000" w:rsidRPr="00FF622B" w:rsidP="00FF622B">
      <w:pPr>
        <w:pStyle w:val="ListBullet2"/>
      </w:pPr>
      <w:r w:rsidRPr="00FF622B">
        <w:t>organisational policies and procedures relevant to use of LED technology for use in skin therapy</w:t>
      </w:r>
    </w:p>
    <w:p w:rsidR="00000000" w:rsidRPr="00FF622B" w:rsidP="00FF622B">
      <w:pPr>
        <w:pStyle w:val="ListBullet2"/>
      </w:pPr>
      <w:r w:rsidRPr="00FF622B">
        <w:t>safety data sheets</w:t>
      </w:r>
    </w:p>
    <w:p w:rsidR="00000000" w:rsidRPr="00FF622B" w:rsidP="00FF622B">
      <w:pPr>
        <w:pStyle w:val="ListBullet2"/>
      </w:pPr>
      <w:r w:rsidRPr="00FF622B">
        <w:t>manufacturer and product instructions</w:t>
      </w:r>
    </w:p>
    <w:p w:rsidR="00000000" w:rsidRPr="00FF622B" w:rsidP="00FF622B">
      <w:pPr>
        <w:pStyle w:val="ListBullet2"/>
      </w:pPr>
      <w:r w:rsidRPr="00FF622B">
        <w:t xml:space="preserve">organisational policies and procedures </w:t>
      </w:r>
    </w:p>
    <w:p w:rsidR="00000000" w:rsidRPr="00FF622B" w:rsidP="00FF622B">
      <w:pPr>
        <w:pStyle w:val="ListBullet2"/>
      </w:pPr>
      <w:r w:rsidRPr="00FF622B">
        <w:t>clien</w:t>
      </w:r>
      <w:r w:rsidRPr="00FF622B">
        <w:t>t content and consultation forms</w:t>
      </w:r>
    </w:p>
    <w:p w:rsidR="00000000" w:rsidRPr="00FF622B" w:rsidP="00FF622B">
      <w:pPr>
        <w:pStyle w:val="ListBullet2"/>
      </w:pPr>
      <w:r w:rsidRPr="00FF622B">
        <w:t>treatment log book</w:t>
      </w:r>
    </w:p>
    <w:p w:rsidR="00000000" w:rsidRPr="00FF622B" w:rsidP="00FF622B">
      <w:pPr>
        <w:pStyle w:val="ListBullet2"/>
      </w:pPr>
      <w:r w:rsidRPr="00FF622B">
        <w:t>post-care forms.</w:t>
      </w:r>
    </w:p>
    <w:p w:rsidR="00000000" w:rsidRPr="00FF622B" w:rsidP="006F6AC9">
      <w:pPr>
        <w:pStyle w:val="BodyText"/>
      </w:pPr>
      <w:r w:rsidRPr="00FF622B">
        <w:t>Assessment must ensure use of:</w:t>
      </w:r>
    </w:p>
    <w:p w:rsidR="00000000" w:rsidRPr="00FF622B" w:rsidP="00FF622B">
      <w:pPr>
        <w:pStyle w:val="ListBullet"/>
      </w:pPr>
      <w:r w:rsidRPr="00FF622B">
        <w:t>LED devices which are registered for purpose on the Australian Register of Therapeutic Goods</w:t>
      </w:r>
    </w:p>
    <w:p w:rsidR="00000000" w:rsidRPr="00FF622B" w:rsidP="00FF622B">
      <w:pPr>
        <w:pStyle w:val="ListBullet"/>
      </w:pPr>
      <w:r w:rsidRPr="00FF622B">
        <w:t>individual client workstations with:</w:t>
      </w:r>
    </w:p>
    <w:p w:rsidR="00000000" w:rsidRPr="00FF622B" w:rsidP="00FF622B">
      <w:pPr>
        <w:pStyle w:val="ListBullet2"/>
      </w:pPr>
      <w:r w:rsidRPr="00FF622B">
        <w:t>electrical supply</w:t>
      </w:r>
    </w:p>
    <w:p w:rsidR="00000000" w:rsidRPr="00FF622B" w:rsidP="00FF622B">
      <w:pPr>
        <w:pStyle w:val="ListBullet2"/>
      </w:pPr>
      <w:r w:rsidRPr="00FF622B">
        <w:t>sharps</w:t>
      </w:r>
      <w:r w:rsidRPr="00FF622B">
        <w:t xml:space="preserve"> container</w:t>
      </w:r>
    </w:p>
    <w:p w:rsidR="00000000" w:rsidRPr="00FF622B" w:rsidP="00FF622B">
      <w:pPr>
        <w:pStyle w:val="ListBullet2"/>
      </w:pPr>
      <w:r w:rsidRPr="00FF622B">
        <w:t>adjustable couches with safe working access for operator and equipment at head, foot and each side</w:t>
      </w:r>
    </w:p>
    <w:p w:rsidR="00000000" w:rsidRPr="00FF622B" w:rsidP="00FF622B">
      <w:pPr>
        <w:pStyle w:val="ListBullet2"/>
      </w:pPr>
      <w:r w:rsidRPr="00FF622B">
        <w:t>magnifying lamps</w:t>
      </w:r>
    </w:p>
    <w:p w:rsidR="00000000" w:rsidRPr="00FF622B" w:rsidP="00FF622B">
      <w:pPr>
        <w:pStyle w:val="ListBullet2"/>
      </w:pPr>
      <w:r w:rsidRPr="00FF622B">
        <w:t>trolleys</w:t>
      </w:r>
    </w:p>
    <w:p w:rsidR="00000000" w:rsidRPr="00FF622B" w:rsidP="00FF622B">
      <w:pPr>
        <w:pStyle w:val="ListBullet2"/>
      </w:pPr>
      <w:r w:rsidRPr="00FF622B">
        <w:t>protective eyewear</w:t>
      </w:r>
    </w:p>
    <w:p w:rsidR="00000000" w:rsidRPr="00FF622B" w:rsidP="00FF622B">
      <w:pPr>
        <w:pStyle w:val="ListBullet2"/>
      </w:pPr>
      <w:r w:rsidRPr="00FF622B">
        <w:t>towels</w:t>
      </w:r>
    </w:p>
    <w:p w:rsidR="00000000" w:rsidRPr="00FF622B" w:rsidP="00FF622B">
      <w:pPr>
        <w:pStyle w:val="ListBullet2"/>
      </w:pPr>
      <w:r w:rsidRPr="00FF622B">
        <w:t>client gowns and covers</w:t>
      </w:r>
    </w:p>
    <w:p w:rsidR="00000000" w:rsidRPr="00FF622B" w:rsidP="00FF622B">
      <w:pPr>
        <w:pStyle w:val="ListBullet2"/>
      </w:pPr>
      <w:r w:rsidRPr="00FF622B">
        <w:t>products from a professional range suited to complex skin needs</w:t>
      </w:r>
    </w:p>
    <w:p w:rsidR="00000000" w:rsidRPr="00FF622B" w:rsidP="00FF622B">
      <w:pPr>
        <w:pStyle w:val="ListBullet2"/>
      </w:pPr>
      <w:r w:rsidRPr="00FF622B">
        <w:t>cleaning and disinfection products and equipment</w:t>
      </w:r>
    </w:p>
    <w:p w:rsidR="00000000" w:rsidRPr="00FF622B" w:rsidP="00FF622B">
      <w:pPr>
        <w:pStyle w:val="ListBullet2"/>
      </w:pPr>
      <w:r w:rsidRPr="00FF622B">
        <w:t>skin antiseptic</w:t>
      </w:r>
    </w:p>
    <w:p w:rsidR="00000000" w:rsidRPr="00FF622B" w:rsidP="00FF622B">
      <w:pPr>
        <w:pStyle w:val="ListBullet2"/>
      </w:pPr>
      <w:r w:rsidRPr="00FF622B">
        <w:t>disposable sponges and skin wipes</w:t>
      </w:r>
    </w:p>
    <w:p w:rsidR="00000000" w:rsidRPr="00FF622B" w:rsidP="00FF622B">
      <w:pPr>
        <w:pStyle w:val="ListBullet2"/>
      </w:pPr>
      <w:r w:rsidRPr="00FF622B">
        <w:t>thermometer</w:t>
      </w:r>
    </w:p>
    <w:p w:rsidR="00000000" w:rsidRPr="00FF622B" w:rsidP="00FF622B">
      <w:pPr>
        <w:pStyle w:val="ListBullet"/>
      </w:pPr>
      <w:r w:rsidRPr="00FF622B">
        <w:t xml:space="preserve">real people with different skin types seeking skin treatments </w:t>
      </w:r>
    </w:p>
    <w:p w:rsidR="00000000" w:rsidRPr="00FF622B" w:rsidP="00FF622B">
      <w:pPr>
        <w:pStyle w:val="ListBullet"/>
      </w:pPr>
      <w:r w:rsidRPr="00FF622B">
        <w:t>activities that reflect industry practice and allow the individual to work with c</w:t>
      </w:r>
      <w:r w:rsidRPr="00FF622B">
        <w:t>ommercial timing and productivity to complete client treatments within designated timeframes.</w:t>
      </w:r>
    </w:p>
    <w:p w:rsidR="00000000" w:rsidRPr="00FF622B" w:rsidP="006F6AC9">
      <w:pPr>
        <w:pStyle w:val="BodyText"/>
      </w:pPr>
      <w:r w:rsidRPr="00FF622B">
        <w:t>Assessment must be directly observed, in person, for the total duration of each LED client consultation and patch test, by assessors who meet the assessor require</w:t>
      </w:r>
      <w:r w:rsidRPr="00FF622B">
        <w:t>ments outlined below.</w:t>
      </w:r>
    </w:p>
    <w:p w:rsidR="00000000" w:rsidRPr="00FF622B" w:rsidP="006F6AC9">
      <w:pPr>
        <w:pStyle w:val="BodyText"/>
      </w:pPr>
      <w:r w:rsidRPr="00FF622B">
        <w:t>Assessors must satisfy the Standards for Registered Training Organisations</w:t>
      </w:r>
      <w:r>
        <w:t>’</w:t>
      </w:r>
      <w:r w:rsidRPr="00FF622B">
        <w:t xml:space="preserve"> requirements for assessors and:</w:t>
      </w:r>
    </w:p>
    <w:p w:rsidR="00000000" w:rsidRPr="00FF622B" w:rsidP="00FF622B">
      <w:pPr>
        <w:pStyle w:val="ListBullet"/>
      </w:pPr>
      <w:r w:rsidRPr="00FF622B">
        <w:t>have worked for at least three years where they have applied the skills and knowledge of this unit of competency.</w:t>
      </w:r>
    </w:p>
    <w:p w:rsidR="00000000" w:rsidRPr="00FF622B" w:rsidP="00FF622B">
      <w:pPr>
        <w:pStyle w:val="AllowPageBreak"/>
      </w:pPr>
    </w:p>
    <w:p w:rsidR="00000000" w:rsidRPr="00FF622B" w:rsidP="00FF622B">
      <w:pPr>
        <w:pStyle w:val="Heading1"/>
      </w:pPr>
      <w:bookmarkStart w:id="5" w:name="O_1204093"/>
      <w:bookmarkEnd w:id="5"/>
      <w:r w:rsidRPr="00FF622B">
        <w:t>Links</w:t>
      </w:r>
    </w:p>
    <w:p w:rsidR="00000000" w:rsidRPr="00FF622B" w:rsidP="006F6AC9">
      <w:pPr>
        <w:pStyle w:val="BodyText"/>
      </w:pPr>
      <w:r w:rsidRPr="00FF62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945F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F622B" w:rsidP="00FF622B"/>
    <w:sectPr w:rsidSect="00FF62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2B" w:rsidRPr="006F6AC9" w:rsidP="006F6A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AC9" w:rsidP="00FF6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6AC9" w:rsidP="00FF6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6AC9" w:rsidP="00FF62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A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22B" w:rsidRPr="006F6AC9" w:rsidP="006F6A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2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AC9" w:rsidRPr="002D2AF8" w:rsidP="00FF6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SHBBSKT009 Provide light emitting diode skin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6F6AC9" w:rsidP="00FF62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3812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DE3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F295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2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2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2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2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2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2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2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2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2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2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2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22B"/>
  </w:style>
  <w:style w:type="character" w:customStyle="1" w:styleId="Heading1Char">
    <w:name w:val="Heading 1 Char"/>
    <w:basedOn w:val="DefaultParagraphFont"/>
    <w:link w:val="Heading1"/>
    <w:rsid w:val="00FF62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2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2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2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62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62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2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2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2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2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2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2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2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2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2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2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2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2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2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2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2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2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2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22B"/>
    <w:rPr>
      <w:b/>
      <w:spacing w:val="0"/>
    </w:rPr>
  </w:style>
  <w:style w:type="paragraph" w:customStyle="1" w:styleId="SuperTitle">
    <w:name w:val="SuperTitle"/>
    <w:basedOn w:val="Title"/>
    <w:rsid w:val="00FF62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2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2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2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2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2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2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2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2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2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2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2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22B"/>
    <w:rPr>
      <w:i/>
    </w:rPr>
  </w:style>
  <w:style w:type="paragraph" w:styleId="Caption">
    <w:name w:val="caption"/>
    <w:basedOn w:val="BodyText"/>
    <w:next w:val="Normal"/>
    <w:qFormat/>
    <w:rsid w:val="00FF62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2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2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22B"/>
  </w:style>
  <w:style w:type="paragraph" w:styleId="TableofFigures">
    <w:name w:val="table of figures"/>
    <w:basedOn w:val="Normal"/>
    <w:next w:val="Normal"/>
    <w:semiHidden/>
    <w:rsid w:val="00FF62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2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622B"/>
    <w:rPr>
      <w:rFonts w:ascii="Wingdings" w:hAnsi="Wingdings"/>
    </w:rPr>
  </w:style>
  <w:style w:type="paragraph" w:customStyle="1" w:styleId="TableHeading">
    <w:name w:val="Table Heading"/>
    <w:basedOn w:val="HeadingBase"/>
    <w:rsid w:val="00FF62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22B"/>
    <w:rPr>
      <w:color w:val="0033CC"/>
      <w:u w:val="none"/>
    </w:rPr>
  </w:style>
  <w:style w:type="paragraph" w:customStyle="1" w:styleId="BodyTextRight">
    <w:name w:val="Body Text Right"/>
    <w:basedOn w:val="BodyText"/>
    <w:rsid w:val="00FF62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2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2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2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2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2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22B"/>
    <w:rPr>
      <w:sz w:val="32"/>
    </w:rPr>
  </w:style>
  <w:style w:type="paragraph" w:customStyle="1" w:styleId="HeadingProcedure">
    <w:name w:val="Heading Procedure"/>
    <w:basedOn w:val="HeadingBase"/>
    <w:next w:val="Normal"/>
    <w:rsid w:val="00FF62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22B"/>
    <w:pPr>
      <w:spacing w:before="60" w:after="60"/>
    </w:pPr>
  </w:style>
  <w:style w:type="paragraph" w:styleId="ListContinue">
    <w:name w:val="List Continue"/>
    <w:basedOn w:val="List"/>
    <w:rsid w:val="00FF622B"/>
    <w:pPr>
      <w:ind w:firstLine="0"/>
    </w:pPr>
  </w:style>
  <w:style w:type="paragraph" w:customStyle="1" w:styleId="ListNote">
    <w:name w:val="List Note"/>
    <w:basedOn w:val="List"/>
    <w:rsid w:val="00FF62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2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2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22B"/>
    <w:rPr>
      <w:rFonts w:ascii="Courier New" w:hAnsi="Courier New"/>
    </w:rPr>
  </w:style>
  <w:style w:type="paragraph" w:customStyle="1" w:styleId="NoteBullet">
    <w:name w:val="Note Bullet"/>
    <w:basedOn w:val="Note"/>
    <w:rsid w:val="00FF62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2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2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2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2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2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2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22B"/>
    <w:rPr>
      <w:b/>
      <w:smallCaps/>
    </w:rPr>
  </w:style>
  <w:style w:type="paragraph" w:customStyle="1" w:styleId="TableListNumber">
    <w:name w:val="Table List Number"/>
    <w:basedOn w:val="ListNumber"/>
    <w:rsid w:val="00FF62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2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22B"/>
    <w:pPr>
      <w:numPr>
        <w:numId w:val="9"/>
      </w:numPr>
    </w:pPr>
  </w:style>
  <w:style w:type="paragraph" w:customStyle="1" w:styleId="ListAlpha2">
    <w:name w:val="List Alpha 2"/>
    <w:basedOn w:val="List2"/>
    <w:rsid w:val="00FF622B"/>
    <w:pPr>
      <w:numPr>
        <w:numId w:val="8"/>
      </w:numPr>
    </w:pPr>
  </w:style>
  <w:style w:type="paragraph" w:styleId="List2">
    <w:name w:val="List 2"/>
    <w:basedOn w:val="BodyText"/>
    <w:rsid w:val="00FF62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2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2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2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2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2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622B"/>
    <w:pPr>
      <w:numPr>
        <w:numId w:val="4"/>
      </w:numPr>
    </w:pPr>
  </w:style>
  <w:style w:type="paragraph" w:styleId="ListContinue2">
    <w:name w:val="List Continue 2"/>
    <w:basedOn w:val="List2"/>
    <w:rsid w:val="00FF622B"/>
    <w:pPr>
      <w:ind w:firstLine="0"/>
    </w:pPr>
  </w:style>
  <w:style w:type="paragraph" w:styleId="ListContinue3">
    <w:name w:val="List Continue 3"/>
    <w:basedOn w:val="List3"/>
    <w:rsid w:val="00FF622B"/>
    <w:pPr>
      <w:ind w:left="1021" w:firstLine="0"/>
    </w:pPr>
  </w:style>
  <w:style w:type="paragraph" w:styleId="ListContinue4">
    <w:name w:val="List Continue 4"/>
    <w:basedOn w:val="List4"/>
    <w:rsid w:val="00FF622B"/>
    <w:pPr>
      <w:ind w:firstLine="0"/>
    </w:pPr>
  </w:style>
  <w:style w:type="paragraph" w:styleId="ListContinue5">
    <w:name w:val="List Continue 5"/>
    <w:basedOn w:val="List5"/>
    <w:rsid w:val="00FF622B"/>
    <w:pPr>
      <w:ind w:firstLine="0"/>
    </w:pPr>
  </w:style>
  <w:style w:type="paragraph" w:styleId="ListNumber3">
    <w:name w:val="List Number 3"/>
    <w:basedOn w:val="List3"/>
    <w:rsid w:val="00FF622B"/>
    <w:pPr>
      <w:numPr>
        <w:numId w:val="5"/>
      </w:numPr>
    </w:pPr>
  </w:style>
  <w:style w:type="paragraph" w:styleId="ListNumber4">
    <w:name w:val="List Number 4"/>
    <w:basedOn w:val="List4"/>
    <w:rsid w:val="00FF622B"/>
    <w:pPr>
      <w:numPr>
        <w:numId w:val="6"/>
      </w:numPr>
    </w:pPr>
  </w:style>
  <w:style w:type="paragraph" w:styleId="ListNumber5">
    <w:name w:val="List Number 5"/>
    <w:basedOn w:val="List5"/>
    <w:rsid w:val="00FF622B"/>
    <w:pPr>
      <w:numPr>
        <w:numId w:val="7"/>
      </w:numPr>
    </w:pPr>
  </w:style>
  <w:style w:type="paragraph" w:styleId="BlockText">
    <w:name w:val="Block Text"/>
    <w:basedOn w:val="Normal"/>
    <w:rsid w:val="00FF62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2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22B"/>
    <w:rPr>
      <w:sz w:val="16"/>
      <w:vertAlign w:val="superscript"/>
    </w:rPr>
  </w:style>
  <w:style w:type="character" w:customStyle="1" w:styleId="Symbols">
    <w:name w:val="Symbols"/>
    <w:basedOn w:val="DefaultParagraphFont"/>
    <w:rsid w:val="00FF622B"/>
    <w:rPr>
      <w:rFonts w:ascii="Symbol" w:hAnsi="Symbol"/>
    </w:rPr>
  </w:style>
  <w:style w:type="character" w:customStyle="1" w:styleId="MenuOptions">
    <w:name w:val="Menu Options"/>
    <w:basedOn w:val="DefaultParagraphFont"/>
    <w:rsid w:val="00FF62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22B"/>
    <w:rPr>
      <w:b/>
    </w:rPr>
  </w:style>
  <w:style w:type="character" w:customStyle="1" w:styleId="Underlined">
    <w:name w:val="Underlined"/>
    <w:basedOn w:val="DefaultParagraphFont"/>
    <w:rsid w:val="00FF622B"/>
    <w:rPr>
      <w:u w:val="single"/>
    </w:rPr>
  </w:style>
  <w:style w:type="paragraph" w:customStyle="1" w:styleId="TableBodyTextRight">
    <w:name w:val="Table Body Text Right"/>
    <w:basedOn w:val="TableBodyText"/>
    <w:rsid w:val="00FF62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22B"/>
    <w:rPr>
      <w:sz w:val="18"/>
    </w:rPr>
  </w:style>
  <w:style w:type="paragraph" w:customStyle="1" w:styleId="BodySmallRight">
    <w:name w:val="Body Small Right"/>
    <w:basedOn w:val="BodyTextRight"/>
    <w:rsid w:val="00FF622B"/>
    <w:rPr>
      <w:sz w:val="18"/>
      <w:szCs w:val="18"/>
    </w:rPr>
  </w:style>
  <w:style w:type="paragraph" w:customStyle="1" w:styleId="MarginEdition">
    <w:name w:val="Margin Edition"/>
    <w:basedOn w:val="MarginNote"/>
    <w:rsid w:val="00FF62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22B"/>
    <w:rPr>
      <w:sz w:val="2"/>
      <w:szCs w:val="2"/>
    </w:rPr>
  </w:style>
  <w:style w:type="character" w:customStyle="1" w:styleId="Small">
    <w:name w:val="Small"/>
    <w:basedOn w:val="DefaultParagraphFont"/>
    <w:rsid w:val="00FF622B"/>
    <w:rPr>
      <w:sz w:val="16"/>
    </w:rPr>
  </w:style>
  <w:style w:type="paragraph" w:customStyle="1" w:styleId="WideTable">
    <w:name w:val="Wide Table"/>
    <w:basedOn w:val="Normal"/>
    <w:rsid w:val="00FF62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22B"/>
  </w:style>
  <w:style w:type="paragraph" w:styleId="Quote">
    <w:name w:val="Quote"/>
    <w:basedOn w:val="Heading1"/>
    <w:link w:val="QuoteChar"/>
    <w:qFormat/>
    <w:rsid w:val="00FF62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2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22B"/>
    <w:pPr>
      <w:pageBreakBefore/>
    </w:pPr>
  </w:style>
  <w:style w:type="paragraph" w:customStyle="1" w:styleId="Border">
    <w:name w:val="Border"/>
    <w:basedOn w:val="Normal"/>
    <w:qFormat/>
    <w:rsid w:val="00FF62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2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2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2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2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2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2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2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2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22B"/>
    <w:rPr>
      <w:u w:val="single"/>
    </w:rPr>
  </w:style>
  <w:style w:type="character" w:customStyle="1" w:styleId="BoldandItalics">
    <w:name w:val="Bold and Italics"/>
    <w:qFormat/>
    <w:rsid w:val="00FF622B"/>
    <w:rPr>
      <w:b/>
      <w:i/>
      <w:u w:val="none"/>
    </w:rPr>
  </w:style>
  <w:style w:type="paragraph" w:styleId="BalloonText">
    <w:name w:val="Balloon Text"/>
    <w:basedOn w:val="Normal"/>
    <w:link w:val="BalloonTextChar"/>
    <w:rsid w:val="00FF6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2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2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2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2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2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22B"/>
    <w:pPr>
      <w:spacing w:before="0" w:after="0"/>
    </w:pPr>
  </w:style>
  <w:style w:type="paragraph" w:customStyle="1" w:styleId="BodyTextBold">
    <w:name w:val="Body Text Bold"/>
    <w:basedOn w:val="BodyText"/>
    <w:qFormat/>
    <w:rsid w:val="00FF622B"/>
    <w:rPr>
      <w:b/>
    </w:rPr>
  </w:style>
  <w:style w:type="character" w:styleId="Hyperlink">
    <w:name w:val="Hyperlink"/>
    <w:basedOn w:val="DefaultParagraphFont"/>
    <w:uiPriority w:val="99"/>
    <w:unhideWhenUsed/>
    <w:rsid w:val="006F6A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4118</Characters>
  <Application>Microsoft Office Word</Application>
  <DocSecurity>0</DocSecurity>
  <Lines>105</Lines>
  <Paragraphs>85</Paragraphs>
  <ScaleCrop>false</ScaleCrop>
  <Company>Author-it Software Corporation Ltd.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SHBBSKT009 Provide light emitting diode skin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