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0DDD" w:rsidP="00D20D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SHBBSKT008 Design light emitting diode treatment programs</w:t>
      </w:r>
      <w:r>
        <w:fldChar w:fldCharType="end"/>
      </w:r>
    </w:p>
    <w:p w:rsidR="00D20DDD" w:rsidP="00D20DDD">
      <w:pPr>
        <w:pStyle w:val="Version"/>
        <w:sectPr w:rsidSect="00C871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71B2" w:rsidP="00C871B2">
      <w:pPr>
        <w:pStyle w:val="SuperHeading"/>
      </w:pPr>
      <w:r w:rsidRPr="00C871B2">
        <w:t>Assessment Requirements for SHBBSKT008 Design light emitting diode treatment programs</w:t>
      </w:r>
    </w:p>
    <w:p w:rsidR="00000000" w:rsidRPr="00C871B2" w:rsidP="00C871B2">
      <w:pPr>
        <w:pStyle w:val="Heading1"/>
      </w:pPr>
      <w:bookmarkStart w:id="1" w:name="O_1204068"/>
      <w:bookmarkEnd w:id="1"/>
      <w:r w:rsidRPr="00C871B2">
        <w:t>Modification History</w:t>
      </w:r>
    </w:p>
    <w:p w:rsidR="00000000" w:rsidRPr="00C871B2" w:rsidP="00D20DDD">
      <w:pPr>
        <w:pStyle w:val="BodyText"/>
      </w:pPr>
      <w:r w:rsidRPr="00C871B2">
        <w:t>No equivalent unit.</w:t>
      </w:r>
    </w:p>
    <w:p w:rsidR="00000000" w:rsidRPr="00C871B2" w:rsidP="00C871B2">
      <w:pPr>
        <w:pStyle w:val="Heading1"/>
      </w:pPr>
      <w:bookmarkStart w:id="2" w:name="O_1204069"/>
      <w:bookmarkEnd w:id="2"/>
      <w:r w:rsidRPr="00C871B2">
        <w:t>Performance Evidence</w:t>
      </w:r>
    </w:p>
    <w:p w:rsidR="00000000" w:rsidRPr="00C871B2" w:rsidP="00D20DDD">
      <w:pPr>
        <w:pStyle w:val="BodyText"/>
      </w:pPr>
      <w:r w:rsidRPr="00C871B2">
        <w:t>Evidence of the abil</w:t>
      </w:r>
      <w:r w:rsidRPr="00C871B2">
        <w:t>ity to complete tasks outlined in elements and performance criteria of this unit in the context of job role, and:</w:t>
      </w:r>
    </w:p>
    <w:p w:rsidR="00000000" w:rsidRPr="00C871B2" w:rsidP="00C871B2">
      <w:pPr>
        <w:pStyle w:val="ListBullet"/>
      </w:pPr>
      <w:r w:rsidRPr="00C871B2">
        <w:t>consult with at least three different clients, each with different Fitzpatrick skin types and treatment needs</w:t>
      </w:r>
    </w:p>
    <w:p w:rsidR="00000000" w:rsidRPr="00C871B2" w:rsidP="00C871B2">
      <w:pPr>
        <w:pStyle w:val="ListBullet"/>
      </w:pPr>
      <w:r w:rsidRPr="00C871B2">
        <w:t>for each of the above clients:</w:t>
      </w:r>
    </w:p>
    <w:p w:rsidR="00000000" w:rsidRPr="00C871B2" w:rsidP="00C871B2">
      <w:pPr>
        <w:pStyle w:val="ListBullet2"/>
      </w:pPr>
      <w:r w:rsidRPr="00C871B2">
        <w:t xml:space="preserve">design and document a LED treatment program </w:t>
      </w:r>
    </w:p>
    <w:p w:rsidR="00000000" w:rsidRPr="00C871B2" w:rsidP="00C871B2">
      <w:pPr>
        <w:pStyle w:val="ListBullet2"/>
      </w:pPr>
      <w:r w:rsidRPr="00C871B2">
        <w:t>record information obtained through all client consultation and observation</w:t>
      </w:r>
    </w:p>
    <w:p w:rsidR="00000000" w:rsidRPr="00C871B2" w:rsidP="00C871B2">
      <w:pPr>
        <w:pStyle w:val="ListBullet"/>
      </w:pPr>
      <w:r w:rsidRPr="00C871B2">
        <w:t xml:space="preserve">during all consultations, consistently follow organisational policies and procedures and relevant state or territory laws, codes and </w:t>
      </w:r>
      <w:r w:rsidRPr="00C871B2">
        <w:t>guidelines related to the use of LED for cosmetic treatments.</w:t>
      </w:r>
    </w:p>
    <w:p w:rsidR="00000000" w:rsidRPr="00C871B2" w:rsidP="00C871B2">
      <w:pPr>
        <w:pStyle w:val="AllowPageBreak"/>
      </w:pPr>
    </w:p>
    <w:p w:rsidR="00000000" w:rsidRPr="00C871B2" w:rsidP="00C871B2">
      <w:pPr>
        <w:pStyle w:val="Heading1"/>
      </w:pPr>
      <w:bookmarkStart w:id="3" w:name="O_1204070"/>
      <w:bookmarkEnd w:id="3"/>
      <w:r w:rsidRPr="00C871B2">
        <w:t>Knowledge Evidence</w:t>
      </w:r>
    </w:p>
    <w:p w:rsidR="00000000" w:rsidRPr="00C871B2" w:rsidP="00D20DDD">
      <w:pPr>
        <w:pStyle w:val="BodyText"/>
      </w:pPr>
      <w:r w:rsidRPr="00C871B2">
        <w:t>Demonstrated knowledge required to complete the tasks outlined in elements and performance criteria of this unit:</w:t>
      </w:r>
    </w:p>
    <w:p w:rsidR="00000000" w:rsidRPr="00C871B2" w:rsidP="00C871B2">
      <w:pPr>
        <w:pStyle w:val="ListBullet"/>
      </w:pPr>
      <w:r w:rsidRPr="00C871B2">
        <w:t xml:space="preserve">federal, state or territory and local Acts, regulations and standards relevant to LED treatments </w:t>
      </w:r>
    </w:p>
    <w:p w:rsidR="00000000" w:rsidRPr="00C871B2" w:rsidP="00C871B2">
      <w:pPr>
        <w:pStyle w:val="ListBullet"/>
      </w:pPr>
      <w:r w:rsidRPr="00C871B2">
        <w:t>organisational policies and procedures in regard to LED technologies</w:t>
      </w:r>
    </w:p>
    <w:p w:rsidR="00000000" w:rsidRPr="00C871B2" w:rsidP="00C871B2">
      <w:pPr>
        <w:pStyle w:val="ListBullet"/>
      </w:pPr>
      <w:r w:rsidRPr="00C871B2">
        <w:t>health and hygiene requirements in relation to light emitting diode treatment</w:t>
      </w:r>
    </w:p>
    <w:p w:rsidR="00000000" w:rsidRPr="00C871B2" w:rsidP="00C871B2">
      <w:pPr>
        <w:pStyle w:val="ListBullet"/>
      </w:pPr>
      <w:r w:rsidRPr="00C871B2">
        <w:t>practitione</w:t>
      </w:r>
      <w:r w:rsidRPr="00C871B2">
        <w:t>r’s legal and insurance liabilities and responsibilities for LED treatment:</w:t>
      </w:r>
    </w:p>
    <w:p w:rsidR="00000000" w:rsidRPr="00C871B2" w:rsidP="00C871B2">
      <w:pPr>
        <w:pStyle w:val="ListBullet2"/>
      </w:pPr>
      <w:r w:rsidRPr="00C871B2">
        <w:t>role and importance of indemnity insurance</w:t>
      </w:r>
    </w:p>
    <w:p w:rsidR="00000000" w:rsidRPr="00C871B2" w:rsidP="00C871B2">
      <w:pPr>
        <w:pStyle w:val="ListBullet2"/>
      </w:pPr>
      <w:r w:rsidRPr="00C871B2">
        <w:t xml:space="preserve">potential risks, liabilities and consequences of non-coverage </w:t>
      </w:r>
    </w:p>
    <w:p w:rsidR="00000000" w:rsidRPr="00C871B2" w:rsidP="00C871B2">
      <w:pPr>
        <w:pStyle w:val="ListBullet"/>
      </w:pPr>
      <w:r w:rsidRPr="00C871B2">
        <w:t>characteristics of the electromagnetic spectrum and their applications i</w:t>
      </w:r>
      <w:r w:rsidRPr="00C871B2">
        <w:t>n skin treatments</w:t>
      </w:r>
    </w:p>
    <w:p w:rsidR="00000000" w:rsidRPr="00C871B2" w:rsidP="00C871B2">
      <w:pPr>
        <w:pStyle w:val="ListBullet"/>
      </w:pPr>
      <w:r w:rsidRPr="00C871B2">
        <w:t xml:space="preserve">indications for treatment for LED: </w:t>
      </w:r>
    </w:p>
    <w:p w:rsidR="00000000" w:rsidRPr="00C871B2" w:rsidP="00C871B2">
      <w:pPr>
        <w:pStyle w:val="ListBullet2"/>
      </w:pPr>
      <w:r w:rsidRPr="00C871B2">
        <w:t>sun damaged skin</w:t>
      </w:r>
    </w:p>
    <w:p w:rsidR="00000000" w:rsidRPr="00C871B2" w:rsidP="00C871B2">
      <w:pPr>
        <w:pStyle w:val="ListBullet2"/>
      </w:pPr>
      <w:r w:rsidRPr="00C871B2">
        <w:t>mild to moderate acne</w:t>
      </w:r>
    </w:p>
    <w:p w:rsidR="00000000" w:rsidRPr="00C871B2" w:rsidP="00C871B2">
      <w:pPr>
        <w:pStyle w:val="ListBullet2"/>
      </w:pPr>
      <w:r w:rsidRPr="00C871B2">
        <w:t>erythema from light or laser therapies and sunburn</w:t>
      </w:r>
    </w:p>
    <w:p w:rsidR="00000000" w:rsidRPr="00C871B2" w:rsidP="00C871B2">
      <w:pPr>
        <w:pStyle w:val="ListBullet2"/>
      </w:pPr>
      <w:r w:rsidRPr="00C871B2">
        <w:t>stimulation of collagen production</w:t>
      </w:r>
    </w:p>
    <w:p w:rsidR="00000000" w:rsidRPr="00C871B2" w:rsidP="00C871B2">
      <w:pPr>
        <w:pStyle w:val="ListBullet"/>
      </w:pPr>
      <w:r w:rsidRPr="00C871B2">
        <w:t>risks, effects, benefits and scope of practice for LED devices and combined</w:t>
      </w:r>
      <w:r w:rsidRPr="00C871B2">
        <w:t xml:space="preserve"> modalities for skin treatments</w:t>
      </w:r>
    </w:p>
    <w:p w:rsidR="00000000" w:rsidRPr="00C871B2" w:rsidP="00C871B2">
      <w:pPr>
        <w:pStyle w:val="ListBullet"/>
      </w:pPr>
      <w:r w:rsidRPr="00C871B2">
        <w:t>manufacturer instructions in regard to LED technologies</w:t>
      </w:r>
    </w:p>
    <w:p w:rsidR="00000000" w:rsidRPr="00C871B2" w:rsidP="00C871B2">
      <w:pPr>
        <w:pStyle w:val="ListBullet"/>
      </w:pPr>
      <w:r w:rsidRPr="00C871B2">
        <w:t>scope of practice for LED technologies in body and face treatments</w:t>
      </w:r>
    </w:p>
    <w:p w:rsidR="00000000" w:rsidRPr="00C871B2" w:rsidP="00C871B2">
      <w:pPr>
        <w:pStyle w:val="ListBullet"/>
      </w:pPr>
      <w:r w:rsidRPr="00C871B2">
        <w:t>contraindications and their relationship to LED skin treatments:</w:t>
      </w:r>
    </w:p>
    <w:p w:rsidR="00000000" w:rsidRPr="00C871B2" w:rsidP="00C871B2">
      <w:pPr>
        <w:pStyle w:val="ListBullet2"/>
      </w:pPr>
      <w:r w:rsidRPr="00C871B2">
        <w:t>epilepsy</w:t>
      </w:r>
    </w:p>
    <w:p w:rsidR="00000000" w:rsidRPr="00C871B2" w:rsidP="00C871B2">
      <w:pPr>
        <w:pStyle w:val="ListBullet2"/>
      </w:pPr>
      <w:r w:rsidRPr="00C871B2">
        <w:t>albinism</w:t>
      </w:r>
    </w:p>
    <w:p w:rsidR="00000000" w:rsidRPr="00C871B2" w:rsidP="00C871B2">
      <w:pPr>
        <w:pStyle w:val="ListBullet2"/>
      </w:pPr>
      <w:r w:rsidRPr="00C871B2">
        <w:t>pre-treatment sun exposure</w:t>
      </w:r>
    </w:p>
    <w:p w:rsidR="00000000" w:rsidRPr="00C871B2" w:rsidP="00C871B2">
      <w:pPr>
        <w:pStyle w:val="ListBullet2"/>
      </w:pPr>
      <w:r w:rsidRPr="00C871B2">
        <w:t>artificially tanned skin</w:t>
      </w:r>
    </w:p>
    <w:p w:rsidR="00000000" w:rsidRPr="00C871B2" w:rsidP="00C871B2">
      <w:pPr>
        <w:pStyle w:val="ListBullet2"/>
      </w:pPr>
      <w:r w:rsidRPr="00C871B2">
        <w:t>pregnancy</w:t>
      </w:r>
    </w:p>
    <w:p w:rsidR="00000000" w:rsidRPr="00C871B2" w:rsidP="00C871B2">
      <w:pPr>
        <w:pStyle w:val="ListBullet2"/>
      </w:pPr>
      <w:r w:rsidRPr="00C871B2">
        <w:t>herbal remedies</w:t>
      </w:r>
    </w:p>
    <w:p w:rsidR="00000000" w:rsidRPr="00C871B2" w:rsidP="00C871B2">
      <w:pPr>
        <w:pStyle w:val="ListBullet2"/>
      </w:pPr>
      <w:r w:rsidRPr="00C871B2">
        <w:t>active herpes simplex</w:t>
      </w:r>
    </w:p>
    <w:p w:rsidR="00000000" w:rsidRPr="00C871B2" w:rsidP="00C871B2">
      <w:pPr>
        <w:pStyle w:val="ListBullet2"/>
      </w:pPr>
      <w:r w:rsidRPr="00C871B2">
        <w:t>active impetigo</w:t>
      </w:r>
    </w:p>
    <w:p w:rsidR="00000000" w:rsidRPr="00C871B2" w:rsidP="00C871B2">
      <w:pPr>
        <w:pStyle w:val="ListBullet2"/>
      </w:pPr>
      <w:r w:rsidRPr="00C871B2">
        <w:t>active eczema</w:t>
      </w:r>
    </w:p>
    <w:p w:rsidR="00000000" w:rsidRPr="00C871B2" w:rsidP="00C871B2">
      <w:pPr>
        <w:pStyle w:val="ListBullet2"/>
      </w:pPr>
      <w:r w:rsidRPr="00C871B2">
        <w:t>active acne</w:t>
      </w:r>
    </w:p>
    <w:p w:rsidR="00000000" w:rsidRPr="00C871B2" w:rsidP="00C871B2">
      <w:pPr>
        <w:pStyle w:val="ListBullet2"/>
      </w:pPr>
      <w:r w:rsidRPr="00C871B2">
        <w:t>photo-sensitive:</w:t>
      </w:r>
    </w:p>
    <w:p w:rsidR="00000000" w:rsidRPr="00C871B2" w:rsidP="00C871B2">
      <w:pPr>
        <w:pStyle w:val="ListBullet3"/>
      </w:pPr>
      <w:r w:rsidRPr="00C871B2">
        <w:t>(1) medication</w:t>
      </w:r>
    </w:p>
    <w:p w:rsidR="00000000" w:rsidRPr="00C871B2" w:rsidP="00C871B2">
      <w:pPr>
        <w:pStyle w:val="ListBullet3"/>
      </w:pPr>
      <w:r w:rsidRPr="00C871B2">
        <w:t>(2) conditions</w:t>
      </w:r>
    </w:p>
    <w:p w:rsidR="00000000" w:rsidRPr="00C871B2" w:rsidP="00C871B2">
      <w:pPr>
        <w:pStyle w:val="ListBullet2"/>
      </w:pPr>
      <w:r w:rsidRPr="00C871B2">
        <w:t>hypertrophic and keloid scars</w:t>
      </w:r>
    </w:p>
    <w:p w:rsidR="00000000" w:rsidRPr="00C871B2" w:rsidP="00C871B2">
      <w:pPr>
        <w:pStyle w:val="ListBullet2"/>
      </w:pPr>
      <w:r w:rsidRPr="00C871B2">
        <w:t>artificial pigment in the treatment area</w:t>
      </w:r>
    </w:p>
    <w:p w:rsidR="00000000" w:rsidRPr="00C871B2" w:rsidP="00C871B2">
      <w:pPr>
        <w:pStyle w:val="ListBullet2"/>
      </w:pPr>
      <w:r w:rsidRPr="00C871B2">
        <w:t>psoriasis in the treatment area</w:t>
      </w:r>
    </w:p>
    <w:p w:rsidR="00000000" w:rsidRPr="00C871B2" w:rsidP="00C871B2">
      <w:pPr>
        <w:pStyle w:val="ListBullet2"/>
      </w:pPr>
      <w:r w:rsidRPr="00C871B2">
        <w:t>certain circulatory conditions</w:t>
      </w:r>
    </w:p>
    <w:p w:rsidR="00000000" w:rsidRPr="00C871B2" w:rsidP="00C871B2">
      <w:pPr>
        <w:pStyle w:val="ListBullet2"/>
      </w:pPr>
      <w:r w:rsidRPr="00C871B2">
        <w:t>pregnancy</w:t>
      </w:r>
    </w:p>
    <w:p w:rsidR="00000000" w:rsidRPr="00C871B2" w:rsidP="00C871B2">
      <w:pPr>
        <w:pStyle w:val="ListBullet2"/>
      </w:pPr>
      <w:r w:rsidRPr="00C871B2">
        <w:t xml:space="preserve">connective tissue disorders including scleroderma </w:t>
      </w:r>
    </w:p>
    <w:p w:rsidR="00000000" w:rsidRPr="00C871B2" w:rsidP="00C871B2">
      <w:pPr>
        <w:pStyle w:val="ListBullet2"/>
      </w:pPr>
      <w:r w:rsidRPr="00C871B2">
        <w:t>prior surgery in treatment area</w:t>
      </w:r>
    </w:p>
    <w:p w:rsidR="00000000" w:rsidRPr="00C871B2" w:rsidP="00C871B2">
      <w:pPr>
        <w:pStyle w:val="ListBullet2"/>
      </w:pPr>
      <w:r w:rsidRPr="00C871B2">
        <w:t>birthmarks, moles and pigmented lesions</w:t>
      </w:r>
    </w:p>
    <w:p w:rsidR="00000000" w:rsidRPr="00C871B2" w:rsidP="00C871B2">
      <w:pPr>
        <w:pStyle w:val="ListBullet2"/>
      </w:pPr>
      <w:r w:rsidRPr="00C871B2">
        <w:t>open wounds or abra</w:t>
      </w:r>
      <w:r w:rsidRPr="00C871B2">
        <w:t>ded skin</w:t>
      </w:r>
    </w:p>
    <w:p w:rsidR="00000000" w:rsidRPr="00C871B2" w:rsidP="00C871B2">
      <w:pPr>
        <w:pStyle w:val="ListBullet2"/>
      </w:pPr>
      <w:r w:rsidRPr="00C871B2">
        <w:t xml:space="preserve">moles or tattoos to be covered </w:t>
      </w:r>
    </w:p>
    <w:p w:rsidR="00000000" w:rsidRPr="00C871B2" w:rsidP="00C871B2">
      <w:pPr>
        <w:pStyle w:val="ListBullet2"/>
      </w:pPr>
      <w:r w:rsidRPr="00C871B2">
        <w:t>cryotherapy</w:t>
      </w:r>
    </w:p>
    <w:p w:rsidR="00000000" w:rsidRPr="00C871B2" w:rsidP="00C871B2">
      <w:pPr>
        <w:pStyle w:val="ListBullet2"/>
      </w:pPr>
      <w:r w:rsidRPr="00C871B2">
        <w:t>history of cancer in treatment area:</w:t>
      </w:r>
    </w:p>
    <w:p w:rsidR="00000000" w:rsidRPr="00C871B2" w:rsidP="00C871B2">
      <w:pPr>
        <w:pStyle w:val="ListBullet3"/>
      </w:pPr>
      <w:r w:rsidRPr="00C871B2">
        <w:t>cancerous or precancerous lesions</w:t>
      </w:r>
    </w:p>
    <w:p w:rsidR="00000000" w:rsidRPr="00C871B2" w:rsidP="00C871B2">
      <w:pPr>
        <w:pStyle w:val="ListBullet"/>
      </w:pPr>
      <w:r w:rsidRPr="00C871B2">
        <w:t>for the above listed contraindications:</w:t>
      </w:r>
    </w:p>
    <w:p w:rsidR="00000000" w:rsidRPr="00C871B2" w:rsidP="00C871B2">
      <w:pPr>
        <w:pStyle w:val="ListBullet2"/>
      </w:pPr>
      <w:r w:rsidRPr="00C871B2">
        <w:t>appearance and identification</w:t>
      </w:r>
    </w:p>
    <w:p w:rsidR="00000000" w:rsidRPr="00C871B2" w:rsidP="00C871B2">
      <w:pPr>
        <w:pStyle w:val="ListBullet2"/>
      </w:pPr>
      <w:r w:rsidRPr="00C871B2">
        <w:t>required action and treatment precautions</w:t>
      </w:r>
    </w:p>
    <w:p w:rsidR="00000000" w:rsidRPr="00C871B2" w:rsidP="00C871B2">
      <w:pPr>
        <w:pStyle w:val="ListBullet2"/>
      </w:pPr>
      <w:r w:rsidRPr="00C871B2">
        <w:t>instances where treatment should not occur</w:t>
      </w:r>
    </w:p>
    <w:p w:rsidR="00000000" w:rsidRPr="00C871B2" w:rsidP="00C871B2">
      <w:pPr>
        <w:pStyle w:val="ListBullet2"/>
      </w:pPr>
      <w:r w:rsidRPr="00C871B2">
        <w:t>instances where recommendation to seek advice of other professionals should be provided</w:t>
      </w:r>
    </w:p>
    <w:p w:rsidR="00000000" w:rsidRPr="00C871B2" w:rsidP="00C871B2">
      <w:pPr>
        <w:pStyle w:val="ListBullet"/>
      </w:pPr>
      <w:r w:rsidRPr="00C871B2">
        <w:t>medical contraindications, their relationship to LED treatments, and required action and treatment precautions:</w:t>
      </w:r>
    </w:p>
    <w:p w:rsidR="00000000" w:rsidRPr="00C871B2" w:rsidP="00C871B2">
      <w:pPr>
        <w:pStyle w:val="ListBullet2"/>
      </w:pPr>
      <w:r w:rsidRPr="00C871B2">
        <w:t xml:space="preserve">conditions </w:t>
      </w:r>
      <w:r w:rsidRPr="00C871B2">
        <w:t>already being treated by a general practitioner, dermatologist or skin therapist</w:t>
      </w:r>
    </w:p>
    <w:p w:rsidR="00000000" w:rsidRPr="00C871B2" w:rsidP="00C871B2">
      <w:pPr>
        <w:pStyle w:val="ListBullet2"/>
      </w:pPr>
      <w:r w:rsidRPr="00C871B2">
        <w:t>medical oedema</w:t>
      </w:r>
    </w:p>
    <w:p w:rsidR="00000000" w:rsidRPr="00C871B2" w:rsidP="00C871B2">
      <w:pPr>
        <w:pStyle w:val="ListBullet2"/>
      </w:pPr>
      <w:r w:rsidRPr="00C871B2">
        <w:t>recent surgery</w:t>
      </w:r>
    </w:p>
    <w:p w:rsidR="00000000" w:rsidRPr="00C871B2" w:rsidP="00C871B2">
      <w:pPr>
        <w:pStyle w:val="ListBullet2"/>
      </w:pPr>
      <w:r w:rsidRPr="00C871B2">
        <w:t>diabetes</w:t>
      </w:r>
    </w:p>
    <w:p w:rsidR="00000000" w:rsidRPr="00C871B2" w:rsidP="00C871B2">
      <w:pPr>
        <w:pStyle w:val="ListBullet2"/>
      </w:pPr>
      <w:r w:rsidRPr="00C871B2">
        <w:t xml:space="preserve">asthma </w:t>
      </w:r>
    </w:p>
    <w:p w:rsidR="00000000" w:rsidRPr="00C871B2" w:rsidP="00C871B2">
      <w:pPr>
        <w:pStyle w:val="ListBullet2"/>
      </w:pPr>
      <w:r w:rsidRPr="00C871B2">
        <w:t>epilepsy</w:t>
      </w:r>
    </w:p>
    <w:p w:rsidR="00000000" w:rsidRPr="00C871B2" w:rsidP="00C871B2">
      <w:pPr>
        <w:pStyle w:val="ListBullet2"/>
      </w:pPr>
      <w:r w:rsidRPr="00C871B2">
        <w:t>skin cancers</w:t>
      </w:r>
    </w:p>
    <w:p w:rsidR="00000000" w:rsidRPr="00C871B2" w:rsidP="00C871B2">
      <w:pPr>
        <w:pStyle w:val="ListBullet"/>
      </w:pPr>
      <w:r w:rsidRPr="00C871B2">
        <w:t>appearance of complications and adverse effects and their causes:</w:t>
      </w:r>
    </w:p>
    <w:p w:rsidR="00000000" w:rsidRPr="00C871B2" w:rsidP="00C871B2">
      <w:pPr>
        <w:pStyle w:val="ListBullet2"/>
      </w:pPr>
      <w:r w:rsidRPr="00C871B2">
        <w:t>pigmentation changes</w:t>
      </w:r>
    </w:p>
    <w:p w:rsidR="00000000" w:rsidRPr="00C871B2" w:rsidP="00C871B2">
      <w:pPr>
        <w:pStyle w:val="ListBullet2"/>
      </w:pPr>
      <w:r w:rsidRPr="00C871B2">
        <w:t>blistering</w:t>
      </w:r>
    </w:p>
    <w:p w:rsidR="00000000" w:rsidRPr="00C871B2" w:rsidP="00C871B2">
      <w:pPr>
        <w:pStyle w:val="ListBullet2"/>
      </w:pPr>
      <w:r w:rsidRPr="00C871B2">
        <w:t>scarring and textural changes</w:t>
      </w:r>
    </w:p>
    <w:p w:rsidR="00000000" w:rsidRPr="00C871B2" w:rsidP="00C871B2">
      <w:pPr>
        <w:pStyle w:val="ListBullet"/>
      </w:pPr>
      <w:r w:rsidRPr="00C871B2">
        <w:t>physics of light:</w:t>
      </w:r>
    </w:p>
    <w:p w:rsidR="00000000" w:rsidRPr="00C871B2" w:rsidP="00C871B2">
      <w:pPr>
        <w:pStyle w:val="ListBullet2"/>
      </w:pPr>
      <w:r w:rsidRPr="00C871B2">
        <w:t>energy forms</w:t>
      </w:r>
    </w:p>
    <w:p w:rsidR="00000000" w:rsidRPr="00C871B2" w:rsidP="00C871B2">
      <w:pPr>
        <w:pStyle w:val="ListBullet2"/>
      </w:pPr>
      <w:r w:rsidRPr="00C871B2">
        <w:t>electromagnetic spectrum</w:t>
      </w:r>
    </w:p>
    <w:p w:rsidR="00000000" w:rsidRPr="00C871B2" w:rsidP="00C871B2">
      <w:pPr>
        <w:pStyle w:val="ListBullet2"/>
      </w:pPr>
      <w:r w:rsidRPr="00C871B2">
        <w:t>visible and non-visible light</w:t>
      </w:r>
    </w:p>
    <w:p w:rsidR="00000000" w:rsidRPr="00C871B2" w:rsidP="00C871B2">
      <w:pPr>
        <w:pStyle w:val="ListBullet2"/>
      </w:pPr>
      <w:r w:rsidRPr="00C871B2">
        <w:t>wavelengths</w:t>
      </w:r>
    </w:p>
    <w:p w:rsidR="00000000" w:rsidRPr="00C871B2" w:rsidP="00C871B2">
      <w:pPr>
        <w:pStyle w:val="ListBullet2"/>
      </w:pPr>
      <w:r w:rsidRPr="00C871B2">
        <w:t>characteristics of a wave</w:t>
      </w:r>
    </w:p>
    <w:p w:rsidR="00000000" w:rsidRPr="00C871B2" w:rsidP="00C871B2">
      <w:pPr>
        <w:pStyle w:val="ListBullet2"/>
      </w:pPr>
      <w:r w:rsidRPr="00C871B2">
        <w:t>properties of light emitting diodes (LED)</w:t>
      </w:r>
    </w:p>
    <w:p w:rsidR="00000000" w:rsidRPr="00C871B2" w:rsidP="00C871B2">
      <w:pPr>
        <w:pStyle w:val="ListBullet2"/>
      </w:pPr>
      <w:r w:rsidRPr="00C871B2">
        <w:t>the effect of light energy on skin:</w:t>
      </w:r>
    </w:p>
    <w:p w:rsidR="00000000" w:rsidRPr="00C871B2" w:rsidP="00C871B2">
      <w:pPr>
        <w:pStyle w:val="ListBullet3"/>
      </w:pPr>
      <w:r w:rsidRPr="00C871B2">
        <w:t>absorption</w:t>
      </w:r>
    </w:p>
    <w:p w:rsidR="00000000" w:rsidRPr="00C871B2" w:rsidP="00C871B2">
      <w:pPr>
        <w:pStyle w:val="ListBullet3"/>
      </w:pPr>
      <w:r w:rsidRPr="00C871B2">
        <w:t>reflection</w:t>
      </w:r>
    </w:p>
    <w:p w:rsidR="00000000" w:rsidRPr="00C871B2" w:rsidP="00C871B2">
      <w:pPr>
        <w:pStyle w:val="ListBullet3"/>
      </w:pPr>
      <w:r w:rsidRPr="00C871B2">
        <w:t>transmission</w:t>
      </w:r>
    </w:p>
    <w:p w:rsidR="00000000" w:rsidRPr="00C871B2" w:rsidP="00C871B2">
      <w:pPr>
        <w:pStyle w:val="ListBullet3"/>
      </w:pPr>
      <w:r w:rsidRPr="00C871B2">
        <w:t>scatter</w:t>
      </w:r>
    </w:p>
    <w:p w:rsidR="00000000" w:rsidRPr="00C871B2" w:rsidP="00C871B2">
      <w:pPr>
        <w:pStyle w:val="ListBullet"/>
      </w:pPr>
      <w:r w:rsidRPr="00C871B2">
        <w:t>effect and benefits of LED on human tissue:</w:t>
      </w:r>
    </w:p>
    <w:p w:rsidR="00000000" w:rsidRPr="00C871B2" w:rsidP="00C871B2">
      <w:pPr>
        <w:pStyle w:val="ListBullet2"/>
      </w:pPr>
      <w:r w:rsidRPr="00C871B2">
        <w:t>photobiochemical tissue responses:</w:t>
      </w:r>
    </w:p>
    <w:p w:rsidR="00000000" w:rsidRPr="00C871B2" w:rsidP="00C871B2">
      <w:pPr>
        <w:pStyle w:val="ListBullet3"/>
      </w:pPr>
      <w:r w:rsidRPr="00C871B2">
        <w:t>interaction with cytochromes</w:t>
      </w:r>
    </w:p>
    <w:p w:rsidR="00000000" w:rsidRPr="00C871B2" w:rsidP="00C871B2">
      <w:pPr>
        <w:pStyle w:val="ListBullet3"/>
      </w:pPr>
      <w:r w:rsidRPr="00C871B2">
        <w:t>effect on mitochondria</w:t>
      </w:r>
    </w:p>
    <w:p w:rsidR="00000000" w:rsidRPr="00C871B2" w:rsidP="00C871B2">
      <w:pPr>
        <w:pStyle w:val="ListBullet3"/>
      </w:pPr>
      <w:r w:rsidRPr="00C871B2">
        <w:t>effect on collagenase</w:t>
      </w:r>
    </w:p>
    <w:p w:rsidR="00000000" w:rsidRPr="00C871B2" w:rsidP="00C871B2">
      <w:pPr>
        <w:pStyle w:val="ListBullet3"/>
      </w:pPr>
      <w:r w:rsidRPr="00C871B2">
        <w:t>effect on collagen, elastin</w:t>
      </w:r>
    </w:p>
    <w:p w:rsidR="00000000" w:rsidRPr="00C871B2" w:rsidP="00C871B2">
      <w:pPr>
        <w:pStyle w:val="ListBullet2"/>
      </w:pPr>
      <w:r w:rsidRPr="00C871B2">
        <w:t>wavelength and effect and</w:t>
      </w:r>
      <w:r w:rsidRPr="00C871B2">
        <w:t xml:space="preserve"> benefit for skin including:</w:t>
      </w:r>
    </w:p>
    <w:p w:rsidR="00000000" w:rsidRPr="00C871B2" w:rsidP="00C871B2">
      <w:pPr>
        <w:pStyle w:val="ListBullet3"/>
      </w:pPr>
      <w:r w:rsidRPr="00C871B2">
        <w:t>(1) 415nm +/- 10% blue for acne treatments</w:t>
      </w:r>
    </w:p>
    <w:p w:rsidR="00000000" w:rsidRPr="00C871B2" w:rsidP="00C871B2">
      <w:pPr>
        <w:pStyle w:val="ListBullet3"/>
      </w:pPr>
      <w:r w:rsidRPr="00C871B2">
        <w:t>(2) 640nm +/- 10% red for increasing circulation, collagen and elastin</w:t>
      </w:r>
    </w:p>
    <w:p w:rsidR="00000000" w:rsidRPr="00C871B2" w:rsidP="00C871B2">
      <w:pPr>
        <w:pStyle w:val="ListBullet3"/>
      </w:pPr>
      <w:r w:rsidRPr="00C871B2">
        <w:t>(3) 590nm +/- 10% yellow for decreasing swelling and inflammation</w:t>
      </w:r>
    </w:p>
    <w:p w:rsidR="00000000" w:rsidRPr="00C871B2" w:rsidP="00C871B2">
      <w:pPr>
        <w:pStyle w:val="ListBullet3"/>
      </w:pPr>
      <w:r w:rsidRPr="00C871B2">
        <w:t>(4) 830 +/- Infra red for rejuvenation</w:t>
      </w:r>
    </w:p>
    <w:p w:rsidR="00000000" w:rsidRPr="00C871B2" w:rsidP="00C871B2">
      <w:pPr>
        <w:pStyle w:val="ListBullet"/>
      </w:pPr>
      <w:r w:rsidRPr="00C871B2">
        <w:t>operational characteristics of LED devices including:</w:t>
      </w:r>
    </w:p>
    <w:p w:rsidR="00000000" w:rsidRPr="00C871B2" w:rsidP="00C871B2">
      <w:pPr>
        <w:pStyle w:val="ListBullet2"/>
      </w:pPr>
      <w:r w:rsidRPr="00C871B2">
        <w:t>selection of wavelength</w:t>
      </w:r>
    </w:p>
    <w:p w:rsidR="00000000" w:rsidRPr="00C871B2" w:rsidP="00C871B2">
      <w:pPr>
        <w:pStyle w:val="ListBullet2"/>
      </w:pPr>
      <w:r w:rsidRPr="00C871B2">
        <w:t>treatment parameters</w:t>
      </w:r>
    </w:p>
    <w:p w:rsidR="00000000" w:rsidRPr="00C871B2" w:rsidP="00C871B2">
      <w:pPr>
        <w:pStyle w:val="ListBullet2"/>
      </w:pPr>
      <w:r w:rsidRPr="00C871B2">
        <w:t>operating interface</w:t>
      </w:r>
    </w:p>
    <w:p w:rsidR="00000000" w:rsidRPr="00C871B2" w:rsidP="00C871B2">
      <w:pPr>
        <w:pStyle w:val="ListBullet2"/>
      </w:pPr>
      <w:r w:rsidRPr="00C871B2">
        <w:t>treatment parameters</w:t>
      </w:r>
    </w:p>
    <w:p w:rsidR="00000000" w:rsidRPr="00C871B2" w:rsidP="00C871B2">
      <w:pPr>
        <w:pStyle w:val="ListBullet2"/>
      </w:pPr>
      <w:r w:rsidRPr="00C871B2">
        <w:t>other compatible treatments to optimise results</w:t>
      </w:r>
    </w:p>
    <w:p w:rsidR="00000000" w:rsidRPr="00C871B2" w:rsidP="00C871B2">
      <w:pPr>
        <w:pStyle w:val="ListBullet2"/>
      </w:pPr>
      <w:r w:rsidRPr="00C871B2">
        <w:t>precautions when combining with other treatments:</w:t>
      </w:r>
    </w:p>
    <w:p w:rsidR="00000000" w:rsidRPr="00C871B2" w:rsidP="00C871B2">
      <w:pPr>
        <w:pStyle w:val="ListBullet3"/>
      </w:pPr>
      <w:r w:rsidRPr="00C871B2">
        <w:t>microdermabrasion</w:t>
      </w:r>
    </w:p>
    <w:p w:rsidR="00000000" w:rsidRPr="00C871B2" w:rsidP="00C871B2">
      <w:pPr>
        <w:pStyle w:val="ListBullet3"/>
      </w:pPr>
      <w:r w:rsidRPr="00C871B2">
        <w:t>chemical peels</w:t>
      </w:r>
    </w:p>
    <w:p w:rsidR="00000000" w:rsidRPr="00C871B2" w:rsidP="00C871B2">
      <w:pPr>
        <w:pStyle w:val="ListBullet3"/>
      </w:pPr>
      <w:r w:rsidRPr="00C871B2">
        <w:t>vacuum</w:t>
      </w:r>
    </w:p>
    <w:p w:rsidR="00000000" w:rsidRPr="00C871B2" w:rsidP="00C871B2">
      <w:pPr>
        <w:pStyle w:val="ListBullet3"/>
      </w:pPr>
      <w:r w:rsidRPr="00C871B2">
        <w:t>microneedling</w:t>
      </w:r>
    </w:p>
    <w:p w:rsidR="00000000" w:rsidRPr="00C871B2" w:rsidP="00C871B2">
      <w:pPr>
        <w:pStyle w:val="ListBullet2"/>
      </w:pPr>
      <w:r w:rsidRPr="00C871B2">
        <w:t>treatment suitability</w:t>
      </w:r>
    </w:p>
    <w:p w:rsidR="00000000" w:rsidRPr="00C871B2" w:rsidP="00C871B2">
      <w:pPr>
        <w:pStyle w:val="ListBullet"/>
      </w:pPr>
      <w:r w:rsidRPr="00C871B2">
        <w:t>personal protective equipment for operator and client</w:t>
      </w:r>
    </w:p>
    <w:p w:rsidR="00000000" w:rsidRPr="00C871B2" w:rsidP="00C871B2">
      <w:pPr>
        <w:pStyle w:val="ListBullet"/>
      </w:pPr>
      <w:r w:rsidRPr="00C871B2">
        <w:t>safe work practices including equipment checks, preventive maintenance and operator responsibilities.</w:t>
      </w:r>
    </w:p>
    <w:p w:rsidR="00000000" w:rsidRPr="00C871B2" w:rsidP="00C871B2">
      <w:pPr>
        <w:pStyle w:val="AllowPageBreak"/>
      </w:pPr>
    </w:p>
    <w:p w:rsidR="00000000" w:rsidRPr="00C871B2" w:rsidP="00C871B2">
      <w:pPr>
        <w:pStyle w:val="Heading1"/>
      </w:pPr>
      <w:bookmarkStart w:id="4" w:name="O_1204071"/>
      <w:bookmarkEnd w:id="4"/>
      <w:r w:rsidRPr="00C871B2">
        <w:t>Assessment Conditions</w:t>
      </w:r>
    </w:p>
    <w:p w:rsidR="00000000" w:rsidRPr="00C871B2" w:rsidP="00D20DDD">
      <w:pPr>
        <w:pStyle w:val="BodyText"/>
      </w:pPr>
      <w:r w:rsidRPr="00C871B2">
        <w:t>Skills must be demonstrated in a simulated LED clinical workplace environment set up for the purposes of assessment.</w:t>
      </w:r>
    </w:p>
    <w:p w:rsidR="00000000" w:rsidRPr="00C871B2" w:rsidP="00D20DDD">
      <w:pPr>
        <w:pStyle w:val="BodyText"/>
      </w:pPr>
      <w:r w:rsidRPr="00C871B2">
        <w:t>Assessment must ensure access to:</w:t>
      </w:r>
    </w:p>
    <w:p w:rsidR="00000000" w:rsidRPr="00C871B2" w:rsidP="00C871B2">
      <w:pPr>
        <w:pStyle w:val="ListBullet"/>
      </w:pPr>
      <w:r w:rsidRPr="00C871B2">
        <w:t>relevant documentation including:</w:t>
      </w:r>
    </w:p>
    <w:p w:rsidR="00000000" w:rsidRPr="00C871B2" w:rsidP="00C871B2">
      <w:pPr>
        <w:pStyle w:val="ListBullet2"/>
      </w:pPr>
      <w:r w:rsidRPr="00C871B2">
        <w:t>AS/NZS IEC 62471:2011 Photobiological safety of</w:t>
      </w:r>
      <w:r w:rsidRPr="00C871B2">
        <w:t xml:space="preserve"> lamps and lamp systems</w:t>
      </w:r>
    </w:p>
    <w:p w:rsidR="00000000" w:rsidRPr="00C871B2" w:rsidP="00C871B2">
      <w:pPr>
        <w:pStyle w:val="ListBullet2"/>
      </w:pPr>
      <w:r w:rsidRPr="00C871B2">
        <w:t>Product manufacturer instructions and safety data sheets</w:t>
      </w:r>
    </w:p>
    <w:p w:rsidR="00000000" w:rsidRPr="00C871B2" w:rsidP="00C871B2">
      <w:pPr>
        <w:pStyle w:val="ListBullet2"/>
      </w:pPr>
      <w:r w:rsidRPr="00C871B2">
        <w:t>organisational policies and procedures relevant to use of LED technology for use in skin therapy.</w:t>
      </w:r>
    </w:p>
    <w:p w:rsidR="00000000" w:rsidRPr="00C871B2" w:rsidP="00D20DDD">
      <w:pPr>
        <w:pStyle w:val="BodyText"/>
      </w:pPr>
      <w:r w:rsidRPr="00C871B2">
        <w:t>Assessment must ensure use of:</w:t>
      </w:r>
    </w:p>
    <w:p w:rsidR="00000000" w:rsidRPr="00C871B2" w:rsidP="00C871B2">
      <w:pPr>
        <w:pStyle w:val="ListBullet"/>
      </w:pPr>
      <w:r w:rsidRPr="00C871B2">
        <w:t xml:space="preserve">LED devices which are registered for purpose </w:t>
      </w:r>
      <w:r w:rsidRPr="00C871B2">
        <w:t>on the Australian Register of Therapeutic Goods</w:t>
      </w:r>
    </w:p>
    <w:p w:rsidR="00000000" w:rsidRPr="00C871B2" w:rsidP="00C871B2">
      <w:pPr>
        <w:pStyle w:val="ListBullet"/>
      </w:pPr>
      <w:r w:rsidRPr="00C871B2">
        <w:t>individual client workstations consisting of:</w:t>
      </w:r>
    </w:p>
    <w:p w:rsidR="00000000" w:rsidRPr="00C871B2" w:rsidP="00C871B2">
      <w:pPr>
        <w:pStyle w:val="ListBullet2"/>
      </w:pPr>
      <w:r w:rsidRPr="00C871B2">
        <w:t>adjustable treatment table with safe working access to both sides and ends</w:t>
      </w:r>
    </w:p>
    <w:p w:rsidR="00000000" w:rsidRPr="00C871B2" w:rsidP="00C871B2">
      <w:pPr>
        <w:pStyle w:val="ListBullet2"/>
      </w:pPr>
      <w:r w:rsidRPr="00C871B2">
        <w:t>individual electricity supply</w:t>
      </w:r>
    </w:p>
    <w:p w:rsidR="00000000" w:rsidRPr="00C871B2" w:rsidP="00C871B2">
      <w:pPr>
        <w:pStyle w:val="ListBullet2"/>
      </w:pPr>
      <w:r w:rsidRPr="00C871B2">
        <w:t>magnifying lamp</w:t>
      </w:r>
    </w:p>
    <w:p w:rsidR="00000000" w:rsidRPr="00C871B2" w:rsidP="00C871B2">
      <w:pPr>
        <w:pStyle w:val="ListBullet2"/>
      </w:pPr>
      <w:r w:rsidRPr="00C871B2">
        <w:t>operator chair</w:t>
      </w:r>
    </w:p>
    <w:p w:rsidR="00000000" w:rsidRPr="00C871B2" w:rsidP="00C871B2">
      <w:pPr>
        <w:pStyle w:val="ListBullet2"/>
      </w:pPr>
      <w:r w:rsidRPr="00C871B2">
        <w:t>trolley for products, bowls and equipment</w:t>
      </w:r>
    </w:p>
    <w:p w:rsidR="00000000" w:rsidRPr="00C871B2" w:rsidP="00C871B2">
      <w:pPr>
        <w:pStyle w:val="ListBullet"/>
      </w:pPr>
      <w:r w:rsidRPr="00C871B2">
        <w:t>electromagnetic spectrum charts or models</w:t>
      </w:r>
    </w:p>
    <w:p w:rsidR="00000000" w:rsidRPr="00C871B2" w:rsidP="00C871B2">
      <w:pPr>
        <w:pStyle w:val="ListBullet"/>
      </w:pPr>
      <w:r w:rsidRPr="00C871B2">
        <w:t>real people with different Fitzpatrick skin types seeking skin treatments on different areas of the face and body</w:t>
      </w:r>
    </w:p>
    <w:p w:rsidR="00000000" w:rsidRPr="00C871B2" w:rsidP="00C871B2">
      <w:pPr>
        <w:pStyle w:val="ListBullet"/>
      </w:pPr>
      <w:r w:rsidRPr="00C871B2">
        <w:t>activities that reflect industry practice and allow the i</w:t>
      </w:r>
      <w:r w:rsidRPr="00C871B2">
        <w:t>ndividual to work with commercial timing and productivity to complete client consultations within designated timeframes.</w:t>
      </w:r>
    </w:p>
    <w:p w:rsidR="00000000" w:rsidRPr="00C871B2" w:rsidP="00D20DDD">
      <w:pPr>
        <w:pStyle w:val="BodyText"/>
      </w:pPr>
      <w:r w:rsidRPr="00C871B2">
        <w:t>Assessment must be directly observed, in person, for the total duration of each LED client consultation and patch test, by assessors wh</w:t>
      </w:r>
      <w:r w:rsidRPr="00C871B2">
        <w:t>o meet the assessor requirements outlined below.</w:t>
      </w:r>
    </w:p>
    <w:p w:rsidR="00000000" w:rsidRPr="00C871B2" w:rsidP="00D20DDD">
      <w:pPr>
        <w:pStyle w:val="BodyText"/>
      </w:pPr>
      <w:r w:rsidRPr="00C871B2">
        <w:t>Assessors must satisfy the Standards for Registered Training Organisations</w:t>
      </w:r>
      <w:r>
        <w:t>’</w:t>
      </w:r>
      <w:r w:rsidRPr="00C871B2">
        <w:t xml:space="preserve"> requirements for assessors and:</w:t>
      </w:r>
    </w:p>
    <w:p w:rsidR="00000000" w:rsidRPr="00C871B2" w:rsidP="00C871B2">
      <w:pPr>
        <w:pStyle w:val="ListBullet"/>
      </w:pPr>
      <w:r w:rsidRPr="00C871B2">
        <w:t>have worked for at least three years where they have applied the skills and knowledge of this unit</w:t>
      </w:r>
      <w:r w:rsidRPr="00C871B2">
        <w:t xml:space="preserve"> of competency.</w:t>
      </w:r>
    </w:p>
    <w:p w:rsidR="00000000" w:rsidRPr="00C871B2" w:rsidP="00C871B2">
      <w:pPr>
        <w:pStyle w:val="AllowPageBreak"/>
      </w:pPr>
    </w:p>
    <w:p w:rsidR="00000000" w:rsidRPr="00C871B2" w:rsidP="00C871B2">
      <w:pPr>
        <w:pStyle w:val="Heading1"/>
      </w:pPr>
      <w:bookmarkStart w:id="5" w:name="O_1204074"/>
      <w:bookmarkEnd w:id="5"/>
      <w:r w:rsidRPr="00C871B2">
        <w:t>Links</w:t>
      </w:r>
    </w:p>
    <w:p w:rsidR="00000000" w:rsidRPr="00C871B2" w:rsidP="00D20DDD">
      <w:pPr>
        <w:pStyle w:val="BodyText"/>
      </w:pPr>
      <w:r w:rsidRPr="00C871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4664CC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C871B2" w:rsidP="00C871B2"/>
    <w:sectPr w:rsidSect="00C871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1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1B2" w:rsidRPr="00D20DDD" w:rsidP="00D20D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1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DD" w:rsidP="00C871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0DDD" w:rsidP="00C871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20DDD" w:rsidP="00C871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1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71B2" w:rsidRPr="00D20DDD" w:rsidP="00D20D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1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DD" w:rsidRPr="002D2AF8" w:rsidP="00C871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SHBBSKT008 Design light emitting diode treatment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D20DDD" w:rsidP="00C871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4E77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9012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5238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1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71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71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71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71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71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71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71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71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71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71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71B2"/>
  </w:style>
  <w:style w:type="character" w:customStyle="1" w:styleId="Heading1Char">
    <w:name w:val="Heading 1 Char"/>
    <w:basedOn w:val="DefaultParagraphFont"/>
    <w:link w:val="Heading1"/>
    <w:rsid w:val="00C871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71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71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71B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71B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71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71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871B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871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71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71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71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71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71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71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71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71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71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71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71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71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71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71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71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71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71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71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71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71B2"/>
    <w:rPr>
      <w:b/>
      <w:spacing w:val="0"/>
    </w:rPr>
  </w:style>
  <w:style w:type="paragraph" w:customStyle="1" w:styleId="SuperTitle">
    <w:name w:val="SuperTitle"/>
    <w:basedOn w:val="Title"/>
    <w:rsid w:val="00C871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71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71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71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71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71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71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71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71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71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71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71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71B2"/>
    <w:rPr>
      <w:i/>
    </w:rPr>
  </w:style>
  <w:style w:type="paragraph" w:styleId="Caption">
    <w:name w:val="caption"/>
    <w:basedOn w:val="BodyText"/>
    <w:next w:val="Normal"/>
    <w:qFormat/>
    <w:rsid w:val="00C871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71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71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71B2"/>
  </w:style>
  <w:style w:type="paragraph" w:styleId="TableofFigures">
    <w:name w:val="table of figures"/>
    <w:basedOn w:val="Normal"/>
    <w:next w:val="Normal"/>
    <w:semiHidden/>
    <w:rsid w:val="00C871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71B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871B2"/>
    <w:rPr>
      <w:rFonts w:ascii="Wingdings" w:hAnsi="Wingdings"/>
    </w:rPr>
  </w:style>
  <w:style w:type="paragraph" w:customStyle="1" w:styleId="TableHeading">
    <w:name w:val="Table Heading"/>
    <w:basedOn w:val="HeadingBase"/>
    <w:rsid w:val="00C871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71B2"/>
    <w:rPr>
      <w:color w:val="0033CC"/>
      <w:u w:val="none"/>
    </w:rPr>
  </w:style>
  <w:style w:type="paragraph" w:customStyle="1" w:styleId="BodyTextRight">
    <w:name w:val="Body Text Right"/>
    <w:basedOn w:val="BodyText"/>
    <w:rsid w:val="00C871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71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71B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71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71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71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71B2"/>
    <w:rPr>
      <w:sz w:val="32"/>
    </w:rPr>
  </w:style>
  <w:style w:type="paragraph" w:customStyle="1" w:styleId="HeadingProcedure">
    <w:name w:val="Heading Procedure"/>
    <w:basedOn w:val="HeadingBase"/>
    <w:next w:val="Normal"/>
    <w:rsid w:val="00C871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71B2"/>
    <w:pPr>
      <w:spacing w:before="60" w:after="60"/>
    </w:pPr>
  </w:style>
  <w:style w:type="paragraph" w:styleId="ListContinue">
    <w:name w:val="List Continue"/>
    <w:basedOn w:val="List"/>
    <w:rsid w:val="00C871B2"/>
    <w:pPr>
      <w:ind w:firstLine="0"/>
    </w:pPr>
  </w:style>
  <w:style w:type="paragraph" w:customStyle="1" w:styleId="ListNote">
    <w:name w:val="List Note"/>
    <w:basedOn w:val="List"/>
    <w:rsid w:val="00C871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71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71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71B2"/>
    <w:rPr>
      <w:rFonts w:ascii="Courier New" w:hAnsi="Courier New"/>
    </w:rPr>
  </w:style>
  <w:style w:type="paragraph" w:customStyle="1" w:styleId="NoteBullet">
    <w:name w:val="Note Bullet"/>
    <w:basedOn w:val="Note"/>
    <w:rsid w:val="00C871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71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71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71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71B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871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71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71B2"/>
    <w:rPr>
      <w:b/>
      <w:smallCaps/>
    </w:rPr>
  </w:style>
  <w:style w:type="paragraph" w:customStyle="1" w:styleId="TableListNumber">
    <w:name w:val="Table List Number"/>
    <w:basedOn w:val="ListNumber"/>
    <w:rsid w:val="00C871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71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71B2"/>
    <w:pPr>
      <w:numPr>
        <w:numId w:val="10"/>
      </w:numPr>
    </w:pPr>
  </w:style>
  <w:style w:type="paragraph" w:customStyle="1" w:styleId="ListAlpha2">
    <w:name w:val="List Alpha 2"/>
    <w:basedOn w:val="List2"/>
    <w:rsid w:val="00C871B2"/>
    <w:pPr>
      <w:numPr>
        <w:numId w:val="9"/>
      </w:numPr>
    </w:pPr>
  </w:style>
  <w:style w:type="paragraph" w:styleId="List2">
    <w:name w:val="List 2"/>
    <w:basedOn w:val="BodyText"/>
    <w:rsid w:val="00C871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71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71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71B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871B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871B2"/>
    <w:pPr>
      <w:numPr>
        <w:numId w:val="5"/>
      </w:numPr>
    </w:pPr>
  </w:style>
  <w:style w:type="paragraph" w:styleId="ListContinue2">
    <w:name w:val="List Continue 2"/>
    <w:basedOn w:val="List2"/>
    <w:rsid w:val="00C871B2"/>
    <w:pPr>
      <w:ind w:firstLine="0"/>
    </w:pPr>
  </w:style>
  <w:style w:type="paragraph" w:styleId="ListContinue3">
    <w:name w:val="List Continue 3"/>
    <w:basedOn w:val="List3"/>
    <w:rsid w:val="00C871B2"/>
    <w:pPr>
      <w:ind w:left="1021" w:firstLine="0"/>
    </w:pPr>
  </w:style>
  <w:style w:type="paragraph" w:styleId="ListContinue4">
    <w:name w:val="List Continue 4"/>
    <w:basedOn w:val="List4"/>
    <w:rsid w:val="00C871B2"/>
    <w:pPr>
      <w:ind w:firstLine="0"/>
    </w:pPr>
  </w:style>
  <w:style w:type="paragraph" w:styleId="ListContinue5">
    <w:name w:val="List Continue 5"/>
    <w:basedOn w:val="List5"/>
    <w:rsid w:val="00C871B2"/>
    <w:pPr>
      <w:ind w:firstLine="0"/>
    </w:pPr>
  </w:style>
  <w:style w:type="paragraph" w:styleId="ListNumber3">
    <w:name w:val="List Number 3"/>
    <w:basedOn w:val="List3"/>
    <w:rsid w:val="00C871B2"/>
    <w:pPr>
      <w:numPr>
        <w:numId w:val="6"/>
      </w:numPr>
    </w:pPr>
  </w:style>
  <w:style w:type="paragraph" w:styleId="ListNumber4">
    <w:name w:val="List Number 4"/>
    <w:basedOn w:val="List4"/>
    <w:rsid w:val="00C871B2"/>
    <w:pPr>
      <w:numPr>
        <w:numId w:val="7"/>
      </w:numPr>
    </w:pPr>
  </w:style>
  <w:style w:type="paragraph" w:styleId="ListNumber5">
    <w:name w:val="List Number 5"/>
    <w:basedOn w:val="List5"/>
    <w:rsid w:val="00C871B2"/>
    <w:pPr>
      <w:numPr>
        <w:numId w:val="8"/>
      </w:numPr>
    </w:pPr>
  </w:style>
  <w:style w:type="paragraph" w:styleId="BlockText">
    <w:name w:val="Block Text"/>
    <w:basedOn w:val="Normal"/>
    <w:rsid w:val="00C871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71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71B2"/>
    <w:rPr>
      <w:sz w:val="16"/>
      <w:vertAlign w:val="superscript"/>
    </w:rPr>
  </w:style>
  <w:style w:type="character" w:customStyle="1" w:styleId="Symbols">
    <w:name w:val="Symbols"/>
    <w:basedOn w:val="DefaultParagraphFont"/>
    <w:rsid w:val="00C871B2"/>
    <w:rPr>
      <w:rFonts w:ascii="Symbol" w:hAnsi="Symbol"/>
    </w:rPr>
  </w:style>
  <w:style w:type="character" w:customStyle="1" w:styleId="MenuOptions">
    <w:name w:val="Menu Options"/>
    <w:basedOn w:val="DefaultParagraphFont"/>
    <w:rsid w:val="00C871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71B2"/>
    <w:rPr>
      <w:b/>
    </w:rPr>
  </w:style>
  <w:style w:type="character" w:customStyle="1" w:styleId="Underlined">
    <w:name w:val="Underlined"/>
    <w:basedOn w:val="DefaultParagraphFont"/>
    <w:rsid w:val="00C871B2"/>
    <w:rPr>
      <w:u w:val="single"/>
    </w:rPr>
  </w:style>
  <w:style w:type="paragraph" w:customStyle="1" w:styleId="TableBodyTextRight">
    <w:name w:val="Table Body Text Right"/>
    <w:basedOn w:val="TableBodyText"/>
    <w:rsid w:val="00C871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71B2"/>
    <w:rPr>
      <w:sz w:val="18"/>
    </w:rPr>
  </w:style>
  <w:style w:type="paragraph" w:customStyle="1" w:styleId="BodySmallRight">
    <w:name w:val="Body Small Right"/>
    <w:basedOn w:val="BodyTextRight"/>
    <w:rsid w:val="00C871B2"/>
    <w:rPr>
      <w:sz w:val="18"/>
      <w:szCs w:val="18"/>
    </w:rPr>
  </w:style>
  <w:style w:type="paragraph" w:customStyle="1" w:styleId="MarginEdition">
    <w:name w:val="Margin Edition"/>
    <w:basedOn w:val="MarginNote"/>
    <w:rsid w:val="00C871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71B2"/>
    <w:rPr>
      <w:sz w:val="2"/>
      <w:szCs w:val="2"/>
    </w:rPr>
  </w:style>
  <w:style w:type="character" w:customStyle="1" w:styleId="Small">
    <w:name w:val="Small"/>
    <w:basedOn w:val="DefaultParagraphFont"/>
    <w:rsid w:val="00C871B2"/>
    <w:rPr>
      <w:sz w:val="16"/>
    </w:rPr>
  </w:style>
  <w:style w:type="paragraph" w:customStyle="1" w:styleId="WideTable">
    <w:name w:val="Wide Table"/>
    <w:basedOn w:val="Normal"/>
    <w:rsid w:val="00C871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71B2"/>
  </w:style>
  <w:style w:type="paragraph" w:styleId="Quote">
    <w:name w:val="Quote"/>
    <w:basedOn w:val="Heading1"/>
    <w:link w:val="QuoteChar"/>
    <w:qFormat/>
    <w:rsid w:val="00C871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71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71B2"/>
    <w:pPr>
      <w:pageBreakBefore/>
    </w:pPr>
  </w:style>
  <w:style w:type="paragraph" w:customStyle="1" w:styleId="Border">
    <w:name w:val="Border"/>
    <w:basedOn w:val="Normal"/>
    <w:qFormat/>
    <w:rsid w:val="00C871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71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71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71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71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71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71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71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71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71B2"/>
    <w:rPr>
      <w:u w:val="single"/>
    </w:rPr>
  </w:style>
  <w:style w:type="character" w:customStyle="1" w:styleId="BoldandItalics">
    <w:name w:val="Bold and Italics"/>
    <w:qFormat/>
    <w:rsid w:val="00C871B2"/>
    <w:rPr>
      <w:b/>
      <w:i/>
      <w:u w:val="none"/>
    </w:rPr>
  </w:style>
  <w:style w:type="paragraph" w:styleId="BalloonText">
    <w:name w:val="Balloon Text"/>
    <w:basedOn w:val="Normal"/>
    <w:link w:val="BalloonTextChar"/>
    <w:rsid w:val="00C871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71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71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71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71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71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71B2"/>
    <w:pPr>
      <w:spacing w:before="0" w:after="0"/>
    </w:pPr>
  </w:style>
  <w:style w:type="paragraph" w:customStyle="1" w:styleId="BodyTextBold">
    <w:name w:val="Body Text Bold"/>
    <w:basedOn w:val="BodyText"/>
    <w:qFormat/>
    <w:rsid w:val="00C871B2"/>
    <w:rPr>
      <w:b/>
    </w:rPr>
  </w:style>
  <w:style w:type="character" w:styleId="Hyperlink">
    <w:name w:val="Hyperlink"/>
    <w:basedOn w:val="DefaultParagraphFont"/>
    <w:uiPriority w:val="99"/>
    <w:unhideWhenUsed/>
    <w:rsid w:val="00D20D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819</Words>
  <Characters>5411</Characters>
  <Application>Microsoft Office Word</Application>
  <DocSecurity>0</DocSecurity>
  <Lines>163</Lines>
  <Paragraphs>151</Paragraphs>
  <ScaleCrop>false</ScaleCrop>
  <Company>Author-it Software Corporation Ltd.</Company>
  <LinksUpToDate>false</LinksUpToDate>
  <CharactersWithSpaces>6079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SHBBSKT008 Design light emitting diode treatment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2022-07-05T04:07:00Z</dcterms:created>
  <dcterms:modified xsi:type="dcterms:W3CDTF">2022-07-05T04:07:00Z</dcterms:modified>
</cp:coreProperties>
</file>