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0482" w:rsidP="00D50482">
      <w:pPr>
        <w:pStyle w:val="Title"/>
      </w:pPr>
      <w:r>
        <w:fldChar w:fldCharType="begin"/>
      </w:r>
      <w:r>
        <w:instrText xml:space="preserve"> TITLE   \* MERGEFORMAT </w:instrText>
      </w:r>
      <w:r>
        <w:fldChar w:fldCharType="separate"/>
      </w:r>
      <w:r>
        <w:t>SHBBCOS002 Apply knowledge of colour theory and pigmentology to cosmetic tattooing</w:t>
      </w:r>
      <w:r>
        <w:fldChar w:fldCharType="end"/>
      </w:r>
    </w:p>
    <w:p w:rsidR="00D50482" w:rsidP="00D50482">
      <w:pPr>
        <w:pStyle w:val="Version"/>
        <w:sectPr w:rsidSect="009A1A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A1AF1" w:rsidP="009A1AF1">
      <w:pPr>
        <w:pStyle w:val="SuperHeading"/>
      </w:pPr>
      <w:r w:rsidRPr="009A1AF1">
        <w:t>SHBBCOS002 Apply knowledge of colour theory and pigmentology to cosmetic tattooing</w:t>
      </w:r>
    </w:p>
    <w:p w:rsidR="00000000" w:rsidRPr="009A1AF1" w:rsidP="009A1AF1">
      <w:pPr>
        <w:pStyle w:val="Heading1"/>
      </w:pPr>
      <w:bookmarkStart w:id="1" w:name="O_1203279"/>
      <w:bookmarkEnd w:id="1"/>
      <w:r w:rsidRPr="009A1AF1">
        <w:t>Modification History</w:t>
      </w:r>
    </w:p>
    <w:p w:rsidR="00000000" w:rsidRPr="009A1AF1" w:rsidP="00D50482">
      <w:pPr>
        <w:pStyle w:val="BodyText"/>
      </w:pPr>
      <w:r w:rsidRPr="009A1AF1">
        <w:t>No equivalent unit.</w:t>
      </w:r>
    </w:p>
    <w:p w:rsidR="00000000" w:rsidRPr="009A1AF1" w:rsidP="009A1AF1">
      <w:pPr>
        <w:pStyle w:val="Heading1"/>
      </w:pPr>
      <w:bookmarkStart w:id="2" w:name="O_1203280"/>
      <w:bookmarkEnd w:id="2"/>
      <w:r w:rsidRPr="009A1AF1">
        <w:t>Application</w:t>
      </w:r>
    </w:p>
    <w:p w:rsidR="00000000" w:rsidRPr="009A1AF1" w:rsidP="00D50482">
      <w:pPr>
        <w:pStyle w:val="BodyText"/>
      </w:pPr>
      <w:r w:rsidRPr="009A1AF1">
        <w:t>This unit describes the performance outcomes, skills and knowledge required to apply underpinning theoretical knowledge of colour theory and pigmentology to cosmetic tattooing.  It involves knowledge of pigment ingredients, colour theories, and the way col</w:t>
      </w:r>
      <w:r w:rsidRPr="009A1AF1">
        <w:t>our works under the skin.</w:t>
      </w:r>
    </w:p>
    <w:p w:rsidR="00000000" w:rsidRPr="009A1AF1" w:rsidP="00D50482">
      <w:pPr>
        <w:pStyle w:val="BodyText"/>
      </w:pPr>
      <w:r w:rsidRPr="009A1AF1">
        <w:t>It requires the ability to make pigment selections based on knowledge of pigment characteristics and colours, and client skin type and colour. It also requires the ability to perform colour correction.</w:t>
      </w:r>
    </w:p>
    <w:p w:rsidR="00000000" w:rsidRPr="009A1AF1" w:rsidP="00D50482">
      <w:pPr>
        <w:pStyle w:val="BodyText"/>
      </w:pPr>
      <w:r w:rsidRPr="009A1AF1">
        <w:t>This unit applies to cosmeti</w:t>
      </w:r>
      <w:r w:rsidRPr="009A1AF1">
        <w:t>c tattooists who work in salons or clinics where cosmetic tattoos are provided on face or body.</w:t>
      </w:r>
    </w:p>
    <w:p w:rsidR="00000000" w:rsidRPr="009A1AF1" w:rsidP="00D50482">
      <w:pPr>
        <w:pStyle w:val="BodyText"/>
      </w:pPr>
      <w:r w:rsidRPr="009A1AF1">
        <w:t>The skills in this unit must be applied in accordance with Commonwealth and State or Territory legislation, Australian standards and industry codes of practice.</w:t>
      </w:r>
    </w:p>
    <w:p w:rsidR="00000000" w:rsidRPr="009A1AF1" w:rsidP="00D50482">
      <w:pPr>
        <w:pStyle w:val="BodyText"/>
      </w:pPr>
      <w:r w:rsidRPr="009A1AF1">
        <w:t>No occupational licensing, certification or specific legislative requirements apply to this unit at the time of publication.</w:t>
      </w:r>
    </w:p>
    <w:p w:rsidR="00000000" w:rsidRPr="009A1AF1" w:rsidP="009A1AF1">
      <w:pPr>
        <w:pStyle w:val="Heading1"/>
      </w:pPr>
      <w:bookmarkStart w:id="3" w:name="O_1203281"/>
      <w:bookmarkEnd w:id="3"/>
      <w:r w:rsidRPr="009A1AF1">
        <w:t>Pre-requisite Unit</w:t>
      </w:r>
    </w:p>
    <w:p w:rsidR="00000000" w:rsidRPr="009A1AF1" w:rsidP="00D50482">
      <w:pPr>
        <w:pStyle w:val="BodyText"/>
      </w:pPr>
      <w:r w:rsidRPr="009A1AF1">
        <w:t xml:space="preserve">Nil </w:t>
      </w:r>
    </w:p>
    <w:p w:rsidR="00000000" w:rsidRPr="009A1AF1" w:rsidP="009A1AF1">
      <w:pPr>
        <w:pStyle w:val="Heading1"/>
      </w:pPr>
      <w:bookmarkStart w:id="4" w:name="O_1203282"/>
      <w:bookmarkEnd w:id="4"/>
      <w:r w:rsidRPr="009A1AF1">
        <w:t>Competency Field</w:t>
      </w:r>
    </w:p>
    <w:p w:rsidR="00000000" w:rsidRPr="009A1AF1" w:rsidP="00D50482">
      <w:pPr>
        <w:pStyle w:val="BodyText"/>
      </w:pPr>
      <w:r w:rsidRPr="009A1AF1">
        <w:t xml:space="preserve">Cosmetic Tattooing </w:t>
      </w:r>
    </w:p>
    <w:p w:rsidR="00000000" w:rsidRPr="009A1AF1" w:rsidP="009A1AF1">
      <w:pPr>
        <w:pStyle w:val="Heading1"/>
      </w:pPr>
      <w:bookmarkStart w:id="5" w:name="O_1203283"/>
      <w:bookmarkEnd w:id="5"/>
      <w:r w:rsidRPr="009A1AF1">
        <w:t>Unit Sector</w:t>
      </w:r>
    </w:p>
    <w:p w:rsidR="00000000" w:rsidRPr="009A1AF1" w:rsidP="00D50482">
      <w:pPr>
        <w:pStyle w:val="BodyText"/>
      </w:pPr>
      <w:r w:rsidRPr="009A1AF1">
        <w:t xml:space="preserve">Beauty </w:t>
      </w:r>
    </w:p>
    <w:p w:rsidR="00000000" w:rsidRPr="009A1AF1" w:rsidP="009A1AF1">
      <w:pPr>
        <w:pStyle w:val="Heading1"/>
      </w:pPr>
      <w:bookmarkStart w:id="6" w:name="O_1203284"/>
      <w:bookmarkEnd w:id="6"/>
      <w:r w:rsidRPr="009A1AF1">
        <w:t>Elements and Performance Criteria</w:t>
      </w:r>
    </w:p>
    <w:tbl>
      <w:tblPr>
        <w:tblW w:w="0" w:type="auto"/>
        <w:tblCellMar>
          <w:left w:w="62" w:type="dxa"/>
          <w:right w:w="62" w:type="dxa"/>
        </w:tblCellMar>
        <w:tblLook w:val="0000"/>
      </w:tblPr>
      <w:tblGrid>
        <w:gridCol w:w="2562"/>
        <w:gridCol w:w="6634"/>
      </w:tblGrid>
      <w:tr w:rsidTr="00D50482">
        <w:tblPrEx>
          <w:tblW w:w="0" w:type="auto"/>
          <w:tblCellMar>
            <w:left w:w="62" w:type="dxa"/>
            <w:right w:w="62" w:type="dxa"/>
          </w:tblCellMar>
          <w:tblLook w:val="0000"/>
        </w:tblPrEx>
        <w:trPr>
          <w:trHeight w:val="344"/>
        </w:trPr>
        <w:tc>
          <w:tcPr>
            <w:tcW w:w="0" w:type="auto"/>
            <w:tcBorders>
              <w:top w:val="nil"/>
              <w:left w:val="nil"/>
              <w:bottom w:val="nil"/>
              <w:right w:val="nil"/>
            </w:tcBorders>
            <w:tcMar>
              <w:top w:w="0" w:type="dxa"/>
              <w:left w:w="62" w:type="dxa"/>
              <w:bottom w:w="0" w:type="dxa"/>
              <w:right w:w="62" w:type="dxa"/>
            </w:tcMar>
          </w:tcPr>
          <w:p w:rsidR="00000000" w:rsidRPr="009A1AF1" w:rsidP="009A1AF1">
            <w:pPr>
              <w:pStyle w:val="BodyText"/>
            </w:pPr>
            <w:r w:rsidRPr="009A1AF1">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9A1AF1">
            <w:pPr>
              <w:pStyle w:val="BodyText"/>
              <w:rPr>
                <w:lang w:val="en-NZ"/>
              </w:rPr>
            </w:pPr>
            <w:r w:rsidRPr="009A1AF1">
              <w:rPr>
                <w:rStyle w:val="SpecialBold"/>
              </w:rPr>
              <w:t>PERFORMANCE</w:t>
            </w:r>
            <w:r w:rsidRPr="009A1AF1">
              <w:t xml:space="preserve"> </w:t>
            </w:r>
            <w:r w:rsidRPr="009A1AF1">
              <w:rPr>
                <w:rStyle w:val="SpecialBold"/>
              </w:rPr>
              <w:t>CRITERIA</w:t>
            </w:r>
          </w:p>
        </w:tc>
      </w:tr>
      <w:tr w:rsidTr="00D50482">
        <w:tblPrEx>
          <w:tblW w:w="0" w:type="auto"/>
          <w:tblCellMar>
            <w:left w:w="62" w:type="dxa"/>
            <w:right w:w="62" w:type="dxa"/>
          </w:tblCellMar>
          <w:tblLook w:val="0000"/>
        </w:tblPrEx>
        <w:trPr>
          <w:trHeight w:val="875"/>
        </w:trPr>
        <w:tc>
          <w:tcPr>
            <w:tcW w:w="0" w:type="auto"/>
            <w:tcBorders>
              <w:top w:val="nil"/>
              <w:left w:val="nil"/>
              <w:bottom w:val="nil"/>
              <w:right w:val="nil"/>
            </w:tcBorders>
            <w:tcMar>
              <w:top w:w="0" w:type="dxa"/>
              <w:left w:w="62" w:type="dxa"/>
              <w:bottom w:w="0" w:type="dxa"/>
              <w:right w:w="62" w:type="dxa"/>
            </w:tcMar>
          </w:tcPr>
          <w:p w:rsidR="00000000" w:rsidRPr="009A1AF1" w:rsidP="009A1AF1">
            <w:pPr>
              <w:pStyle w:val="BodyText"/>
            </w:pPr>
            <w:r w:rsidRPr="009A1AF1">
              <w:rPr>
                <w:rStyle w:val="Emphasis"/>
              </w:rPr>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9A1AF1">
            <w:pPr>
              <w:pStyle w:val="BodyText"/>
              <w:rPr>
                <w:lang w:val="en-NZ"/>
              </w:rPr>
            </w:pPr>
            <w:r w:rsidRPr="009A1AF1">
              <w:rPr>
                <w:rStyle w:val="Emphasis"/>
              </w:rPr>
              <w:t>Performance criteria describe the performance needed to demonstrate achievement of the element.</w:t>
            </w:r>
          </w:p>
        </w:tc>
      </w:tr>
      <w:tr w:rsidTr="00D50482">
        <w:tblPrEx>
          <w:tblW w:w="0" w:type="auto"/>
          <w:tblCellMar>
            <w:left w:w="62" w:type="dxa"/>
            <w:right w:w="62" w:type="dxa"/>
          </w:tblCellMar>
          <w:tblLook w:val="0000"/>
        </w:tblPrEx>
        <w:trPr>
          <w:trHeight w:val="3180"/>
        </w:trPr>
        <w:tc>
          <w:tcPr>
            <w:tcW w:w="0" w:type="auto"/>
            <w:tcBorders>
              <w:top w:val="nil"/>
              <w:left w:val="nil"/>
              <w:bottom w:val="nil"/>
              <w:right w:val="nil"/>
            </w:tcBorders>
            <w:tcMar>
              <w:top w:w="0" w:type="dxa"/>
              <w:left w:w="62" w:type="dxa"/>
              <w:bottom w:w="0" w:type="dxa"/>
              <w:right w:w="62" w:type="dxa"/>
            </w:tcMar>
          </w:tcPr>
          <w:p w:rsidR="00000000" w:rsidP="009A1AF1">
            <w:pPr>
              <w:pStyle w:val="List"/>
              <w:rPr>
                <w:lang w:val="en-NZ"/>
              </w:rPr>
            </w:pPr>
            <w:r w:rsidRPr="009A1AF1">
              <w:t>1.  Select colour based on knowledge of the colour wheel.</w:t>
            </w:r>
          </w:p>
        </w:tc>
        <w:tc>
          <w:tcPr>
            <w:tcW w:w="0" w:type="auto"/>
            <w:tcBorders>
              <w:top w:val="nil"/>
              <w:left w:val="nil"/>
              <w:bottom w:val="nil"/>
              <w:right w:val="nil"/>
            </w:tcBorders>
            <w:tcMar>
              <w:top w:w="0" w:type="dxa"/>
              <w:left w:w="62" w:type="dxa"/>
              <w:bottom w:w="0" w:type="dxa"/>
              <w:right w:w="62" w:type="dxa"/>
            </w:tcMar>
          </w:tcPr>
          <w:p w:rsidR="00000000" w:rsidRPr="009A1AF1" w:rsidP="009A1AF1">
            <w:pPr>
              <w:pStyle w:val="List"/>
            </w:pPr>
            <w:r w:rsidRPr="009A1AF1">
              <w:t>1.1. Identify primary colours on the colour wheel and how to mix colours to make secondary colours.</w:t>
            </w:r>
          </w:p>
          <w:p w:rsidR="00000000" w:rsidRPr="009A1AF1" w:rsidP="009A1AF1">
            <w:pPr>
              <w:pStyle w:val="List"/>
            </w:pPr>
            <w:r w:rsidRPr="009A1AF1">
              <w:t>1.2. Identify secondary colours and how to mix colours to create intermediate colours.</w:t>
            </w:r>
          </w:p>
          <w:p w:rsidR="00000000" w:rsidRPr="009A1AF1" w:rsidP="009A1AF1">
            <w:pPr>
              <w:pStyle w:val="List"/>
            </w:pPr>
            <w:r w:rsidRPr="009A1AF1">
              <w:t>1.3. Identi</w:t>
            </w:r>
            <w:r w:rsidRPr="009A1AF1">
              <w:t>fy intermediate colours and how to mix colours to create tertiary colours.</w:t>
            </w:r>
          </w:p>
          <w:p w:rsidR="00000000" w:rsidRPr="009A1AF1" w:rsidP="009A1AF1">
            <w:pPr>
              <w:pStyle w:val="List"/>
            </w:pPr>
            <w:r w:rsidRPr="009A1AF1">
              <w:t>1.4. Identify tertiary colours and neutralising colours.</w:t>
            </w:r>
          </w:p>
          <w:p w:rsidR="00000000" w:rsidP="009A1AF1">
            <w:pPr>
              <w:pStyle w:val="List"/>
              <w:rPr>
                <w:lang w:val="en-NZ"/>
              </w:rPr>
            </w:pPr>
            <w:r w:rsidRPr="009A1AF1">
              <w:t>1.5. Identify hue, tone, value, saturation, and temperature of colours.</w:t>
            </w:r>
          </w:p>
        </w:tc>
      </w:tr>
      <w:tr w:rsidTr="00D50482">
        <w:tblPrEx>
          <w:tblW w:w="0" w:type="auto"/>
          <w:tblCellMar>
            <w:left w:w="62" w:type="dxa"/>
            <w:right w:w="62" w:type="dxa"/>
          </w:tblCellMar>
          <w:tblLook w:val="0000"/>
        </w:tblPrEx>
        <w:trPr>
          <w:trHeight w:val="7140"/>
        </w:trPr>
        <w:tc>
          <w:tcPr>
            <w:tcW w:w="0" w:type="auto"/>
            <w:tcBorders>
              <w:top w:val="nil"/>
              <w:left w:val="nil"/>
              <w:bottom w:val="nil"/>
              <w:right w:val="nil"/>
            </w:tcBorders>
            <w:tcMar>
              <w:top w:w="0" w:type="dxa"/>
              <w:left w:w="62" w:type="dxa"/>
              <w:bottom w:w="0" w:type="dxa"/>
              <w:right w:w="62" w:type="dxa"/>
            </w:tcMar>
          </w:tcPr>
          <w:p w:rsidR="00D50482" w:rsidP="009A1AF1">
            <w:pPr>
              <w:pStyle w:val="List"/>
            </w:pPr>
            <w:r w:rsidRPr="009A1AF1">
              <w:t>2.  Research information about pigments and pigmentology.</w:t>
            </w:r>
          </w:p>
          <w:p w:rsidR="00D50482" w:rsidP="009A1AF1">
            <w:pPr>
              <w:pStyle w:val="List"/>
            </w:pPr>
          </w:p>
          <w:p w:rsidR="00000000" w:rsidP="009A1AF1">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A1AF1" w:rsidP="009A1AF1">
            <w:pPr>
              <w:pStyle w:val="List"/>
            </w:pPr>
            <w:r w:rsidRPr="009A1AF1">
              <w:t xml:space="preserve">2.1. Identify cosmetic tattoo pigment colours on the International Nomenclature Cosmetic Ingredients (INCI). </w:t>
            </w:r>
          </w:p>
          <w:p w:rsidR="00000000" w:rsidRPr="009A1AF1" w:rsidP="009A1AF1">
            <w:pPr>
              <w:pStyle w:val="List"/>
            </w:pPr>
            <w:r w:rsidRPr="009A1AF1">
              <w:t>2.2. Identify colorants approved for use in food, drugs and cosmetics.</w:t>
            </w:r>
          </w:p>
          <w:p w:rsidR="00000000" w:rsidRPr="009A1AF1" w:rsidP="009A1AF1">
            <w:pPr>
              <w:pStyle w:val="List"/>
            </w:pPr>
            <w:r w:rsidRPr="009A1AF1">
              <w:t>2.3. Ide</w:t>
            </w:r>
            <w:r w:rsidRPr="009A1AF1">
              <w:t xml:space="preserve">ntify colourants in cosmetic tattoo pigments. </w:t>
            </w:r>
          </w:p>
          <w:p w:rsidR="00000000" w:rsidRPr="009A1AF1" w:rsidP="009A1AF1">
            <w:pPr>
              <w:pStyle w:val="List"/>
            </w:pPr>
            <w:r w:rsidRPr="009A1AF1">
              <w:t>2.4. Identify and describe organic and in inorganic pigments.</w:t>
            </w:r>
          </w:p>
          <w:p w:rsidR="00000000" w:rsidRPr="009A1AF1" w:rsidP="009A1AF1">
            <w:pPr>
              <w:pStyle w:val="List"/>
            </w:pPr>
            <w:r w:rsidRPr="009A1AF1">
              <w:t>2.5. Identify cosmetic pigment bottle ingredients, the additives used and their purpose.</w:t>
            </w:r>
          </w:p>
          <w:p w:rsidR="00000000" w:rsidRPr="009A1AF1" w:rsidP="009A1AF1">
            <w:pPr>
              <w:pStyle w:val="List"/>
            </w:pPr>
            <w:r w:rsidRPr="009A1AF1">
              <w:t>2.6. Identify black, brown, blue, green and red pigments a</w:t>
            </w:r>
            <w:r w:rsidRPr="009A1AF1">
              <w:t>nd their characteristics.</w:t>
            </w:r>
          </w:p>
          <w:p w:rsidR="00000000" w:rsidRPr="009A1AF1" w:rsidP="009A1AF1">
            <w:pPr>
              <w:pStyle w:val="List"/>
            </w:pPr>
            <w:r w:rsidRPr="009A1AF1">
              <w:t>2.7. Research Food and Drug Administration (FDA) colour additive list and the contents.</w:t>
            </w:r>
          </w:p>
          <w:p w:rsidR="00000000" w:rsidRPr="009A1AF1" w:rsidP="009A1AF1">
            <w:pPr>
              <w:pStyle w:val="List"/>
            </w:pPr>
            <w:r w:rsidRPr="009A1AF1">
              <w:t>2.8. Research and identify lightfastness and bleed resistance of cosmetic tattooing pigments.</w:t>
            </w:r>
          </w:p>
          <w:p w:rsidR="00000000" w:rsidRPr="009A1AF1" w:rsidP="009A1AF1">
            <w:pPr>
              <w:pStyle w:val="List"/>
            </w:pPr>
            <w:r w:rsidRPr="009A1AF1">
              <w:t>2.9. Establish the chemical composition of pigme</w:t>
            </w:r>
            <w:r w:rsidRPr="009A1AF1">
              <w:t>nts prior to use to determine any potential toxic and harmful effects.</w:t>
            </w:r>
          </w:p>
          <w:p w:rsidR="00000000" w:rsidRPr="009A1AF1" w:rsidP="009A1AF1">
            <w:pPr>
              <w:pStyle w:val="List"/>
            </w:pPr>
            <w:r w:rsidRPr="009A1AF1">
              <w:t>2.10. Identify cosmetic tattoo pigment effects on the skin.</w:t>
            </w:r>
          </w:p>
          <w:p w:rsidR="00000000" w:rsidRPr="009A1AF1" w:rsidP="009A1AF1">
            <w:pPr>
              <w:pStyle w:val="List"/>
            </w:pPr>
            <w:r w:rsidRPr="009A1AF1">
              <w:t>2.11. Identify risks including toxic and adverse effects of pigments when used in combination with other products or treatmen</w:t>
            </w:r>
            <w:r w:rsidRPr="009A1AF1">
              <w:t>ts.</w:t>
            </w:r>
          </w:p>
          <w:p w:rsidR="00000000" w:rsidP="009A1AF1">
            <w:pPr>
              <w:pStyle w:val="List"/>
              <w:rPr>
                <w:lang w:val="en-NZ"/>
              </w:rPr>
            </w:pPr>
            <w:r w:rsidRPr="009A1AF1">
              <w:t>2.12. Identify legislation and regulations relating to pigments and customer safeguards and protection systems that apply to cosmetic tattooing procedure to be carried out.</w:t>
            </w:r>
          </w:p>
        </w:tc>
      </w:tr>
      <w:tr w:rsidTr="00D50482">
        <w:tblPrEx>
          <w:tblW w:w="0" w:type="auto"/>
          <w:tblCellMar>
            <w:left w:w="62" w:type="dxa"/>
            <w:right w:w="62" w:type="dxa"/>
          </w:tblCellMar>
          <w:tblLook w:val="0000"/>
        </w:tblPrEx>
        <w:trPr>
          <w:trHeight w:val="2465"/>
        </w:trPr>
        <w:tc>
          <w:tcPr>
            <w:tcW w:w="0" w:type="auto"/>
            <w:tcBorders>
              <w:top w:val="nil"/>
              <w:left w:val="nil"/>
              <w:bottom w:val="nil"/>
              <w:right w:val="nil"/>
            </w:tcBorders>
            <w:tcMar>
              <w:top w:w="0" w:type="dxa"/>
              <w:left w:w="62" w:type="dxa"/>
              <w:bottom w:w="0" w:type="dxa"/>
              <w:right w:w="62" w:type="dxa"/>
            </w:tcMar>
          </w:tcPr>
          <w:p w:rsidR="00000000" w:rsidP="009A1AF1">
            <w:pPr>
              <w:pStyle w:val="List"/>
              <w:rPr>
                <w:lang w:val="en-NZ"/>
              </w:rPr>
            </w:pPr>
            <w:r w:rsidRPr="009A1AF1">
              <w:t>3.  Research and identify skin undertones and Fitzpatrick skin types as it applies to cosmetic tattooing.</w:t>
            </w:r>
          </w:p>
        </w:tc>
        <w:tc>
          <w:tcPr>
            <w:tcW w:w="0" w:type="auto"/>
            <w:tcBorders>
              <w:top w:val="nil"/>
              <w:left w:val="nil"/>
              <w:bottom w:val="nil"/>
              <w:right w:val="nil"/>
            </w:tcBorders>
            <w:tcMar>
              <w:top w:w="0" w:type="dxa"/>
              <w:left w:w="62" w:type="dxa"/>
              <w:bottom w:w="0" w:type="dxa"/>
              <w:right w:w="62" w:type="dxa"/>
            </w:tcMar>
          </w:tcPr>
          <w:p w:rsidR="00000000" w:rsidRPr="009A1AF1" w:rsidP="009A1AF1">
            <w:pPr>
              <w:pStyle w:val="List"/>
            </w:pPr>
            <w:r w:rsidRPr="009A1AF1">
              <w:t>3.1. Research and identify skin undertones.</w:t>
            </w:r>
          </w:p>
          <w:p w:rsidR="00000000" w:rsidRPr="009A1AF1" w:rsidP="009A1AF1">
            <w:pPr>
              <w:pStyle w:val="List"/>
            </w:pPr>
            <w:r w:rsidRPr="009A1AF1">
              <w:t xml:space="preserve">3.2. Research and identify cool, warm and neutral skin and describe the characteristics of each. </w:t>
            </w:r>
          </w:p>
          <w:p w:rsidR="00000000" w:rsidRPr="009A1AF1" w:rsidP="009A1AF1">
            <w:pPr>
              <w:pStyle w:val="List"/>
            </w:pPr>
            <w:r w:rsidRPr="009A1AF1">
              <w:t>3.3. Ide</w:t>
            </w:r>
            <w:r w:rsidRPr="009A1AF1">
              <w:t>ntify and describe skin overtones.</w:t>
            </w:r>
          </w:p>
          <w:p w:rsidR="00000000" w:rsidP="009A1AF1">
            <w:pPr>
              <w:pStyle w:val="List"/>
              <w:rPr>
                <w:lang w:val="en-NZ"/>
              </w:rPr>
            </w:pPr>
            <w:r w:rsidRPr="009A1AF1">
              <w:t>3.4. Research, identify and describe Fitzpatrick skin types I - VI.</w:t>
            </w:r>
          </w:p>
        </w:tc>
      </w:tr>
      <w:tr w:rsidTr="00D50482">
        <w:tblPrEx>
          <w:tblW w:w="0" w:type="auto"/>
          <w:tblCellMar>
            <w:left w:w="62" w:type="dxa"/>
            <w:right w:w="62" w:type="dxa"/>
          </w:tblCellMar>
          <w:tblLook w:val="0000"/>
        </w:tblPrEx>
        <w:trPr>
          <w:trHeight w:val="3231"/>
        </w:trPr>
        <w:tc>
          <w:tcPr>
            <w:tcW w:w="0" w:type="auto"/>
            <w:tcBorders>
              <w:top w:val="nil"/>
              <w:left w:val="nil"/>
              <w:bottom w:val="nil"/>
              <w:right w:val="nil"/>
            </w:tcBorders>
            <w:tcMar>
              <w:top w:w="0" w:type="dxa"/>
              <w:left w:w="62" w:type="dxa"/>
              <w:bottom w:w="0" w:type="dxa"/>
              <w:right w:w="62" w:type="dxa"/>
            </w:tcMar>
          </w:tcPr>
          <w:p w:rsidR="00000000" w:rsidP="009A1AF1">
            <w:pPr>
              <w:pStyle w:val="List"/>
              <w:rPr>
                <w:lang w:val="en-NZ"/>
              </w:rPr>
            </w:pPr>
            <w:r w:rsidRPr="009A1AF1">
              <w:t>4.  Research colour correction.</w:t>
            </w:r>
          </w:p>
        </w:tc>
        <w:tc>
          <w:tcPr>
            <w:tcW w:w="0" w:type="auto"/>
            <w:tcBorders>
              <w:top w:val="nil"/>
              <w:left w:val="nil"/>
              <w:bottom w:val="nil"/>
              <w:right w:val="nil"/>
            </w:tcBorders>
            <w:tcMar>
              <w:top w:w="0" w:type="dxa"/>
              <w:left w:w="62" w:type="dxa"/>
              <w:bottom w:w="0" w:type="dxa"/>
              <w:right w:w="62" w:type="dxa"/>
            </w:tcMar>
          </w:tcPr>
          <w:p w:rsidR="00000000" w:rsidRPr="009A1AF1" w:rsidP="009A1AF1">
            <w:pPr>
              <w:pStyle w:val="List"/>
            </w:pPr>
            <w:r w:rsidRPr="009A1AF1">
              <w:t xml:space="preserve">4.1. Identify the complimentary colours on the colour wheel. </w:t>
            </w:r>
          </w:p>
          <w:p w:rsidR="00000000" w:rsidRPr="009A1AF1" w:rsidP="009A1AF1">
            <w:pPr>
              <w:pStyle w:val="List"/>
            </w:pPr>
            <w:r w:rsidRPr="009A1AF1">
              <w:t>4.2. Research and describe how the portions of primary and</w:t>
            </w:r>
            <w:r w:rsidRPr="009A1AF1">
              <w:t xml:space="preserve"> secondary colours influence density of colour and saturation in colour correction.</w:t>
            </w:r>
          </w:p>
          <w:p w:rsidR="00000000" w:rsidRPr="009A1AF1" w:rsidP="009A1AF1">
            <w:pPr>
              <w:pStyle w:val="List"/>
            </w:pPr>
            <w:r w:rsidRPr="009A1AF1">
              <w:t xml:space="preserve">4.3. Research and identify what colours are used to neutralise or correct a brow that has turned; red, pink, orange, salmon, violet, purple, blue, grey, green. </w:t>
            </w:r>
          </w:p>
          <w:p w:rsidR="00000000" w:rsidP="009A1AF1">
            <w:pPr>
              <w:pStyle w:val="List"/>
              <w:rPr>
                <w:lang w:val="en-NZ"/>
              </w:rPr>
            </w:pPr>
            <w:r w:rsidRPr="009A1AF1">
              <w:t>4.4. Identi</w:t>
            </w:r>
            <w:r w:rsidRPr="009A1AF1">
              <w:t>fy how a faded treatment area with violet, orange and grey residual colour in the skin can be colour corrected.</w:t>
            </w:r>
          </w:p>
        </w:tc>
      </w:tr>
      <w:tr w:rsidTr="00D50482">
        <w:tblPrEx>
          <w:tblW w:w="0" w:type="auto"/>
          <w:tblCellMar>
            <w:left w:w="62" w:type="dxa"/>
            <w:right w:w="62" w:type="dxa"/>
          </w:tblCellMar>
          <w:tblLook w:val="0000"/>
        </w:tblPrEx>
        <w:trPr>
          <w:trHeight w:val="2473"/>
        </w:trPr>
        <w:tc>
          <w:tcPr>
            <w:tcW w:w="0" w:type="auto"/>
            <w:tcBorders>
              <w:top w:val="nil"/>
              <w:left w:val="nil"/>
              <w:bottom w:val="nil"/>
              <w:right w:val="nil"/>
            </w:tcBorders>
            <w:tcMar>
              <w:top w:w="0" w:type="dxa"/>
              <w:left w:w="62" w:type="dxa"/>
              <w:bottom w:w="0" w:type="dxa"/>
              <w:right w:w="62" w:type="dxa"/>
            </w:tcMar>
          </w:tcPr>
          <w:p w:rsidR="00000000" w:rsidP="009A1AF1">
            <w:pPr>
              <w:pStyle w:val="List"/>
              <w:rPr>
                <w:lang w:val="en-NZ"/>
              </w:rPr>
            </w:pPr>
            <w:r w:rsidRPr="009A1AF1">
              <w:t>5.  Select colour for cosmetic tattoos.</w:t>
            </w:r>
          </w:p>
        </w:tc>
        <w:tc>
          <w:tcPr>
            <w:tcW w:w="0" w:type="auto"/>
            <w:tcBorders>
              <w:top w:val="nil"/>
              <w:left w:val="nil"/>
              <w:bottom w:val="nil"/>
              <w:right w:val="nil"/>
            </w:tcBorders>
            <w:tcMar>
              <w:top w:w="0" w:type="dxa"/>
              <w:left w:w="62" w:type="dxa"/>
              <w:bottom w:w="0" w:type="dxa"/>
              <w:right w:w="62" w:type="dxa"/>
            </w:tcMar>
          </w:tcPr>
          <w:p w:rsidR="00000000" w:rsidRPr="009A1AF1" w:rsidP="009A1AF1">
            <w:pPr>
              <w:pStyle w:val="List"/>
            </w:pPr>
            <w:r w:rsidRPr="009A1AF1">
              <w:t>5.1. Identify client Fitzpatrick skin type to enable selection of suitable colour that is compatible with client skin pigments.</w:t>
            </w:r>
          </w:p>
          <w:p w:rsidR="00000000" w:rsidRPr="009A1AF1" w:rsidP="009A1AF1">
            <w:pPr>
              <w:pStyle w:val="List"/>
            </w:pPr>
            <w:r w:rsidRPr="009A1AF1">
              <w:t>5.2. Identify client skin undertone to establish an appropriate base colour.</w:t>
            </w:r>
          </w:p>
          <w:p w:rsidR="00000000" w:rsidP="009A1AF1">
            <w:pPr>
              <w:pStyle w:val="List"/>
              <w:rPr>
                <w:lang w:val="en-NZ"/>
              </w:rPr>
            </w:pPr>
            <w:r w:rsidRPr="009A1AF1">
              <w:t>5.3. Select colours that are compatible with skin a</w:t>
            </w:r>
            <w:r w:rsidRPr="009A1AF1">
              <w:t xml:space="preserve">nd hair tone and meet desired effect of client. </w:t>
            </w:r>
          </w:p>
        </w:tc>
      </w:tr>
      <w:tr w:rsidTr="00D50482">
        <w:tblPrEx>
          <w:tblW w:w="0" w:type="auto"/>
          <w:tblCellMar>
            <w:left w:w="62" w:type="dxa"/>
            <w:right w:w="62" w:type="dxa"/>
          </w:tblCellMar>
          <w:tblLook w:val="0000"/>
        </w:tblPrEx>
        <w:trPr>
          <w:trHeight w:val="631"/>
        </w:trPr>
        <w:tc>
          <w:tcPr>
            <w:tcW w:w="0" w:type="auto"/>
            <w:tcBorders>
              <w:top w:val="nil"/>
              <w:left w:val="nil"/>
              <w:bottom w:val="nil"/>
              <w:right w:val="nil"/>
            </w:tcBorders>
            <w:tcMar>
              <w:top w:w="0" w:type="dxa"/>
              <w:left w:w="62" w:type="dxa"/>
              <w:bottom w:w="0" w:type="dxa"/>
              <w:right w:w="62" w:type="dxa"/>
            </w:tcMar>
          </w:tcPr>
          <w:p w:rsidR="00000000" w:rsidP="009A1AF1">
            <w:pPr>
              <w:pStyle w:val="List"/>
              <w:rPr>
                <w:lang w:val="en-NZ"/>
              </w:rPr>
            </w:pPr>
            <w:r w:rsidRPr="009A1AF1">
              <w:t xml:space="preserve">6.  Perform colour correction. </w:t>
            </w:r>
          </w:p>
        </w:tc>
        <w:tc>
          <w:tcPr>
            <w:tcW w:w="0" w:type="auto"/>
            <w:tcBorders>
              <w:top w:val="nil"/>
              <w:left w:val="nil"/>
              <w:bottom w:val="nil"/>
              <w:right w:val="nil"/>
            </w:tcBorders>
            <w:tcMar>
              <w:top w:w="0" w:type="dxa"/>
              <w:left w:w="62" w:type="dxa"/>
              <w:bottom w:w="0" w:type="dxa"/>
              <w:right w:w="62" w:type="dxa"/>
            </w:tcMar>
          </w:tcPr>
          <w:p w:rsidR="00000000" w:rsidRPr="009A1AF1" w:rsidP="009A1AF1">
            <w:pPr>
              <w:pStyle w:val="List"/>
            </w:pPr>
            <w:r w:rsidRPr="009A1AF1">
              <w:t>6.1. Analyse area to be corrected and identify desired change and outcome.</w:t>
            </w:r>
          </w:p>
          <w:p w:rsidR="00000000" w:rsidRPr="009A1AF1" w:rsidP="009A1AF1">
            <w:pPr>
              <w:pStyle w:val="List"/>
            </w:pPr>
            <w:r w:rsidRPr="009A1AF1">
              <w:t>6.2. Identify options for correction methods and available pigments to correct colour.</w:t>
            </w:r>
          </w:p>
          <w:p w:rsidR="00000000" w:rsidRPr="009A1AF1" w:rsidP="009A1AF1">
            <w:pPr>
              <w:pStyle w:val="List"/>
            </w:pPr>
            <w:r w:rsidRPr="009A1AF1">
              <w:t xml:space="preserve">6.3. Select </w:t>
            </w:r>
            <w:r w:rsidRPr="009A1AF1">
              <w:t>and use appropriate colour to modify or change undesired tone or effect.</w:t>
            </w:r>
          </w:p>
          <w:p w:rsidR="00000000" w:rsidRPr="009A1AF1" w:rsidP="009A1AF1">
            <w:pPr>
              <w:pStyle w:val="List"/>
            </w:pPr>
            <w:r w:rsidRPr="009A1AF1">
              <w:t>6.4. Determine and agree on method of correction in consultation with the client.</w:t>
            </w:r>
          </w:p>
          <w:p w:rsidR="00000000" w:rsidRPr="009A1AF1" w:rsidP="009A1AF1">
            <w:pPr>
              <w:pStyle w:val="List"/>
            </w:pPr>
            <w:r w:rsidRPr="009A1AF1">
              <w:t xml:space="preserve">6.5. Ensure that colour correction technology will not result in a further negative outcome.  </w:t>
            </w:r>
          </w:p>
        </w:tc>
      </w:tr>
    </w:tbl>
    <w:p w:rsidR="00000000" w:rsidRPr="009A1AF1" w:rsidP="009A1AF1">
      <w:pPr>
        <w:pStyle w:val="BodyText"/>
      </w:pPr>
    </w:p>
    <w:p w:rsidR="00000000" w:rsidRPr="009A1AF1" w:rsidP="009A1AF1">
      <w:pPr>
        <w:pStyle w:val="AllowPageBreak"/>
      </w:pPr>
    </w:p>
    <w:p w:rsidR="00000000" w:rsidRPr="009A1AF1" w:rsidP="009A1AF1">
      <w:pPr>
        <w:pStyle w:val="Heading1"/>
      </w:pPr>
      <w:bookmarkStart w:id="7" w:name="O_1203285"/>
      <w:bookmarkEnd w:id="7"/>
      <w:r w:rsidRPr="009A1AF1">
        <w:t>Foundation Skills</w:t>
      </w:r>
    </w:p>
    <w:tbl>
      <w:tblPr>
        <w:tblW w:w="9526" w:type="dxa"/>
        <w:tblLayout w:type="fixed"/>
        <w:tblCellMar>
          <w:left w:w="62" w:type="dxa"/>
          <w:right w:w="62" w:type="dxa"/>
        </w:tblCellMar>
        <w:tblLook w:val="0000"/>
      </w:tblPr>
      <w:tblGrid>
        <w:gridCol w:w="2694"/>
        <w:gridCol w:w="6832"/>
      </w:tblGrid>
      <w:tr w:rsidTr="009A1AF1">
        <w:tblPrEx>
          <w:tblW w:w="9526" w:type="dxa"/>
          <w:tblLayout w:type="fixed"/>
          <w:tblCellMar>
            <w:left w:w="62" w:type="dxa"/>
            <w:right w:w="62" w:type="dxa"/>
          </w:tblCellMar>
          <w:tblLook w:val="0000"/>
        </w:tblPrEx>
        <w:trPr>
          <w:trHeight w:val="344"/>
        </w:trPr>
        <w:tc>
          <w:tcPr>
            <w:tcW w:w="9526" w:type="dxa"/>
            <w:gridSpan w:val="2"/>
            <w:tcBorders>
              <w:top w:val="nil"/>
              <w:left w:val="nil"/>
              <w:bottom w:val="nil"/>
              <w:right w:val="nil"/>
            </w:tcBorders>
            <w:tcMar>
              <w:top w:w="0" w:type="dxa"/>
              <w:left w:w="62" w:type="dxa"/>
              <w:bottom w:w="0" w:type="dxa"/>
              <w:right w:w="62" w:type="dxa"/>
            </w:tcMar>
          </w:tcPr>
          <w:p w:rsidR="00000000" w:rsidP="009A1AF1">
            <w:pPr>
              <w:pStyle w:val="BodyText"/>
              <w:rPr>
                <w:lang w:val="en-NZ"/>
              </w:rPr>
            </w:pPr>
            <w:r w:rsidRPr="009A1AF1">
              <w:rPr>
                <w:rStyle w:val="Emphasis"/>
              </w:rPr>
              <w:t>Foundation skills essential to performance in this unit, but not explicit in the performance criteria are listed here, along with a brief context statement.</w:t>
            </w:r>
          </w:p>
        </w:tc>
      </w:tr>
      <w:tr w:rsidTr="009A1AF1">
        <w:tblPrEx>
          <w:tblW w:w="9526" w:type="dxa"/>
          <w:tblLayout w:type="fixed"/>
          <w:tblCellMar>
            <w:left w:w="62" w:type="dxa"/>
            <w:right w:w="62" w:type="dxa"/>
          </w:tblCellMar>
          <w:tblLook w:val="0000"/>
        </w:tblPrEx>
        <w:trPr>
          <w:trHeight w:val="535"/>
        </w:trPr>
        <w:tc>
          <w:tcPr>
            <w:tcW w:w="2694" w:type="dxa"/>
            <w:tcBorders>
              <w:top w:val="nil"/>
              <w:left w:val="nil"/>
              <w:bottom w:val="nil"/>
              <w:right w:val="nil"/>
            </w:tcBorders>
            <w:tcMar>
              <w:top w:w="0" w:type="dxa"/>
              <w:left w:w="62" w:type="dxa"/>
              <w:bottom w:w="0" w:type="dxa"/>
              <w:right w:w="62" w:type="dxa"/>
            </w:tcMar>
          </w:tcPr>
          <w:p w:rsidR="00000000" w:rsidRPr="009A1AF1" w:rsidP="009A1AF1">
            <w:pPr>
              <w:pStyle w:val="BodyText"/>
            </w:pPr>
            <w:r w:rsidRPr="009A1AF1">
              <w:rPr>
                <w:rStyle w:val="SpecialBold"/>
              </w:rPr>
              <w:t>SKILLS</w:t>
            </w:r>
          </w:p>
        </w:tc>
        <w:tc>
          <w:tcPr>
            <w:tcW w:w="6832" w:type="dxa"/>
            <w:tcBorders>
              <w:top w:val="nil"/>
              <w:left w:val="nil"/>
              <w:bottom w:val="nil"/>
              <w:right w:val="nil"/>
            </w:tcBorders>
            <w:tcMar>
              <w:top w:w="0" w:type="dxa"/>
              <w:left w:w="62" w:type="dxa"/>
              <w:bottom w:w="0" w:type="dxa"/>
              <w:right w:w="62" w:type="dxa"/>
            </w:tcMar>
          </w:tcPr>
          <w:p w:rsidR="00000000" w:rsidP="009A1AF1">
            <w:pPr>
              <w:pStyle w:val="BodyText"/>
              <w:rPr>
                <w:lang w:val="en-NZ"/>
              </w:rPr>
            </w:pPr>
            <w:r w:rsidRPr="009A1AF1">
              <w:rPr>
                <w:rStyle w:val="SpecialBold"/>
              </w:rPr>
              <w:t>DESCRIPTION</w:t>
            </w:r>
          </w:p>
        </w:tc>
      </w:tr>
      <w:tr w:rsidTr="009A1AF1">
        <w:tblPrEx>
          <w:tblW w:w="9526" w:type="dxa"/>
          <w:tblLayout w:type="fixed"/>
          <w:tblCellMar>
            <w:left w:w="62" w:type="dxa"/>
            <w:right w:w="62" w:type="dxa"/>
          </w:tblCellMar>
          <w:tblLook w:val="0000"/>
        </w:tblPrEx>
        <w:trPr>
          <w:trHeight w:val="1599"/>
        </w:trPr>
        <w:tc>
          <w:tcPr>
            <w:tcW w:w="2694" w:type="dxa"/>
            <w:tcBorders>
              <w:top w:val="nil"/>
              <w:left w:val="nil"/>
              <w:bottom w:val="nil"/>
              <w:right w:val="nil"/>
            </w:tcBorders>
            <w:tcMar>
              <w:top w:w="0" w:type="dxa"/>
              <w:left w:w="62" w:type="dxa"/>
              <w:bottom w:w="0" w:type="dxa"/>
              <w:right w:w="62" w:type="dxa"/>
            </w:tcMar>
          </w:tcPr>
          <w:p w:rsidR="00000000" w:rsidP="009A1AF1">
            <w:pPr>
              <w:pStyle w:val="BodyText"/>
              <w:rPr>
                <w:lang w:val="en-NZ"/>
              </w:rPr>
            </w:pPr>
            <w:r w:rsidRPr="009A1AF1">
              <w:t>Reading skills to:</w:t>
            </w:r>
          </w:p>
        </w:tc>
        <w:tc>
          <w:tcPr>
            <w:tcW w:w="6832" w:type="dxa"/>
            <w:tcBorders>
              <w:top w:val="nil"/>
              <w:left w:val="nil"/>
              <w:bottom w:val="nil"/>
              <w:right w:val="nil"/>
            </w:tcBorders>
            <w:tcMar>
              <w:top w:w="0" w:type="dxa"/>
              <w:left w:w="62" w:type="dxa"/>
              <w:bottom w:w="0" w:type="dxa"/>
              <w:right w:w="62" w:type="dxa"/>
            </w:tcMar>
          </w:tcPr>
          <w:p w:rsidR="00000000" w:rsidRPr="009A1AF1" w:rsidP="009A1AF1">
            <w:pPr>
              <w:pStyle w:val="ListBullet"/>
            </w:pPr>
            <w:r w:rsidRPr="009A1AF1">
              <w:t xml:space="preserve">interpret potentially complex documents:  </w:t>
            </w:r>
          </w:p>
          <w:p w:rsidR="00000000" w:rsidRPr="009A1AF1" w:rsidP="009A1AF1">
            <w:pPr>
              <w:pStyle w:val="ListBullet2"/>
            </w:pPr>
            <w:r w:rsidRPr="009A1AF1">
              <w:t>technical information on chemical composition of pigments</w:t>
            </w:r>
          </w:p>
          <w:p w:rsidR="00000000" w:rsidP="009A1AF1">
            <w:pPr>
              <w:pStyle w:val="ListBullet2"/>
              <w:rPr>
                <w:lang w:val="en-NZ"/>
              </w:rPr>
            </w:pPr>
            <w:r w:rsidRPr="009A1AF1">
              <w:t>materials describing effects of various pigments on skin and body including toxic and adverse effects.</w:t>
            </w:r>
          </w:p>
        </w:tc>
      </w:tr>
      <w:tr w:rsidTr="009A1AF1">
        <w:tblPrEx>
          <w:tblW w:w="9526" w:type="dxa"/>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9A1AF1">
            <w:pPr>
              <w:pStyle w:val="BodyText"/>
              <w:rPr>
                <w:lang w:val="en-NZ"/>
              </w:rPr>
            </w:pPr>
            <w:r w:rsidRPr="009A1AF1">
              <w:t>Problem-solving skills to:</w:t>
            </w:r>
          </w:p>
        </w:tc>
        <w:tc>
          <w:tcPr>
            <w:tcW w:w="6832" w:type="dxa"/>
            <w:tcBorders>
              <w:top w:val="nil"/>
              <w:left w:val="nil"/>
              <w:bottom w:val="nil"/>
              <w:right w:val="nil"/>
            </w:tcBorders>
            <w:tcMar>
              <w:top w:w="0" w:type="dxa"/>
              <w:left w:w="62" w:type="dxa"/>
              <w:bottom w:w="0" w:type="dxa"/>
              <w:right w:w="62" w:type="dxa"/>
            </w:tcMar>
          </w:tcPr>
          <w:p w:rsidR="00000000" w:rsidRPr="009A1AF1" w:rsidP="009A1AF1">
            <w:pPr>
              <w:pStyle w:val="ListBullet"/>
            </w:pPr>
            <w:r w:rsidRPr="009A1AF1">
              <w:t>determine an effective</w:t>
            </w:r>
            <w:r w:rsidRPr="009A1AF1">
              <w:t xml:space="preserve"> solution from available options to correct colour mistakes or address client complaints.</w:t>
            </w:r>
          </w:p>
        </w:tc>
      </w:tr>
    </w:tbl>
    <w:p w:rsidR="00000000" w:rsidRPr="009A1AF1" w:rsidP="009A1AF1">
      <w:pPr>
        <w:pStyle w:val="BodyText"/>
      </w:pPr>
    </w:p>
    <w:p w:rsidR="00000000" w:rsidRPr="009A1AF1" w:rsidP="009A1AF1">
      <w:pPr>
        <w:pStyle w:val="AllowPageBreak"/>
      </w:pPr>
    </w:p>
    <w:p w:rsidR="00000000" w:rsidRPr="009A1AF1" w:rsidP="009A1AF1">
      <w:pPr>
        <w:pStyle w:val="Heading1"/>
      </w:pPr>
      <w:bookmarkStart w:id="8" w:name="O_1203287"/>
      <w:bookmarkEnd w:id="8"/>
      <w:r w:rsidRPr="009A1AF1">
        <w:t>Unit Mapping Information</w:t>
      </w:r>
    </w:p>
    <w:p w:rsidR="00000000" w:rsidRPr="009A1AF1" w:rsidP="00D50482">
      <w:pPr>
        <w:pStyle w:val="BodyText"/>
      </w:pPr>
      <w:r w:rsidRPr="009A1AF1">
        <w:t>No equivalent unit.</w:t>
      </w:r>
    </w:p>
    <w:p w:rsidR="00000000" w:rsidRPr="009A1AF1" w:rsidP="009A1AF1">
      <w:pPr>
        <w:pStyle w:val="Heading1"/>
      </w:pPr>
      <w:bookmarkStart w:id="9" w:name="O_1203294"/>
      <w:bookmarkEnd w:id="9"/>
      <w:r w:rsidRPr="009A1AF1">
        <w:t>Links</w:t>
      </w:r>
    </w:p>
    <w:p w:rsidR="00000000" w:rsidRPr="009A1AF1" w:rsidP="00D50482">
      <w:pPr>
        <w:pStyle w:val="BodyText"/>
      </w:pPr>
      <w:r w:rsidRPr="009A1AF1">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45B5F">
        <w:rPr>
          <w:rStyle w:val="Hyperlink"/>
        </w:rPr>
        <w:t>https://vetnet.gov.au/Pages/TrainingDocs.aspx?q=255d312b-db07-48f2-b6d6-1b0b06c42898</w:t>
      </w:r>
      <w:r>
        <w:fldChar w:fldCharType="end"/>
      </w:r>
    </w:p>
    <w:p w:rsidR="00000000" w:rsidRPr="009A1AF1" w:rsidP="00D50482">
      <w:pPr>
        <w:pStyle w:val="BodyText"/>
        <w:sectPr w:rsidSect="009A1AF1">
          <w:headerReference w:type="default" r:id="rId10"/>
          <w:footerReference w:type="default" r:id="rId11"/>
          <w:pgSz w:w="11908" w:h="16833"/>
          <w:pgMar w:top="1702" w:right="1418" w:bottom="1702" w:left="1418" w:header="992" w:footer="992" w:gutter="0"/>
          <w:cols w:space="720"/>
          <w:noEndnote/>
          <w:docGrid w:linePitch="299"/>
        </w:sectPr>
      </w:pPr>
    </w:p>
    <w:p w:rsidR="00000000" w:rsidRPr="009A1AF1" w:rsidP="009A1AF1">
      <w:pPr>
        <w:pStyle w:val="SuperHeading"/>
      </w:pPr>
      <w:r w:rsidRPr="009A1AF1">
        <w:t>Assessment Requirements for SHBBCOS002 Apply knowledge of colou</w:t>
      </w:r>
      <w:r w:rsidRPr="009A1AF1">
        <w:t>r theory and pigmentology to cosmetic tattooing</w:t>
      </w:r>
    </w:p>
    <w:p w:rsidR="00000000" w:rsidRPr="009A1AF1" w:rsidP="009A1AF1">
      <w:pPr>
        <w:pStyle w:val="Heading1"/>
      </w:pPr>
      <w:bookmarkStart w:id="10" w:name="O_1203289"/>
      <w:bookmarkEnd w:id="10"/>
      <w:r w:rsidRPr="009A1AF1">
        <w:t>Modification History</w:t>
      </w:r>
    </w:p>
    <w:p w:rsidR="00000000" w:rsidRPr="009A1AF1" w:rsidP="00D50482">
      <w:pPr>
        <w:pStyle w:val="BodyText"/>
      </w:pPr>
      <w:r w:rsidRPr="009A1AF1">
        <w:t>No equivalent unit.</w:t>
      </w:r>
    </w:p>
    <w:p w:rsidR="00000000" w:rsidRPr="009A1AF1" w:rsidP="009A1AF1">
      <w:pPr>
        <w:pStyle w:val="Heading1"/>
      </w:pPr>
      <w:bookmarkStart w:id="11" w:name="O_1203290"/>
      <w:bookmarkEnd w:id="11"/>
      <w:r w:rsidRPr="009A1AF1">
        <w:t>Performance Evidence</w:t>
      </w:r>
    </w:p>
    <w:p w:rsidR="00000000" w:rsidRPr="009A1AF1" w:rsidP="00D50482">
      <w:pPr>
        <w:pStyle w:val="BodyText"/>
      </w:pPr>
      <w:r w:rsidRPr="009A1AF1">
        <w:t>Evidence of the ability to complete tasks outlined in elements and performance criteria of this unit in the context of the job role, and:</w:t>
      </w:r>
    </w:p>
    <w:p w:rsidR="00000000" w:rsidRPr="009A1AF1" w:rsidP="009A1AF1">
      <w:pPr>
        <w:pStyle w:val="ListBullet"/>
      </w:pPr>
      <w:r w:rsidRPr="009A1AF1">
        <w:t>identify the pigment base colour of at least 12 different pigment colours</w:t>
      </w:r>
    </w:p>
    <w:p w:rsidR="00000000" w:rsidRPr="009A1AF1" w:rsidP="009A1AF1">
      <w:pPr>
        <w:pStyle w:val="ListBullet"/>
      </w:pPr>
      <w:r w:rsidRPr="009A1AF1">
        <w:t>mix appropriate pigment colours to create a</w:t>
      </w:r>
      <w:r w:rsidRPr="009A1AF1">
        <w:t xml:space="preserve"> brown colour at least six times</w:t>
      </w:r>
    </w:p>
    <w:p w:rsidR="00000000" w:rsidRPr="009A1AF1" w:rsidP="009A1AF1">
      <w:pPr>
        <w:pStyle w:val="ListBullet"/>
      </w:pPr>
      <w:r w:rsidRPr="009A1AF1">
        <w:t>colour correct four of each of the following fugitive colours:</w:t>
      </w:r>
    </w:p>
    <w:p w:rsidR="00000000" w:rsidRPr="009A1AF1" w:rsidP="009A1AF1">
      <w:pPr>
        <w:pStyle w:val="ListBullet2"/>
      </w:pPr>
      <w:r w:rsidRPr="009A1AF1">
        <w:t>violet</w:t>
      </w:r>
    </w:p>
    <w:p w:rsidR="00000000" w:rsidRPr="009A1AF1" w:rsidP="009A1AF1">
      <w:pPr>
        <w:pStyle w:val="ListBullet2"/>
      </w:pPr>
      <w:r w:rsidRPr="009A1AF1">
        <w:t>orange, red, salmon</w:t>
      </w:r>
    </w:p>
    <w:p w:rsidR="00000000" w:rsidRPr="009A1AF1" w:rsidP="009A1AF1">
      <w:pPr>
        <w:pStyle w:val="ListBullet2"/>
      </w:pPr>
      <w:r w:rsidRPr="009A1AF1">
        <w:t>grey, blue, green</w:t>
      </w:r>
    </w:p>
    <w:p w:rsidR="00000000" w:rsidRPr="009A1AF1" w:rsidP="009A1AF1">
      <w:pPr>
        <w:pStyle w:val="ListBullet"/>
      </w:pPr>
      <w:r w:rsidRPr="009A1AF1">
        <w:t>review and assess colour corrected area four to eight weeks following the initial correction, according to indivi</w:t>
      </w:r>
      <w:r w:rsidRPr="009A1AF1">
        <w:t>dual treatment requirements, and confirm future treatment plan</w:t>
      </w:r>
    </w:p>
    <w:p w:rsidR="00000000" w:rsidRPr="009A1AF1" w:rsidP="009A1AF1">
      <w:pPr>
        <w:pStyle w:val="ListBullet"/>
      </w:pPr>
      <w:r w:rsidRPr="009A1AF1">
        <w:t>analyse and determine individual skin undertone and Fitzpatrick skin types for:</w:t>
      </w:r>
    </w:p>
    <w:p w:rsidR="00000000" w:rsidRPr="009A1AF1" w:rsidP="009A1AF1">
      <w:pPr>
        <w:pStyle w:val="ListBullet2"/>
      </w:pPr>
      <w:r w:rsidRPr="009A1AF1">
        <w:t xml:space="preserve">five physical clients, and </w:t>
      </w:r>
    </w:p>
    <w:p w:rsidR="00000000" w:rsidRPr="009A1AF1" w:rsidP="009A1AF1">
      <w:pPr>
        <w:pStyle w:val="ListBullet2"/>
      </w:pPr>
      <w:r w:rsidRPr="009A1AF1">
        <w:t>15 simulated client scenarios</w:t>
      </w:r>
    </w:p>
    <w:p w:rsidR="00000000" w:rsidRPr="009A1AF1" w:rsidP="009A1AF1">
      <w:pPr>
        <w:pStyle w:val="ListBullet"/>
      </w:pPr>
      <w:r w:rsidRPr="009A1AF1">
        <w:t>for each of the above, select the most appropriate pigment base for use on each person.</w:t>
      </w:r>
    </w:p>
    <w:p w:rsidR="00000000" w:rsidRPr="009A1AF1" w:rsidP="009A1AF1">
      <w:pPr>
        <w:pStyle w:val="AllowPageBreak"/>
      </w:pPr>
    </w:p>
    <w:p w:rsidR="00000000" w:rsidRPr="009A1AF1" w:rsidP="009A1AF1">
      <w:pPr>
        <w:pStyle w:val="Heading1"/>
      </w:pPr>
      <w:bookmarkStart w:id="12" w:name="O_1203291"/>
      <w:bookmarkEnd w:id="12"/>
      <w:r w:rsidRPr="009A1AF1">
        <w:t>Knowledge Evidence</w:t>
      </w:r>
    </w:p>
    <w:p w:rsidR="00000000" w:rsidRPr="009A1AF1" w:rsidP="00D50482">
      <w:pPr>
        <w:pStyle w:val="BodyText"/>
      </w:pPr>
      <w:r w:rsidRPr="009A1AF1">
        <w:t>Demonstrated knowledge required to complete the tasks outlined in elements and performance criteria of this unit:</w:t>
      </w:r>
    </w:p>
    <w:p w:rsidR="00000000" w:rsidRPr="009A1AF1" w:rsidP="009A1AF1">
      <w:pPr>
        <w:pStyle w:val="ListBullet"/>
      </w:pPr>
      <w:r w:rsidRPr="009A1AF1">
        <w:t>Fitzpatrick ski</w:t>
      </w:r>
      <w:r w:rsidRPr="009A1AF1">
        <w:t>n type classification:</w:t>
      </w:r>
    </w:p>
    <w:p w:rsidR="00000000" w:rsidRPr="009A1AF1" w:rsidP="009A1AF1">
      <w:pPr>
        <w:pStyle w:val="ListBullet2"/>
      </w:pPr>
      <w:r w:rsidRPr="009A1AF1">
        <w:t>characteristics of types I - VI</w:t>
      </w:r>
    </w:p>
    <w:p w:rsidR="00000000" w:rsidRPr="009A1AF1" w:rsidP="009A1AF1">
      <w:pPr>
        <w:pStyle w:val="ListBullet2"/>
      </w:pPr>
      <w:r w:rsidRPr="009A1AF1">
        <w:t>special considerations for different Fitzpatrick skin types</w:t>
      </w:r>
    </w:p>
    <w:p w:rsidR="00000000" w:rsidRPr="009A1AF1" w:rsidP="009A1AF1">
      <w:pPr>
        <w:pStyle w:val="ListBullet2"/>
      </w:pPr>
      <w:r w:rsidRPr="009A1AF1">
        <w:t>what differentiates Fitzpatrick skin type I from Fitzpatrick skin type II</w:t>
      </w:r>
    </w:p>
    <w:p w:rsidR="00000000" w:rsidRPr="009A1AF1" w:rsidP="009A1AF1">
      <w:pPr>
        <w:pStyle w:val="ListBullet"/>
      </w:pPr>
      <w:r w:rsidRPr="009A1AF1">
        <w:t>skin undertones as it relates to implanted tattoo pigment:</w:t>
      </w:r>
    </w:p>
    <w:p w:rsidR="00000000" w:rsidRPr="009A1AF1" w:rsidP="009A1AF1">
      <w:pPr>
        <w:pStyle w:val="ListBullet2"/>
      </w:pPr>
      <w:r w:rsidRPr="009A1AF1">
        <w:t>olive</w:t>
      </w:r>
    </w:p>
    <w:p w:rsidR="00000000" w:rsidRPr="009A1AF1" w:rsidP="009A1AF1">
      <w:pPr>
        <w:pStyle w:val="ListBullet2"/>
      </w:pPr>
      <w:r w:rsidRPr="009A1AF1">
        <w:t>translucent</w:t>
      </w:r>
    </w:p>
    <w:p w:rsidR="00000000" w:rsidRPr="009A1AF1" w:rsidP="009A1AF1">
      <w:pPr>
        <w:pStyle w:val="ListBullet2"/>
      </w:pPr>
      <w:r w:rsidRPr="009A1AF1">
        <w:t>ruddy</w:t>
      </w:r>
    </w:p>
    <w:p w:rsidR="00000000" w:rsidRPr="009A1AF1" w:rsidP="009A1AF1">
      <w:pPr>
        <w:pStyle w:val="ListBullet2"/>
      </w:pPr>
      <w:r w:rsidRPr="009A1AF1">
        <w:t>sallow</w:t>
      </w:r>
    </w:p>
    <w:p w:rsidR="00000000" w:rsidRPr="009A1AF1" w:rsidP="009A1AF1">
      <w:pPr>
        <w:pStyle w:val="ListBullet2"/>
      </w:pPr>
      <w:r w:rsidRPr="009A1AF1">
        <w:t>peaches and cream</w:t>
      </w:r>
    </w:p>
    <w:p w:rsidR="00000000" w:rsidRPr="009A1AF1" w:rsidP="009A1AF1">
      <w:pPr>
        <w:pStyle w:val="ListBullet2"/>
      </w:pPr>
      <w:r w:rsidRPr="009A1AF1">
        <w:t>brown and extreme</w:t>
      </w:r>
    </w:p>
    <w:p w:rsidR="00000000" w:rsidRPr="009A1AF1" w:rsidP="009A1AF1">
      <w:pPr>
        <w:pStyle w:val="ListBullet"/>
      </w:pPr>
      <w:r w:rsidRPr="009A1AF1">
        <w:t>the colour wheel:</w:t>
      </w:r>
    </w:p>
    <w:p w:rsidR="00000000" w:rsidRPr="009A1AF1" w:rsidP="009A1AF1">
      <w:pPr>
        <w:pStyle w:val="ListBullet2"/>
      </w:pPr>
      <w:r w:rsidRPr="009A1AF1">
        <w:t>primary, secondary, intermediate and tertiary colours</w:t>
      </w:r>
    </w:p>
    <w:p w:rsidR="00000000" w:rsidRPr="009A1AF1" w:rsidP="009A1AF1">
      <w:pPr>
        <w:pStyle w:val="ListBullet2"/>
      </w:pPr>
      <w:r w:rsidRPr="009A1AF1">
        <w:t>how to mix colours to create:</w:t>
      </w:r>
    </w:p>
    <w:p w:rsidR="00000000" w:rsidRPr="009A1AF1" w:rsidP="009A1AF1">
      <w:pPr>
        <w:pStyle w:val="ListBullet3"/>
      </w:pPr>
      <w:r w:rsidRPr="009A1AF1">
        <w:t>secondary colours</w:t>
      </w:r>
    </w:p>
    <w:p w:rsidR="00000000" w:rsidRPr="009A1AF1" w:rsidP="009A1AF1">
      <w:pPr>
        <w:pStyle w:val="ListBullet3"/>
      </w:pPr>
      <w:r w:rsidRPr="009A1AF1">
        <w:t>intermediate colours</w:t>
      </w:r>
    </w:p>
    <w:p w:rsidR="00000000" w:rsidRPr="009A1AF1" w:rsidP="009A1AF1">
      <w:pPr>
        <w:pStyle w:val="ListBullet3"/>
      </w:pPr>
      <w:r w:rsidRPr="009A1AF1">
        <w:t>tertiary colours</w:t>
      </w:r>
    </w:p>
    <w:p w:rsidR="00000000" w:rsidRPr="009A1AF1" w:rsidP="009A1AF1">
      <w:pPr>
        <w:pStyle w:val="ListBullet3"/>
      </w:pPr>
      <w:r w:rsidRPr="009A1AF1">
        <w:t>neutralising colours</w:t>
      </w:r>
    </w:p>
    <w:p w:rsidR="00000000" w:rsidRPr="009A1AF1" w:rsidP="009A1AF1">
      <w:pPr>
        <w:pStyle w:val="ListBullet2"/>
      </w:pPr>
      <w:r w:rsidRPr="009A1AF1">
        <w:t>how to identify:</w:t>
      </w:r>
    </w:p>
    <w:p w:rsidR="00000000" w:rsidRPr="009A1AF1" w:rsidP="009A1AF1">
      <w:pPr>
        <w:pStyle w:val="ListBullet3"/>
      </w:pPr>
      <w:r w:rsidRPr="009A1AF1">
        <w:t xml:space="preserve">hue </w:t>
      </w:r>
    </w:p>
    <w:p w:rsidR="00000000" w:rsidRPr="009A1AF1" w:rsidP="009A1AF1">
      <w:pPr>
        <w:pStyle w:val="ListBullet3"/>
      </w:pPr>
      <w:r w:rsidRPr="009A1AF1">
        <w:t>tone</w:t>
      </w:r>
    </w:p>
    <w:p w:rsidR="00000000" w:rsidRPr="009A1AF1" w:rsidP="009A1AF1">
      <w:pPr>
        <w:pStyle w:val="ListBullet3"/>
      </w:pPr>
      <w:r w:rsidRPr="009A1AF1">
        <w:t>value</w:t>
      </w:r>
    </w:p>
    <w:p w:rsidR="00000000" w:rsidRPr="009A1AF1" w:rsidP="009A1AF1">
      <w:pPr>
        <w:pStyle w:val="ListBullet3"/>
      </w:pPr>
      <w:r w:rsidRPr="009A1AF1">
        <w:t>saturation</w:t>
      </w:r>
    </w:p>
    <w:p w:rsidR="00000000" w:rsidRPr="009A1AF1" w:rsidP="009A1AF1">
      <w:pPr>
        <w:pStyle w:val="ListBullet3"/>
      </w:pPr>
      <w:r w:rsidRPr="009A1AF1">
        <w:t>temperature of colours</w:t>
      </w:r>
    </w:p>
    <w:p w:rsidR="00000000" w:rsidRPr="009A1AF1" w:rsidP="009A1AF1">
      <w:pPr>
        <w:pStyle w:val="ListBullet"/>
      </w:pPr>
      <w:r w:rsidRPr="009A1AF1">
        <w:t>colours in pigments:</w:t>
      </w:r>
    </w:p>
    <w:p w:rsidR="00000000" w:rsidRPr="009A1AF1" w:rsidP="009A1AF1">
      <w:pPr>
        <w:pStyle w:val="ListBullet2"/>
      </w:pPr>
      <w:r w:rsidRPr="009A1AF1">
        <w:t>colour codes</w:t>
      </w:r>
    </w:p>
    <w:p w:rsidR="00000000" w:rsidRPr="009A1AF1" w:rsidP="009A1AF1">
      <w:pPr>
        <w:pStyle w:val="ListBullet2"/>
      </w:pPr>
      <w:r w:rsidRPr="009A1AF1">
        <w:t>dyes</w:t>
      </w:r>
    </w:p>
    <w:p w:rsidR="00000000" w:rsidRPr="009A1AF1" w:rsidP="009A1AF1">
      <w:pPr>
        <w:pStyle w:val="ListBullet2"/>
      </w:pPr>
      <w:r w:rsidRPr="009A1AF1">
        <w:t>interaction of colours</w:t>
      </w:r>
    </w:p>
    <w:p w:rsidR="00000000" w:rsidRPr="009A1AF1" w:rsidP="009A1AF1">
      <w:pPr>
        <w:pStyle w:val="ListBullet2"/>
      </w:pPr>
      <w:r w:rsidRPr="009A1AF1">
        <w:t>lakes</w:t>
      </w:r>
    </w:p>
    <w:p w:rsidR="00000000" w:rsidRPr="009A1AF1" w:rsidP="009A1AF1">
      <w:pPr>
        <w:pStyle w:val="ListBullet2"/>
      </w:pPr>
      <w:r w:rsidRPr="009A1AF1">
        <w:t>pigments</w:t>
      </w:r>
    </w:p>
    <w:p w:rsidR="00000000" w:rsidRPr="009A1AF1" w:rsidP="009A1AF1">
      <w:pPr>
        <w:pStyle w:val="ListBullet"/>
      </w:pPr>
      <w:r w:rsidRPr="009A1AF1">
        <w:t>ingredients and characteristics of tattooing pigments:</w:t>
      </w:r>
    </w:p>
    <w:p w:rsidR="00000000" w:rsidRPr="009A1AF1" w:rsidP="009A1AF1">
      <w:pPr>
        <w:pStyle w:val="ListBullet2"/>
      </w:pPr>
      <w:r w:rsidRPr="009A1AF1">
        <w:t>key ingredients</w:t>
      </w:r>
    </w:p>
    <w:p w:rsidR="00000000" w:rsidRPr="009A1AF1" w:rsidP="009A1AF1">
      <w:pPr>
        <w:pStyle w:val="ListBullet2"/>
      </w:pPr>
      <w:r w:rsidRPr="009A1AF1">
        <w:t xml:space="preserve">light fastness </w:t>
      </w:r>
    </w:p>
    <w:p w:rsidR="00000000" w:rsidRPr="009A1AF1" w:rsidP="009A1AF1">
      <w:pPr>
        <w:pStyle w:val="ListBullet2"/>
      </w:pPr>
      <w:r w:rsidRPr="009A1AF1">
        <w:t>molecules</w:t>
      </w:r>
    </w:p>
    <w:p w:rsidR="00000000" w:rsidRPr="009A1AF1" w:rsidP="009A1AF1">
      <w:pPr>
        <w:pStyle w:val="ListBullet2"/>
      </w:pPr>
      <w:r w:rsidRPr="009A1AF1">
        <w:t>substrates</w:t>
      </w:r>
    </w:p>
    <w:p w:rsidR="00000000" w:rsidRPr="009A1AF1" w:rsidP="009A1AF1">
      <w:pPr>
        <w:pStyle w:val="ListBullet2"/>
      </w:pPr>
      <w:r w:rsidRPr="009A1AF1">
        <w:t>effects on the skin</w:t>
      </w:r>
    </w:p>
    <w:p w:rsidR="00000000" w:rsidRPr="009A1AF1" w:rsidP="009A1AF1">
      <w:pPr>
        <w:pStyle w:val="ListBullet"/>
      </w:pPr>
      <w:r w:rsidRPr="009A1AF1">
        <w:t>the difference between a toner pigment and a lake pigment</w:t>
      </w:r>
    </w:p>
    <w:p w:rsidR="00000000" w:rsidRPr="009A1AF1" w:rsidP="009A1AF1">
      <w:pPr>
        <w:pStyle w:val="ListBullet"/>
      </w:pPr>
      <w:r w:rsidRPr="009A1AF1">
        <w:t>the pigment characteristics, chemical composition, particle size, manufacturing processes for:</w:t>
      </w:r>
    </w:p>
    <w:p w:rsidR="00000000" w:rsidRPr="009A1AF1" w:rsidP="009A1AF1">
      <w:pPr>
        <w:pStyle w:val="ListBullet2"/>
      </w:pPr>
      <w:r w:rsidRPr="009A1AF1">
        <w:t>inorganic</w:t>
      </w:r>
    </w:p>
    <w:p w:rsidR="00000000" w:rsidRPr="009A1AF1" w:rsidP="009A1AF1">
      <w:pPr>
        <w:pStyle w:val="ListBullet2"/>
      </w:pPr>
      <w:r w:rsidRPr="009A1AF1">
        <w:t>insoluble pigments</w:t>
      </w:r>
    </w:p>
    <w:p w:rsidR="00000000" w:rsidRPr="009A1AF1" w:rsidP="009A1AF1">
      <w:pPr>
        <w:pStyle w:val="ListBullet2"/>
      </w:pPr>
      <w:r w:rsidRPr="009A1AF1">
        <w:t>iron oxides</w:t>
      </w:r>
    </w:p>
    <w:p w:rsidR="00000000" w:rsidRPr="009A1AF1" w:rsidP="009A1AF1">
      <w:pPr>
        <w:pStyle w:val="ListBullet2"/>
      </w:pPr>
      <w:r w:rsidRPr="009A1AF1">
        <w:t>titanium dioxide</w:t>
      </w:r>
    </w:p>
    <w:p w:rsidR="00000000" w:rsidRPr="009A1AF1" w:rsidP="009A1AF1">
      <w:pPr>
        <w:pStyle w:val="ListBullet2"/>
      </w:pPr>
      <w:r w:rsidRPr="009A1AF1">
        <w:t>ultramarines Manganese Violet</w:t>
      </w:r>
    </w:p>
    <w:p w:rsidR="00000000" w:rsidRPr="009A1AF1" w:rsidP="009A1AF1">
      <w:pPr>
        <w:pStyle w:val="ListBullet"/>
      </w:pPr>
      <w:r w:rsidRPr="009A1AF1">
        <w:t>organic insoluble carbon black and the different manufacturing processes for:</w:t>
      </w:r>
    </w:p>
    <w:p w:rsidR="00000000" w:rsidRPr="009A1AF1" w:rsidP="009A1AF1">
      <w:pPr>
        <w:pStyle w:val="ListBullet2"/>
      </w:pPr>
      <w:r w:rsidRPr="009A1AF1">
        <w:t>furnace black</w:t>
      </w:r>
    </w:p>
    <w:p w:rsidR="00000000" w:rsidRPr="009A1AF1" w:rsidP="009A1AF1">
      <w:pPr>
        <w:pStyle w:val="ListBullet2"/>
      </w:pPr>
      <w:r w:rsidRPr="009A1AF1">
        <w:t>lamp black</w:t>
      </w:r>
    </w:p>
    <w:p w:rsidR="00000000" w:rsidRPr="009A1AF1" w:rsidP="009A1AF1">
      <w:pPr>
        <w:pStyle w:val="ListBullet2"/>
      </w:pPr>
      <w:r w:rsidRPr="009A1AF1">
        <w:t>thermal black</w:t>
      </w:r>
    </w:p>
    <w:p w:rsidR="00000000" w:rsidRPr="009A1AF1" w:rsidP="009A1AF1">
      <w:pPr>
        <w:pStyle w:val="ListBullet2"/>
      </w:pPr>
      <w:r w:rsidRPr="009A1AF1">
        <w:t>bone black</w:t>
      </w:r>
    </w:p>
    <w:p w:rsidR="00000000" w:rsidRPr="009A1AF1" w:rsidP="009A1AF1">
      <w:pPr>
        <w:pStyle w:val="ListBullet"/>
      </w:pPr>
      <w:r w:rsidRPr="009A1AF1">
        <w:t>how to identify:</w:t>
      </w:r>
    </w:p>
    <w:p w:rsidR="00000000" w:rsidRPr="009A1AF1" w:rsidP="009A1AF1">
      <w:pPr>
        <w:pStyle w:val="ListBullet2"/>
      </w:pPr>
      <w:r w:rsidRPr="009A1AF1">
        <w:t>which carbon is being used in cosmetic tattooing pigments</w:t>
      </w:r>
    </w:p>
    <w:p w:rsidR="00000000" w:rsidRPr="009A1AF1" w:rsidP="009A1AF1">
      <w:pPr>
        <w:pStyle w:val="ListBullet2"/>
      </w:pPr>
      <w:r w:rsidRPr="009A1AF1">
        <w:t>the FDA colour inde</w:t>
      </w:r>
      <w:r w:rsidRPr="009A1AF1">
        <w:t>x numbers for cosmetic tattooing pigments</w:t>
      </w:r>
    </w:p>
    <w:p w:rsidR="00000000" w:rsidRPr="009A1AF1" w:rsidP="009A1AF1">
      <w:pPr>
        <w:pStyle w:val="ListBullet"/>
      </w:pPr>
      <w:r w:rsidRPr="009A1AF1">
        <w:t>cosmetic tattoo pigment colours in the International Nomenclature Cosmetic Ingredients (INCI)</w:t>
      </w:r>
    </w:p>
    <w:p w:rsidR="00000000" w:rsidRPr="009A1AF1" w:rsidP="009A1AF1">
      <w:pPr>
        <w:pStyle w:val="ListBullet"/>
      </w:pPr>
      <w:r w:rsidRPr="009A1AF1">
        <w:t xml:space="preserve">colourants approved for use in food, drugs and cosmetics </w:t>
      </w:r>
    </w:p>
    <w:p w:rsidR="00000000" w:rsidRPr="009A1AF1" w:rsidP="009A1AF1">
      <w:pPr>
        <w:pStyle w:val="ListBullet"/>
      </w:pPr>
      <w:r w:rsidRPr="009A1AF1">
        <w:t>colourants in cosmetic tattoo pigments and colour code numbers:</w:t>
      </w:r>
    </w:p>
    <w:p w:rsidR="00000000" w:rsidRPr="009A1AF1" w:rsidP="009A1AF1">
      <w:pPr>
        <w:pStyle w:val="ListBullet2"/>
      </w:pPr>
      <w:r w:rsidRPr="009A1AF1">
        <w:t>organic and inorganic pigments</w:t>
      </w:r>
    </w:p>
    <w:p w:rsidR="00000000" w:rsidRPr="009A1AF1" w:rsidP="009A1AF1">
      <w:pPr>
        <w:pStyle w:val="ListBullet2"/>
      </w:pPr>
      <w:r w:rsidRPr="009A1AF1">
        <w:t>cosmetic pigment bottle ingredients, the additives used and their purpose</w:t>
      </w:r>
    </w:p>
    <w:p w:rsidR="00000000" w:rsidRPr="009A1AF1" w:rsidP="009A1AF1">
      <w:pPr>
        <w:pStyle w:val="ListBullet2"/>
      </w:pPr>
      <w:r w:rsidRPr="009A1AF1">
        <w:t>difference between a pigment and a dye</w:t>
      </w:r>
    </w:p>
    <w:p w:rsidR="00000000" w:rsidRPr="009A1AF1" w:rsidP="009A1AF1">
      <w:pPr>
        <w:pStyle w:val="ListBullet2"/>
      </w:pPr>
      <w:r w:rsidRPr="009A1AF1">
        <w:t>difference between cosmetic tattooing pigment a</w:t>
      </w:r>
      <w:r w:rsidRPr="009A1AF1">
        <w:t>nd traditional tattoo ink</w:t>
      </w:r>
    </w:p>
    <w:p w:rsidR="00000000" w:rsidRPr="009A1AF1" w:rsidP="009A1AF1">
      <w:pPr>
        <w:pStyle w:val="ListBullet"/>
      </w:pPr>
      <w:r w:rsidRPr="009A1AF1">
        <w:t>brown pigments and their characteristics:</w:t>
      </w:r>
    </w:p>
    <w:p w:rsidR="00000000" w:rsidRPr="009A1AF1" w:rsidP="009A1AF1">
      <w:pPr>
        <w:pStyle w:val="ListBullet2"/>
      </w:pPr>
      <w:r w:rsidRPr="009A1AF1">
        <w:t>how brown inorganic iron oxide pigments are produced</w:t>
      </w:r>
    </w:p>
    <w:p w:rsidR="00000000" w:rsidRPr="009A1AF1" w:rsidP="009A1AF1">
      <w:pPr>
        <w:pStyle w:val="ListBullet2"/>
      </w:pPr>
      <w:r w:rsidRPr="009A1AF1">
        <w:t>chemical organic browns and the colour index numbers</w:t>
      </w:r>
    </w:p>
    <w:p w:rsidR="00000000" w:rsidRPr="009A1AF1" w:rsidP="009A1AF1">
      <w:pPr>
        <w:pStyle w:val="ListBullet"/>
      </w:pPr>
      <w:r w:rsidRPr="009A1AF1">
        <w:t>black pigments, their characteristics and colour index numbers</w:t>
      </w:r>
    </w:p>
    <w:p w:rsidR="00000000" w:rsidRPr="009A1AF1" w:rsidP="009A1AF1">
      <w:pPr>
        <w:pStyle w:val="ListBullet"/>
      </w:pPr>
      <w:r w:rsidRPr="009A1AF1">
        <w:t>Food and Drug Ad</w:t>
      </w:r>
      <w:r w:rsidRPr="009A1AF1">
        <w:t>ministration (FDA) colour additive list and its contents:</w:t>
      </w:r>
    </w:p>
    <w:p w:rsidR="00000000" w:rsidRPr="009A1AF1" w:rsidP="009A1AF1">
      <w:pPr>
        <w:pStyle w:val="ListBullet2"/>
      </w:pPr>
      <w:r w:rsidRPr="009A1AF1">
        <w:t>pigment colours which are approved for use in cosmetics</w:t>
      </w:r>
    </w:p>
    <w:p w:rsidR="00000000" w:rsidRPr="009A1AF1" w:rsidP="009A1AF1">
      <w:pPr>
        <w:pStyle w:val="ListBullet2"/>
      </w:pPr>
      <w:r w:rsidRPr="009A1AF1">
        <w:t>colour index names and numbers</w:t>
      </w:r>
    </w:p>
    <w:p w:rsidR="00000000" w:rsidRPr="009A1AF1" w:rsidP="009A1AF1">
      <w:pPr>
        <w:pStyle w:val="ListBullet"/>
      </w:pPr>
      <w:r w:rsidRPr="009A1AF1">
        <w:t>yellow pigments, their characteristics and colour index numbers</w:t>
      </w:r>
    </w:p>
    <w:p w:rsidR="00000000" w:rsidRPr="009A1AF1" w:rsidP="009A1AF1">
      <w:pPr>
        <w:pStyle w:val="ListBullet"/>
      </w:pPr>
      <w:r w:rsidRPr="009A1AF1">
        <w:t>blues and greens pigments, their characteristics and colour index numbers</w:t>
      </w:r>
    </w:p>
    <w:p w:rsidR="00000000" w:rsidRPr="009A1AF1" w:rsidP="009A1AF1">
      <w:pPr>
        <w:pStyle w:val="ListBullet"/>
      </w:pPr>
      <w:r w:rsidRPr="009A1AF1">
        <w:t>red pigments, their characteristics and colour index numbers</w:t>
      </w:r>
    </w:p>
    <w:p w:rsidR="00000000" w:rsidRPr="009A1AF1" w:rsidP="009A1AF1">
      <w:pPr>
        <w:pStyle w:val="ListBullet"/>
      </w:pPr>
      <w:r w:rsidRPr="009A1AF1">
        <w:t>lightfastness and bleed resistance of cosmetic tattooing pigments:</w:t>
      </w:r>
    </w:p>
    <w:p w:rsidR="00000000" w:rsidRPr="009A1AF1" w:rsidP="009A1AF1">
      <w:pPr>
        <w:pStyle w:val="ListBullet2"/>
      </w:pPr>
      <w:r w:rsidRPr="009A1AF1">
        <w:t>the logarithmic blue wool scale</w:t>
      </w:r>
    </w:p>
    <w:p w:rsidR="00000000" w:rsidRPr="009A1AF1" w:rsidP="009A1AF1">
      <w:pPr>
        <w:pStyle w:val="ListBullet"/>
      </w:pPr>
      <w:r w:rsidRPr="009A1AF1">
        <w:t>preparation and dilu</w:t>
      </w:r>
      <w:r w:rsidRPr="009A1AF1">
        <w:t>tion of pigments</w:t>
      </w:r>
    </w:p>
    <w:p w:rsidR="00000000" w:rsidRPr="009A1AF1" w:rsidP="009A1AF1">
      <w:pPr>
        <w:pStyle w:val="ListBullet"/>
      </w:pPr>
      <w:r w:rsidRPr="009A1AF1">
        <w:t>the reasons why:</w:t>
      </w:r>
    </w:p>
    <w:p w:rsidR="00000000" w:rsidRPr="009A1AF1" w:rsidP="009A1AF1">
      <w:pPr>
        <w:pStyle w:val="ListBullet2"/>
      </w:pPr>
      <w:r w:rsidRPr="009A1AF1">
        <w:t>pigment colours fade in the skin</w:t>
      </w:r>
    </w:p>
    <w:p w:rsidR="00000000" w:rsidRPr="009A1AF1" w:rsidP="009A1AF1">
      <w:pPr>
        <w:pStyle w:val="ListBullet2"/>
      </w:pPr>
      <w:r w:rsidRPr="009A1AF1">
        <w:t>residual fugitive colours may be left in the skin from an aged cosmetic tattoo</w:t>
      </w:r>
    </w:p>
    <w:p w:rsidR="00000000" w:rsidRPr="009A1AF1" w:rsidP="009A1AF1">
      <w:pPr>
        <w:pStyle w:val="ListBullet2"/>
      </w:pPr>
      <w:r w:rsidRPr="009A1AF1">
        <w:t>a brown eyebrow tattoo may fade to an undesired colour</w:t>
      </w:r>
    </w:p>
    <w:p w:rsidR="00000000" w:rsidRPr="009A1AF1" w:rsidP="009A1AF1">
      <w:pPr>
        <w:pStyle w:val="ListBullet"/>
      </w:pPr>
      <w:r w:rsidRPr="009A1AF1">
        <w:t>risks of pigment use:</w:t>
      </w:r>
    </w:p>
    <w:p w:rsidR="00000000" w:rsidRPr="009A1AF1" w:rsidP="009A1AF1">
      <w:pPr>
        <w:pStyle w:val="ListBullet2"/>
      </w:pPr>
      <w:r w:rsidRPr="009A1AF1">
        <w:t>toxic effects</w:t>
      </w:r>
    </w:p>
    <w:p w:rsidR="00000000" w:rsidRPr="009A1AF1" w:rsidP="009A1AF1">
      <w:pPr>
        <w:pStyle w:val="ListBullet2"/>
      </w:pPr>
      <w:r w:rsidRPr="009A1AF1">
        <w:t>contribution to premature ageing</w:t>
      </w:r>
    </w:p>
    <w:p w:rsidR="00000000" w:rsidRPr="009A1AF1" w:rsidP="009A1AF1">
      <w:pPr>
        <w:pStyle w:val="ListBullet2"/>
      </w:pPr>
      <w:r w:rsidRPr="009A1AF1">
        <w:t>allergens and carcinogens of some colours</w:t>
      </w:r>
    </w:p>
    <w:p w:rsidR="00000000" w:rsidRPr="009A1AF1" w:rsidP="009A1AF1">
      <w:pPr>
        <w:pStyle w:val="ListBullet2"/>
      </w:pPr>
      <w:r w:rsidRPr="009A1AF1">
        <w:t>adverse effects when used in combination with other products or treatments</w:t>
      </w:r>
    </w:p>
    <w:p w:rsidR="00000000" w:rsidRPr="009A1AF1" w:rsidP="009A1AF1">
      <w:pPr>
        <w:pStyle w:val="ListBullet"/>
      </w:pPr>
      <w:r w:rsidRPr="009A1AF1">
        <w:t>difference between organic and inorganic pigments:</w:t>
      </w:r>
    </w:p>
    <w:p w:rsidR="00000000" w:rsidRPr="009A1AF1" w:rsidP="009A1AF1">
      <w:pPr>
        <w:pStyle w:val="ListBullet2"/>
      </w:pPr>
      <w:r w:rsidRPr="009A1AF1">
        <w:t>titanium</w:t>
      </w:r>
    </w:p>
    <w:p w:rsidR="00000000" w:rsidRPr="009A1AF1" w:rsidP="009A1AF1">
      <w:pPr>
        <w:pStyle w:val="ListBullet2"/>
      </w:pPr>
      <w:r w:rsidRPr="009A1AF1">
        <w:t>iron oxide</w:t>
      </w:r>
    </w:p>
    <w:p w:rsidR="00000000" w:rsidRPr="009A1AF1" w:rsidP="009A1AF1">
      <w:pPr>
        <w:pStyle w:val="ListBullet2"/>
      </w:pPr>
      <w:r w:rsidRPr="009A1AF1">
        <w:t>alumina hydrate</w:t>
      </w:r>
    </w:p>
    <w:p w:rsidR="00000000" w:rsidRPr="009A1AF1" w:rsidP="009A1AF1">
      <w:pPr>
        <w:pStyle w:val="ListBullet2"/>
      </w:pPr>
      <w:r w:rsidRPr="009A1AF1">
        <w:t>carbon</w:t>
      </w:r>
    </w:p>
    <w:p w:rsidR="00000000" w:rsidRPr="009A1AF1" w:rsidP="009A1AF1">
      <w:pPr>
        <w:pStyle w:val="ListBullet"/>
      </w:pPr>
      <w:r w:rsidRPr="009A1AF1">
        <w:t>establish</w:t>
      </w:r>
      <w:r w:rsidRPr="009A1AF1">
        <w:t>ing a pigment base colour</w:t>
      </w:r>
    </w:p>
    <w:p w:rsidR="00000000" w:rsidRPr="009A1AF1" w:rsidP="009A1AF1">
      <w:pPr>
        <w:pStyle w:val="ListBullet"/>
      </w:pPr>
      <w:r w:rsidRPr="009A1AF1">
        <w:t>placement of pigment and influence on colour</w:t>
      </w:r>
    </w:p>
    <w:p w:rsidR="00000000" w:rsidRPr="009A1AF1" w:rsidP="009A1AF1">
      <w:pPr>
        <w:pStyle w:val="ListBullet"/>
      </w:pPr>
      <w:r w:rsidRPr="009A1AF1">
        <w:t>colour migration</w:t>
      </w:r>
    </w:p>
    <w:p w:rsidR="00000000" w:rsidRPr="009A1AF1" w:rsidP="009A1AF1">
      <w:pPr>
        <w:pStyle w:val="ListBullet"/>
      </w:pPr>
      <w:r w:rsidRPr="009A1AF1">
        <w:t>adverse reactions to pigment:</w:t>
      </w:r>
    </w:p>
    <w:p w:rsidR="00000000" w:rsidRPr="009A1AF1" w:rsidP="009A1AF1">
      <w:pPr>
        <w:pStyle w:val="ListBullet2"/>
      </w:pPr>
      <w:r w:rsidRPr="009A1AF1">
        <w:t>allergic reactions</w:t>
      </w:r>
    </w:p>
    <w:p w:rsidR="00000000" w:rsidRPr="009A1AF1" w:rsidP="009A1AF1">
      <w:pPr>
        <w:pStyle w:val="ListBullet2"/>
      </w:pPr>
      <w:r w:rsidRPr="009A1AF1">
        <w:t>short-term inflammation</w:t>
      </w:r>
    </w:p>
    <w:p w:rsidR="00000000" w:rsidRPr="009A1AF1" w:rsidP="009A1AF1">
      <w:pPr>
        <w:pStyle w:val="ListBullet"/>
      </w:pPr>
      <w:r w:rsidRPr="009A1AF1">
        <w:t>colour correction techniques and methods to avoid e.g. lasers</w:t>
      </w:r>
    </w:p>
    <w:p w:rsidR="00000000" w:rsidRPr="009A1AF1" w:rsidP="009A1AF1">
      <w:pPr>
        <w:pStyle w:val="ListBullet"/>
      </w:pPr>
      <w:r w:rsidRPr="009A1AF1">
        <w:t>cosmetic tattoo removal options and the relationship to pigment removal:</w:t>
      </w:r>
    </w:p>
    <w:p w:rsidR="00000000" w:rsidRPr="009A1AF1" w:rsidP="009A1AF1">
      <w:pPr>
        <w:pStyle w:val="ListBullet2"/>
      </w:pPr>
      <w:r w:rsidRPr="009A1AF1">
        <w:t>saline</w:t>
      </w:r>
    </w:p>
    <w:p w:rsidR="00000000" w:rsidRPr="009A1AF1" w:rsidP="009A1AF1">
      <w:pPr>
        <w:pStyle w:val="ListBullet2"/>
      </w:pPr>
      <w:r w:rsidRPr="009A1AF1">
        <w:t>acid</w:t>
      </w:r>
    </w:p>
    <w:p w:rsidR="00000000" w:rsidRPr="009A1AF1" w:rsidP="009A1AF1">
      <w:pPr>
        <w:pStyle w:val="ListBullet2"/>
      </w:pPr>
      <w:r w:rsidRPr="009A1AF1">
        <w:t>laser</w:t>
      </w:r>
    </w:p>
    <w:p w:rsidR="00000000" w:rsidRPr="009A1AF1" w:rsidP="009A1AF1">
      <w:pPr>
        <w:pStyle w:val="ListBullet"/>
      </w:pPr>
      <w:r w:rsidRPr="009A1AF1">
        <w:t>storage of pigments:</w:t>
      </w:r>
    </w:p>
    <w:p w:rsidR="00000000" w:rsidRPr="009A1AF1" w:rsidP="009A1AF1">
      <w:pPr>
        <w:pStyle w:val="ListBullet2"/>
      </w:pPr>
      <w:r w:rsidRPr="009A1AF1">
        <w:t xml:space="preserve">sterility </w:t>
      </w:r>
    </w:p>
    <w:p w:rsidR="00000000" w:rsidRPr="009A1AF1" w:rsidP="009A1AF1">
      <w:pPr>
        <w:pStyle w:val="ListBullet2"/>
      </w:pPr>
      <w:r w:rsidRPr="009A1AF1">
        <w:t>use by dates</w:t>
      </w:r>
    </w:p>
    <w:p w:rsidR="00000000" w:rsidRPr="009A1AF1" w:rsidP="009A1AF1">
      <w:pPr>
        <w:pStyle w:val="ListBullet"/>
      </w:pPr>
      <w:r w:rsidRPr="009A1AF1">
        <w:t>customer safeguards and protection systems:</w:t>
      </w:r>
    </w:p>
    <w:p w:rsidR="00000000" w:rsidRPr="009A1AF1" w:rsidP="009A1AF1">
      <w:pPr>
        <w:pStyle w:val="ListBullet2"/>
      </w:pPr>
      <w:r w:rsidRPr="009A1AF1">
        <w:t>Council of Europe ResAP Resolution (2008)</w:t>
      </w:r>
    </w:p>
    <w:p w:rsidR="00000000" w:rsidRPr="009A1AF1" w:rsidP="009A1AF1">
      <w:pPr>
        <w:pStyle w:val="ListBullet2"/>
      </w:pPr>
      <w:r w:rsidRPr="009A1AF1">
        <w:t>Rapid Alert System for Non-Fo</w:t>
      </w:r>
      <w:r w:rsidRPr="009A1AF1">
        <w:t>od Consumer Products (RAPEX alert)</w:t>
      </w:r>
    </w:p>
    <w:p w:rsidR="00000000" w:rsidRPr="009A1AF1" w:rsidP="009A1AF1">
      <w:pPr>
        <w:pStyle w:val="ListBullet2"/>
      </w:pPr>
      <w:r w:rsidRPr="009A1AF1">
        <w:t>Research Food and Drug Administration (FDA) recalls of tattoo pigments</w:t>
      </w:r>
    </w:p>
    <w:p w:rsidR="00000000" w:rsidRPr="009A1AF1" w:rsidP="009A1AF1">
      <w:pPr>
        <w:pStyle w:val="ListBullet2"/>
      </w:pPr>
      <w:r w:rsidRPr="009A1AF1">
        <w:t>role of the Australian Industrial Chemicals Introduction Scheme (AICIS) and importation of cosmetic tattooing pigments into Australia</w:t>
      </w:r>
    </w:p>
    <w:p w:rsidR="00000000" w:rsidRPr="009A1AF1" w:rsidP="009A1AF1">
      <w:pPr>
        <w:pStyle w:val="ListBullet"/>
      </w:pPr>
      <w:r w:rsidRPr="009A1AF1">
        <w:t>how to read and understand pigment labels to:</w:t>
      </w:r>
    </w:p>
    <w:p w:rsidR="00000000" w:rsidRPr="009A1AF1" w:rsidP="009A1AF1">
      <w:pPr>
        <w:pStyle w:val="ListBullet2"/>
      </w:pPr>
      <w:r w:rsidRPr="009A1AF1">
        <w:t xml:space="preserve">identify ingredients: </w:t>
      </w:r>
    </w:p>
    <w:p w:rsidR="00000000" w:rsidRPr="009A1AF1" w:rsidP="009A1AF1">
      <w:pPr>
        <w:pStyle w:val="ListBullet3"/>
      </w:pPr>
      <w:r w:rsidRPr="009A1AF1">
        <w:t>that are toxic</w:t>
      </w:r>
    </w:p>
    <w:p w:rsidR="00000000" w:rsidRPr="009A1AF1" w:rsidP="009A1AF1">
      <w:pPr>
        <w:pStyle w:val="ListBullet3"/>
      </w:pPr>
      <w:r w:rsidRPr="009A1AF1">
        <w:t>that are carcinogenic, mutagenic or reprotoxic and which are defined by the current European regulations and should be avoided</w:t>
      </w:r>
    </w:p>
    <w:p w:rsidR="00000000" w:rsidRPr="009A1AF1" w:rsidP="009A1AF1">
      <w:pPr>
        <w:pStyle w:val="ListBullet2"/>
      </w:pPr>
      <w:r w:rsidRPr="009A1AF1">
        <w:t>check for colourants and other ingredients that may be harmful</w:t>
      </w:r>
    </w:p>
    <w:p w:rsidR="00000000" w:rsidRPr="009A1AF1" w:rsidP="009A1AF1">
      <w:pPr>
        <w:pStyle w:val="ListBullet"/>
      </w:pPr>
      <w:r w:rsidRPr="009A1AF1">
        <w:t>legislation and regulations relating to pigments:</w:t>
      </w:r>
    </w:p>
    <w:p w:rsidR="00000000" w:rsidRPr="009A1AF1" w:rsidP="009A1AF1">
      <w:pPr>
        <w:pStyle w:val="ListBullet2"/>
      </w:pPr>
      <w:r w:rsidRPr="009A1AF1">
        <w:t>pigments registered for purpose on the Australian Register of Therapeutic Goods.</w:t>
      </w:r>
    </w:p>
    <w:p w:rsidR="00000000" w:rsidRPr="009A1AF1" w:rsidP="009A1AF1">
      <w:pPr>
        <w:pStyle w:val="AllowPageBreak"/>
      </w:pPr>
    </w:p>
    <w:p w:rsidR="00000000" w:rsidRPr="009A1AF1" w:rsidP="009A1AF1">
      <w:pPr>
        <w:pStyle w:val="Heading1"/>
      </w:pPr>
      <w:bookmarkStart w:id="13" w:name="O_1203292"/>
      <w:bookmarkEnd w:id="13"/>
      <w:r w:rsidRPr="009A1AF1">
        <w:t>Assessment Conditions</w:t>
      </w:r>
    </w:p>
    <w:p w:rsidR="00000000" w:rsidRPr="009A1AF1" w:rsidP="00D50482">
      <w:pPr>
        <w:pStyle w:val="BodyText"/>
      </w:pPr>
      <w:r w:rsidRPr="009A1AF1">
        <w:t>Skills must be demonstrated in a cosmetic tattooing environment; this can be:</w:t>
      </w:r>
    </w:p>
    <w:p w:rsidR="00000000" w:rsidRPr="009A1AF1" w:rsidP="009A1AF1">
      <w:pPr>
        <w:pStyle w:val="ListBullet"/>
      </w:pPr>
      <w:r w:rsidRPr="009A1AF1">
        <w:t>an industry workplace or</w:t>
      </w:r>
    </w:p>
    <w:p w:rsidR="00000000" w:rsidRPr="009A1AF1" w:rsidP="009A1AF1">
      <w:pPr>
        <w:pStyle w:val="ListBullet"/>
      </w:pPr>
      <w:r w:rsidRPr="009A1AF1">
        <w:t>a simulated workplace set up for the purpose of skills assessment.</w:t>
      </w:r>
    </w:p>
    <w:p w:rsidR="00000000" w:rsidRPr="009A1AF1" w:rsidP="00D50482">
      <w:pPr>
        <w:pStyle w:val="BodyText"/>
      </w:pPr>
      <w:r w:rsidRPr="009A1AF1">
        <w:t>Assessment must ensure access to:</w:t>
      </w:r>
    </w:p>
    <w:p w:rsidR="00000000" w:rsidRPr="009A1AF1" w:rsidP="009A1AF1">
      <w:pPr>
        <w:pStyle w:val="ListBullet"/>
      </w:pPr>
      <w:r w:rsidRPr="009A1AF1">
        <w:t xml:space="preserve">relevant documentation: </w:t>
      </w:r>
    </w:p>
    <w:p w:rsidR="00000000" w:rsidRPr="009A1AF1" w:rsidP="009A1AF1">
      <w:pPr>
        <w:pStyle w:val="ListBullet2"/>
      </w:pPr>
      <w:r w:rsidRPr="009A1AF1">
        <w:t>sources of information o</w:t>
      </w:r>
      <w:r w:rsidRPr="009A1AF1">
        <w:t>n cosmetic tattooing pigments</w:t>
      </w:r>
    </w:p>
    <w:p w:rsidR="00000000" w:rsidRPr="009A1AF1" w:rsidP="009A1AF1">
      <w:pPr>
        <w:pStyle w:val="ListBullet2"/>
      </w:pPr>
      <w:r w:rsidRPr="009A1AF1">
        <w:t>key aspects of relevant federal, state or territory, and local Acts and regulations relating to use of cosmetic tattooing pigments</w:t>
      </w:r>
    </w:p>
    <w:p w:rsidR="00000000" w:rsidRPr="009A1AF1" w:rsidP="009A1AF1">
      <w:pPr>
        <w:pStyle w:val="ListBullet"/>
      </w:pPr>
      <w:r w:rsidRPr="009A1AF1">
        <w:t>colour wheel and colour charts for pigments.</w:t>
      </w:r>
    </w:p>
    <w:p w:rsidR="00000000" w:rsidRPr="009A1AF1" w:rsidP="00D50482">
      <w:pPr>
        <w:pStyle w:val="BodyText"/>
      </w:pPr>
      <w:r w:rsidRPr="009A1AF1">
        <w:t>Assessors must satisfy the Standards for Register</w:t>
      </w:r>
      <w:r w:rsidRPr="009A1AF1">
        <w:t>ed Training Organisations</w:t>
      </w:r>
      <w:r>
        <w:t>’</w:t>
      </w:r>
      <w:r w:rsidRPr="009A1AF1">
        <w:t xml:space="preserve"> requirements for assessors and:</w:t>
      </w:r>
    </w:p>
    <w:p w:rsidR="00000000" w:rsidRPr="009A1AF1" w:rsidP="009A1AF1">
      <w:pPr>
        <w:pStyle w:val="ListBullet"/>
      </w:pPr>
      <w:r w:rsidRPr="009A1AF1">
        <w:t>have worked for at least three years where they have applied the skills and knowledge of this unit of competency.</w:t>
      </w:r>
    </w:p>
    <w:p w:rsidR="00000000" w:rsidRPr="009A1AF1" w:rsidP="009A1AF1">
      <w:pPr>
        <w:pStyle w:val="AllowPageBreak"/>
      </w:pPr>
    </w:p>
    <w:p w:rsidR="00000000" w:rsidRPr="009A1AF1" w:rsidP="009A1AF1">
      <w:pPr>
        <w:pStyle w:val="Heading1"/>
      </w:pPr>
      <w:bookmarkStart w:id="14" w:name="O_1203295"/>
      <w:bookmarkEnd w:id="14"/>
      <w:r w:rsidRPr="009A1AF1">
        <w:t>Links</w:t>
      </w:r>
    </w:p>
    <w:p w:rsidR="00000000" w:rsidRPr="009A1AF1" w:rsidP="00D50482">
      <w:pPr>
        <w:pStyle w:val="BodyText"/>
      </w:pPr>
      <w:r w:rsidRPr="009A1AF1">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545B5F">
        <w:rPr>
          <w:rStyle w:val="Hyperlink"/>
        </w:rPr>
        <w:t>https://vetnet.gov.au/Pages/TrainingDocs.aspx?q=255d312b-db07-48f2-b6d6-1b0b06c42898</w:t>
      </w:r>
      <w:r>
        <w:fldChar w:fldCharType="end"/>
      </w:r>
    </w:p>
    <w:p w:rsidR="00000000" w:rsidRPr="009A1AF1" w:rsidP="009A1AF1"/>
    <w:sectPr w:rsidSect="009A1A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F1" w:rsidRPr="00D50482" w:rsidP="00D504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2" w:rsidP="009A1A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50482" w:rsidP="009A1A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D50482" w:rsidP="009A1A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F1" w:rsidP="009A1AF1">
    <w:pPr>
      <w:pStyle w:val="Footer"/>
      <w:framePr w:wrap="around"/>
    </w:pPr>
    <w:r>
      <w:fldChar w:fldCharType="begin"/>
    </w:r>
    <w:r>
      <w:instrText xml:space="preserve"> DOCPROPERTY  Subject  \* MERGEFORMAT </w:instrText>
    </w:r>
    <w:r>
      <w:fldChar w:fldCharType="separate"/>
    </w:r>
    <w:r w:rsidR="00D50482">
      <w:t>Approved</w:t>
    </w:r>
    <w:r w:rsidR="00D50482">
      <w:fldChar w:fldCharType="end"/>
    </w:r>
    <w:r>
      <w:tab/>
      <w:t xml:space="preserve">Page </w:t>
    </w:r>
    <w:r>
      <w:fldChar w:fldCharType="begin"/>
    </w:r>
    <w:r>
      <w:instrText xml:space="preserve"> PAGE  \* Arabic  \* MERGEFORMAT </w:instrText>
    </w:r>
    <w:r>
      <w:fldChar w:fldCharType="separate"/>
    </w:r>
    <w:r w:rsidR="00D50482">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50482">
      <w:rPr>
        <w:noProof/>
      </w:rPr>
      <w:t>7</w:t>
    </w:r>
    <w:r>
      <w:rPr>
        <w:noProof/>
      </w:rPr>
      <w:fldChar w:fldCharType="end"/>
    </w:r>
  </w:p>
  <w:p w:rsidR="009A1AF1" w:rsidP="009A1AF1">
    <w:pPr>
      <w:pStyle w:val="Footer"/>
      <w:framePr w:wrap="around"/>
    </w:pPr>
    <w:r>
      <w:t xml:space="preserve">© Commonwealth of Australia, </w:t>
    </w:r>
    <w:r>
      <w:fldChar w:fldCharType="begin"/>
    </w:r>
    <w:r>
      <w:instrText xml:space="preserve"> DATE  \@ "yyyy"  \* MERGEFORMAT </w:instrText>
    </w:r>
    <w:r>
      <w:fldChar w:fldCharType="separate"/>
    </w:r>
    <w:r w:rsidR="00D50482">
      <w:rPr>
        <w:noProof/>
      </w:rPr>
      <w:t>2025</w:t>
    </w:r>
    <w:r>
      <w:fldChar w:fldCharType="end"/>
    </w:r>
    <w:r>
      <w:tab/>
    </w:r>
    <w:r>
      <w:fldChar w:fldCharType="begin"/>
    </w:r>
    <w:r>
      <w:instrText xml:space="preserve"> DOCPROPERTY  Author  \* MERGEFORMAT </w:instrText>
    </w:r>
    <w:r>
      <w:fldChar w:fldCharType="separate"/>
    </w:r>
    <w:r w:rsidR="00D50482">
      <w:t>Service and Creative Skills Australia</w:t>
    </w:r>
    <w:r w:rsidR="00D50482">
      <w:fldChar w:fldCharType="end"/>
    </w:r>
  </w:p>
  <w:p w:rsidR="009A1AF1" w:rsidP="009A1A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A1AF1" w:rsidRPr="00D50482" w:rsidP="00D504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0482" w:rsidRPr="002D2AF8" w:rsidP="009A1AF1">
    <w:pPr>
      <w:pStyle w:val="Header"/>
      <w:framePr w:wrap="around"/>
    </w:pPr>
    <w:r>
      <w:fldChar w:fldCharType="begin"/>
    </w:r>
    <w:r>
      <w:instrText xml:space="preserve"> TITLE   \* MERGEFORMAT </w:instrText>
    </w:r>
    <w:r>
      <w:fldChar w:fldCharType="separate"/>
    </w:r>
    <w:r>
      <w:t>SHBBCOS002 Apply knowledge of colour theory and pigmentology to cosmetic tattooing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50482" w:rsidP="009A1A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AF1" w:rsidRPr="002D2AF8" w:rsidP="009A1AF1">
    <w:pPr>
      <w:pStyle w:val="Header"/>
      <w:framePr w:wrap="around"/>
    </w:pPr>
    <w:r>
      <w:fldChar w:fldCharType="begin"/>
    </w:r>
    <w:r>
      <w:instrText xml:space="preserve"> TITLE   \* MERGEFORMAT </w:instrText>
    </w:r>
    <w:r>
      <w:fldChar w:fldCharType="separate"/>
    </w:r>
    <w:r w:rsidR="00D50482">
      <w:t>SHBBCOS002 Apply knowledge of colour theory and pigmentology to cosmetic tattooing</w:t>
    </w:r>
    <w:r w:rsidR="00D50482">
      <w:fldChar w:fldCharType="end"/>
    </w:r>
    <w:r>
      <w:tab/>
      <w:t xml:space="preserve">Date this document was generated: </w:t>
    </w:r>
    <w:r>
      <w:fldChar w:fldCharType="begin"/>
    </w:r>
    <w:r>
      <w:instrText xml:space="preserve"> CREATEDATE  \@ "d MMMM yyyy"  \* MERGEFORMAT </w:instrText>
    </w:r>
    <w:r>
      <w:fldChar w:fldCharType="separate"/>
    </w:r>
    <w:r w:rsidR="00D50482">
      <w:rPr>
        <w:noProof/>
      </w:rPr>
      <w:t>2 March 2025</w:t>
    </w:r>
    <w:r>
      <w:fldChar w:fldCharType="end"/>
    </w:r>
  </w:p>
  <w:p w:rsidR="009A1AF1" w:rsidP="009A1A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B4E03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0045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0E48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1A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A1AF1"/>
    <w:pPr>
      <w:spacing w:before="360" w:after="60"/>
      <w:outlineLvl w:val="0"/>
    </w:pPr>
    <w:rPr>
      <w:sz w:val="32"/>
    </w:rPr>
  </w:style>
  <w:style w:type="paragraph" w:styleId="Heading2">
    <w:name w:val="heading 2"/>
    <w:basedOn w:val="HeadingBase"/>
    <w:next w:val="BodyText"/>
    <w:link w:val="Heading2Char"/>
    <w:qFormat/>
    <w:rsid w:val="009A1AF1"/>
    <w:pPr>
      <w:keepLines/>
      <w:spacing w:before="240" w:after="120"/>
      <w:outlineLvl w:val="1"/>
    </w:pPr>
    <w:rPr>
      <w:sz w:val="28"/>
      <w:szCs w:val="40"/>
    </w:rPr>
  </w:style>
  <w:style w:type="paragraph" w:styleId="Heading3">
    <w:name w:val="heading 3"/>
    <w:basedOn w:val="HeadingBase"/>
    <w:next w:val="BodyText"/>
    <w:link w:val="Heading3Char"/>
    <w:qFormat/>
    <w:rsid w:val="009A1AF1"/>
    <w:pPr>
      <w:spacing w:before="180" w:after="120"/>
      <w:outlineLvl w:val="2"/>
    </w:pPr>
    <w:rPr>
      <w:spacing w:val="-10"/>
      <w:kern w:val="32"/>
    </w:rPr>
  </w:style>
  <w:style w:type="paragraph" w:styleId="Heading4">
    <w:name w:val="heading 4"/>
    <w:basedOn w:val="HeadingBase"/>
    <w:next w:val="BodyText"/>
    <w:link w:val="Heading4Char"/>
    <w:qFormat/>
    <w:rsid w:val="009A1AF1"/>
    <w:pPr>
      <w:spacing w:before="160" w:after="120"/>
      <w:outlineLvl w:val="3"/>
    </w:pPr>
    <w:rPr>
      <w:sz w:val="22"/>
    </w:rPr>
  </w:style>
  <w:style w:type="paragraph" w:styleId="Heading5">
    <w:name w:val="heading 5"/>
    <w:basedOn w:val="HeadingBase"/>
    <w:next w:val="Normal"/>
    <w:link w:val="Heading5Char"/>
    <w:qFormat/>
    <w:rsid w:val="009A1AF1"/>
    <w:pPr>
      <w:spacing w:before="80"/>
      <w:outlineLvl w:val="4"/>
    </w:pPr>
    <w:rPr>
      <w:color w:val="918585"/>
      <w:sz w:val="20"/>
    </w:rPr>
  </w:style>
  <w:style w:type="paragraph" w:styleId="Heading6">
    <w:name w:val="heading 6"/>
    <w:basedOn w:val="HeadingBase"/>
    <w:next w:val="Normal"/>
    <w:link w:val="Heading6Char"/>
    <w:qFormat/>
    <w:rsid w:val="009A1AF1"/>
    <w:pPr>
      <w:spacing w:before="60"/>
      <w:outlineLvl w:val="5"/>
    </w:pPr>
    <w:rPr>
      <w:color w:val="918585"/>
      <w:sz w:val="20"/>
    </w:rPr>
  </w:style>
  <w:style w:type="paragraph" w:styleId="Heading7">
    <w:name w:val="heading 7"/>
    <w:basedOn w:val="Normal"/>
    <w:next w:val="Normal"/>
    <w:link w:val="Heading7Char"/>
    <w:qFormat/>
    <w:rsid w:val="009A1AF1"/>
    <w:pPr>
      <w:ind w:left="720"/>
      <w:outlineLvl w:val="6"/>
    </w:pPr>
    <w:rPr>
      <w:i/>
    </w:rPr>
  </w:style>
  <w:style w:type="paragraph" w:styleId="Heading8">
    <w:name w:val="heading 8"/>
    <w:basedOn w:val="Normal"/>
    <w:next w:val="Normal"/>
    <w:link w:val="Heading8Char"/>
    <w:qFormat/>
    <w:rsid w:val="009A1AF1"/>
    <w:pPr>
      <w:ind w:left="720"/>
      <w:outlineLvl w:val="7"/>
    </w:pPr>
    <w:rPr>
      <w:i/>
    </w:rPr>
  </w:style>
  <w:style w:type="paragraph" w:styleId="Heading9">
    <w:name w:val="heading 9"/>
    <w:basedOn w:val="Normal"/>
    <w:next w:val="Normal"/>
    <w:link w:val="Heading9Char"/>
    <w:qFormat/>
    <w:rsid w:val="009A1AF1"/>
    <w:pPr>
      <w:ind w:left="720"/>
      <w:outlineLvl w:val="8"/>
    </w:pPr>
    <w:rPr>
      <w:i/>
    </w:rPr>
  </w:style>
  <w:style w:type="character" w:default="1" w:styleId="DefaultParagraphFont">
    <w:name w:val="Default Paragraph Font"/>
    <w:uiPriority w:val="1"/>
    <w:unhideWhenUsed/>
    <w:rsid w:val="009A1A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A1AF1"/>
  </w:style>
  <w:style w:type="character" w:customStyle="1" w:styleId="Heading1Char">
    <w:name w:val="Heading 1 Char"/>
    <w:basedOn w:val="DefaultParagraphFont"/>
    <w:link w:val="Heading1"/>
    <w:rsid w:val="009A1AF1"/>
    <w:rPr>
      <w:rFonts w:ascii="Times New Roman" w:eastAsia="Times New Roman" w:hAnsi="Times New Roman" w:cs="Times New Roman"/>
      <w:b/>
      <w:sz w:val="32"/>
      <w:szCs w:val="20"/>
      <w:lang w:eastAsia="en-US"/>
    </w:rPr>
  </w:style>
  <w:style w:type="paragraph" w:styleId="BodyText">
    <w:name w:val="Body Text"/>
    <w:basedOn w:val="Normal"/>
    <w:link w:val="BodyTextChar"/>
    <w:rsid w:val="009A1A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A1AF1"/>
    <w:rPr>
      <w:rFonts w:ascii="Times New Roman" w:eastAsia="Times New Roman" w:hAnsi="Times New Roman" w:cs="Times New Roman"/>
      <w:sz w:val="24"/>
      <w:lang w:eastAsia="en-US"/>
    </w:rPr>
  </w:style>
  <w:style w:type="paragraph" w:styleId="List">
    <w:name w:val="List"/>
    <w:basedOn w:val="BodyText"/>
    <w:next w:val="BodyText"/>
    <w:rsid w:val="009A1AF1"/>
    <w:pPr>
      <w:tabs>
        <w:tab w:val="left" w:pos="340"/>
      </w:tabs>
      <w:spacing w:before="60" w:after="60"/>
      <w:ind w:left="340" w:hanging="340"/>
    </w:pPr>
  </w:style>
  <w:style w:type="paragraph" w:styleId="ListBullet">
    <w:name w:val="List Bullet"/>
    <w:basedOn w:val="List"/>
    <w:rsid w:val="009A1AF1"/>
    <w:pPr>
      <w:numPr>
        <w:numId w:val="13"/>
      </w:numPr>
      <w:tabs>
        <w:tab w:val="clear" w:pos="340"/>
      </w:tabs>
      <w:spacing w:before="40" w:after="40"/>
    </w:pPr>
  </w:style>
  <w:style w:type="character" w:customStyle="1" w:styleId="SpecialBold">
    <w:name w:val="Special Bold"/>
    <w:basedOn w:val="DefaultParagraphFont"/>
    <w:rsid w:val="009A1AF1"/>
    <w:rPr>
      <w:b/>
      <w:spacing w:val="0"/>
    </w:rPr>
  </w:style>
  <w:style w:type="paragraph" w:styleId="ListBullet2">
    <w:name w:val="List Bullet 2"/>
    <w:basedOn w:val="List2"/>
    <w:rsid w:val="009A1AF1"/>
    <w:pPr>
      <w:numPr>
        <w:numId w:val="14"/>
      </w:numPr>
      <w:tabs>
        <w:tab w:val="clear" w:pos="680"/>
      </w:tabs>
    </w:pPr>
  </w:style>
  <w:style w:type="character" w:styleId="Emphasis">
    <w:name w:val="Emphasis"/>
    <w:basedOn w:val="DefaultParagraphFont"/>
    <w:qFormat/>
    <w:rsid w:val="009A1AF1"/>
    <w:rPr>
      <w:i/>
    </w:rPr>
  </w:style>
  <w:style w:type="paragraph" w:customStyle="1" w:styleId="SuperHeading">
    <w:name w:val="SuperHeading"/>
    <w:basedOn w:val="Normal"/>
    <w:rsid w:val="009A1AF1"/>
    <w:pPr>
      <w:spacing w:before="240" w:after="120"/>
      <w:outlineLvl w:val="0"/>
    </w:pPr>
    <w:rPr>
      <w:rFonts w:ascii="Times New Roman" w:hAnsi="Times New Roman"/>
      <w:b/>
      <w:sz w:val="32"/>
    </w:rPr>
  </w:style>
  <w:style w:type="paragraph" w:customStyle="1" w:styleId="AllowPageBreak">
    <w:name w:val="AllowPageBreak"/>
    <w:rsid w:val="009A1AF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A1AF1"/>
    <w:pPr>
      <w:numPr>
        <w:numId w:val="3"/>
      </w:numPr>
      <w:tabs>
        <w:tab w:val="clear" w:pos="1021"/>
      </w:tabs>
      <w:ind w:left="1037" w:hanging="357"/>
    </w:pPr>
  </w:style>
  <w:style w:type="character" w:customStyle="1" w:styleId="Heading2Char">
    <w:name w:val="Heading 2 Char"/>
    <w:basedOn w:val="DefaultParagraphFont"/>
    <w:link w:val="Heading2"/>
    <w:rsid w:val="009A1A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A1A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A1A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A1A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A1A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A1A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A1A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A1AF1"/>
    <w:rPr>
      <w:rFonts w:ascii="Courier New" w:eastAsia="Times New Roman" w:hAnsi="Courier New" w:cs="Times New Roman"/>
      <w:i/>
      <w:szCs w:val="20"/>
      <w:lang w:eastAsia="en-US"/>
    </w:rPr>
  </w:style>
  <w:style w:type="paragraph" w:customStyle="1" w:styleId="HeadingBase">
    <w:name w:val="Heading Base"/>
    <w:rsid w:val="009A1A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A1AF1"/>
    <w:pPr>
      <w:tabs>
        <w:tab w:val="right" w:leader="dot" w:pos="9072"/>
      </w:tabs>
      <w:ind w:left="567"/>
    </w:pPr>
    <w:rPr>
      <w:szCs w:val="22"/>
    </w:rPr>
  </w:style>
  <w:style w:type="paragraph" w:customStyle="1" w:styleId="TOCBase">
    <w:name w:val="TOC Base"/>
    <w:rsid w:val="009A1A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A1AF1"/>
    <w:pPr>
      <w:tabs>
        <w:tab w:val="right" w:leader="dot" w:pos="9072"/>
      </w:tabs>
      <w:spacing w:before="40" w:after="40"/>
      <w:ind w:left="284"/>
    </w:pPr>
    <w:rPr>
      <w:rFonts w:ascii="Times New Roman" w:hAnsi="Times New Roman"/>
    </w:rPr>
  </w:style>
  <w:style w:type="paragraph" w:styleId="TOC1">
    <w:name w:val="toc 1"/>
    <w:basedOn w:val="TOCBase"/>
    <w:next w:val="Normal"/>
    <w:rsid w:val="009A1A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A1A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A1AF1"/>
    <w:rPr>
      <w:rFonts w:ascii="Times New Roman" w:eastAsia="Times New Roman" w:hAnsi="Times New Roman" w:cs="Times New Roman"/>
      <w:sz w:val="16"/>
      <w:lang w:eastAsia="en-US"/>
    </w:rPr>
  </w:style>
  <w:style w:type="paragraph" w:styleId="Title">
    <w:name w:val="Title"/>
    <w:basedOn w:val="HeadingBase"/>
    <w:link w:val="TitleChar"/>
    <w:qFormat/>
    <w:rsid w:val="009A1AF1"/>
    <w:pPr>
      <w:spacing w:before="5040"/>
      <w:jc w:val="center"/>
    </w:pPr>
    <w:rPr>
      <w:sz w:val="48"/>
      <w:szCs w:val="72"/>
      <w:lang w:val="en-US"/>
    </w:rPr>
  </w:style>
  <w:style w:type="character" w:customStyle="1" w:styleId="TitleChar">
    <w:name w:val="Title Char"/>
    <w:basedOn w:val="DefaultParagraphFont"/>
    <w:link w:val="Title"/>
    <w:rsid w:val="009A1A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A1AF1"/>
    <w:pPr>
      <w:tabs>
        <w:tab w:val="left" w:pos="3600"/>
        <w:tab w:val="left" w:pos="3958"/>
      </w:tabs>
    </w:pPr>
  </w:style>
  <w:style w:type="paragraph" w:customStyle="1" w:styleId="Note">
    <w:name w:val="Note"/>
    <w:basedOn w:val="BodyText"/>
    <w:rsid w:val="009A1A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A1AF1"/>
    <w:pPr>
      <w:framePr w:wrap="auto" w:hAnchor="text" w:y="6049"/>
    </w:pPr>
    <w:rPr>
      <w:color w:val="000000"/>
      <w:sz w:val="40"/>
    </w:rPr>
  </w:style>
  <w:style w:type="paragraph" w:customStyle="1" w:styleId="TOCTitle">
    <w:name w:val="TOCTitle"/>
    <w:basedOn w:val="Heading1"/>
    <w:rsid w:val="009A1AF1"/>
    <w:pPr>
      <w:spacing w:after="240"/>
      <w:jc w:val="center"/>
      <w:outlineLvl w:val="9"/>
    </w:pPr>
    <w:rPr>
      <w:caps/>
    </w:rPr>
  </w:style>
  <w:style w:type="paragraph" w:customStyle="1" w:styleId="Version">
    <w:name w:val="Version"/>
    <w:rsid w:val="009A1A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A1AF1"/>
    <w:pPr>
      <w:keepNext w:val="0"/>
      <w:tabs>
        <w:tab w:val="right" w:pos="4176"/>
      </w:tabs>
      <w:ind w:left="198" w:hanging="198"/>
    </w:pPr>
    <w:rPr>
      <w:rFonts w:ascii="Garamond" w:hAnsi="Garamond"/>
    </w:rPr>
  </w:style>
  <w:style w:type="paragraph" w:styleId="IndexHeading">
    <w:name w:val="index heading"/>
    <w:basedOn w:val="Normal"/>
    <w:next w:val="Index1"/>
    <w:semiHidden/>
    <w:rsid w:val="009A1AF1"/>
    <w:pPr>
      <w:spacing w:before="120" w:after="120"/>
    </w:pPr>
    <w:rPr>
      <w:rFonts w:ascii="Arial" w:hAnsi="Arial"/>
      <w:b/>
      <w:color w:val="918585"/>
      <w:sz w:val="24"/>
    </w:rPr>
  </w:style>
  <w:style w:type="paragraph" w:styleId="Header">
    <w:name w:val="header"/>
    <w:basedOn w:val="Normal"/>
    <w:link w:val="HeaderChar"/>
    <w:rsid w:val="009A1A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A1AF1"/>
    <w:rPr>
      <w:rFonts w:ascii="Times New Roman" w:eastAsia="Times New Roman" w:hAnsi="Times New Roman" w:cs="Times New Roman"/>
      <w:sz w:val="16"/>
      <w:szCs w:val="20"/>
      <w:lang w:val="en-GB" w:eastAsia="en-US"/>
    </w:rPr>
  </w:style>
  <w:style w:type="paragraph" w:customStyle="1" w:styleId="Chapter">
    <w:name w:val="Chapter"/>
    <w:basedOn w:val="Normal"/>
    <w:rsid w:val="009A1AF1"/>
    <w:pPr>
      <w:spacing w:before="240"/>
    </w:pPr>
    <w:rPr>
      <w:rFonts w:ascii="Times New Roman" w:hAnsi="Times New Roman"/>
      <w:smallCaps/>
      <w:spacing w:val="80"/>
      <w:sz w:val="28"/>
    </w:rPr>
  </w:style>
  <w:style w:type="paragraph" w:customStyle="1" w:styleId="InChapter">
    <w:name w:val="InChapter"/>
    <w:basedOn w:val="Heading3"/>
    <w:rsid w:val="009A1AF1"/>
    <w:pPr>
      <w:spacing w:after="240"/>
      <w:outlineLvl w:val="9"/>
    </w:pPr>
    <w:rPr>
      <w:noProof/>
    </w:rPr>
  </w:style>
  <w:style w:type="paragraph" w:styleId="Index2">
    <w:name w:val="index 2"/>
    <w:basedOn w:val="Normal"/>
    <w:next w:val="Normal"/>
    <w:semiHidden/>
    <w:rsid w:val="009A1AF1"/>
    <w:pPr>
      <w:tabs>
        <w:tab w:val="right" w:pos="4176"/>
      </w:tabs>
      <w:ind w:left="568" w:hanging="284"/>
    </w:pPr>
    <w:rPr>
      <w:rFonts w:ascii="Garamond" w:hAnsi="Garamond"/>
    </w:rPr>
  </w:style>
  <w:style w:type="paragraph" w:customStyle="1" w:styleId="Byline">
    <w:name w:val="Byline"/>
    <w:rsid w:val="009A1A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A1AF1"/>
    <w:pPr>
      <w:tabs>
        <w:tab w:val="clear" w:pos="3600"/>
        <w:tab w:val="clear" w:pos="3958"/>
      </w:tabs>
      <w:jc w:val="right"/>
    </w:pPr>
  </w:style>
  <w:style w:type="paragraph" w:styleId="Caption">
    <w:name w:val="caption"/>
    <w:basedOn w:val="BodyText"/>
    <w:next w:val="Normal"/>
    <w:qFormat/>
    <w:rsid w:val="009A1AF1"/>
    <w:pPr>
      <w:framePr w:w="2268" w:hSpace="181" w:vSpace="181" w:wrap="around" w:vAnchor="text" w:hAnchor="page" w:x="1135" w:y="285" w:anchorLock="1"/>
    </w:pPr>
    <w:rPr>
      <w:i/>
    </w:rPr>
  </w:style>
  <w:style w:type="paragraph" w:customStyle="1" w:styleId="MiniTOCTitle">
    <w:name w:val="MiniTOCTitle"/>
    <w:basedOn w:val="Heading4"/>
    <w:rsid w:val="009A1AF1"/>
    <w:pPr>
      <w:spacing w:before="240"/>
      <w:outlineLvl w:val="9"/>
    </w:pPr>
    <w:rPr>
      <w:noProof/>
      <w:sz w:val="24"/>
    </w:rPr>
  </w:style>
  <w:style w:type="paragraph" w:customStyle="1" w:styleId="MiniTOCItem">
    <w:name w:val="MiniTOCItem"/>
    <w:basedOn w:val="ListBullet"/>
    <w:rsid w:val="009A1AF1"/>
    <w:pPr>
      <w:numPr>
        <w:numId w:val="0"/>
      </w:numPr>
      <w:tabs>
        <w:tab w:val="right" w:leader="dot" w:pos="6521"/>
      </w:tabs>
      <w:spacing w:before="0" w:after="0"/>
    </w:pPr>
  </w:style>
  <w:style w:type="paragraph" w:customStyle="1" w:styleId="TOFTitle">
    <w:name w:val="TOFTitle"/>
    <w:basedOn w:val="TOCTitle"/>
    <w:rsid w:val="009A1AF1"/>
  </w:style>
  <w:style w:type="paragraph" w:styleId="TableofFigures">
    <w:name w:val="table of figures"/>
    <w:basedOn w:val="Normal"/>
    <w:next w:val="Normal"/>
    <w:semiHidden/>
    <w:rsid w:val="009A1AF1"/>
    <w:pPr>
      <w:tabs>
        <w:tab w:val="right" w:leader="dot" w:pos="9072"/>
      </w:tabs>
      <w:ind w:left="970" w:hanging="403"/>
    </w:pPr>
    <w:rPr>
      <w:rFonts w:ascii="Times New Roman" w:hAnsi="Times New Roman"/>
      <w:b/>
    </w:rPr>
  </w:style>
  <w:style w:type="paragraph" w:styleId="ListNumber">
    <w:name w:val="List Number"/>
    <w:basedOn w:val="List"/>
    <w:rsid w:val="009A1AF1"/>
    <w:pPr>
      <w:numPr>
        <w:numId w:val="16"/>
      </w:numPr>
      <w:tabs>
        <w:tab w:val="clear" w:pos="340"/>
      </w:tabs>
    </w:pPr>
  </w:style>
  <w:style w:type="character" w:customStyle="1" w:styleId="WingdingSymbols">
    <w:name w:val="Wingding Symbols"/>
    <w:rsid w:val="009A1AF1"/>
    <w:rPr>
      <w:rFonts w:ascii="Wingdings" w:hAnsi="Wingdings"/>
    </w:rPr>
  </w:style>
  <w:style w:type="paragraph" w:customStyle="1" w:styleId="TableHeading">
    <w:name w:val="Table Heading"/>
    <w:basedOn w:val="HeadingBase"/>
    <w:rsid w:val="009A1AF1"/>
    <w:pPr>
      <w:keepLines/>
      <w:pBdr>
        <w:bottom w:val="single" w:sz="6" w:space="1" w:color="918585"/>
      </w:pBdr>
      <w:spacing w:before="240"/>
    </w:pPr>
  </w:style>
  <w:style w:type="character" w:customStyle="1" w:styleId="HotSpot">
    <w:name w:val="HotSpot"/>
    <w:rsid w:val="009A1AF1"/>
    <w:rPr>
      <w:color w:val="0033CC"/>
      <w:u w:val="none"/>
    </w:rPr>
  </w:style>
  <w:style w:type="paragraph" w:customStyle="1" w:styleId="BodyTextRight">
    <w:name w:val="Body Text Right"/>
    <w:basedOn w:val="BodyText"/>
    <w:rsid w:val="009A1AF1"/>
    <w:pPr>
      <w:spacing w:before="0" w:after="0"/>
      <w:jc w:val="right"/>
    </w:pPr>
  </w:style>
  <w:style w:type="paragraph" w:styleId="Index3">
    <w:name w:val="index 3"/>
    <w:basedOn w:val="ListNumber2"/>
    <w:next w:val="Normal"/>
    <w:semiHidden/>
    <w:rsid w:val="009A1AF1"/>
    <w:pPr>
      <w:numPr>
        <w:numId w:val="0"/>
      </w:numPr>
      <w:tabs>
        <w:tab w:val="right" w:leader="dot" w:pos="4176"/>
      </w:tabs>
    </w:pPr>
  </w:style>
  <w:style w:type="paragraph" w:styleId="ListNumber2">
    <w:name w:val="List Number 2"/>
    <w:basedOn w:val="List2"/>
    <w:rsid w:val="009A1AF1"/>
    <w:pPr>
      <w:numPr>
        <w:numId w:val="11"/>
      </w:numPr>
      <w:tabs>
        <w:tab w:val="clear" w:pos="1060"/>
      </w:tabs>
    </w:pPr>
  </w:style>
  <w:style w:type="paragraph" w:customStyle="1" w:styleId="MarginNote">
    <w:name w:val="Margin Note"/>
    <w:basedOn w:val="BodyText"/>
    <w:rsid w:val="009A1A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A1A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A1A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A1AF1"/>
    <w:rPr>
      <w:sz w:val="32"/>
    </w:rPr>
  </w:style>
  <w:style w:type="paragraph" w:customStyle="1" w:styleId="HeadingProcedure">
    <w:name w:val="Heading Procedure"/>
    <w:basedOn w:val="HeadingBase"/>
    <w:next w:val="Normal"/>
    <w:rsid w:val="009A1AF1"/>
    <w:pPr>
      <w:tabs>
        <w:tab w:val="left" w:pos="0"/>
      </w:tabs>
      <w:spacing w:before="120" w:after="60"/>
    </w:pPr>
    <w:rPr>
      <w:i/>
      <w:color w:val="918585"/>
      <w:sz w:val="22"/>
    </w:rPr>
  </w:style>
  <w:style w:type="paragraph" w:customStyle="1" w:styleId="TableBodyText">
    <w:name w:val="Table Body Text"/>
    <w:basedOn w:val="BodyText"/>
    <w:rsid w:val="009A1AF1"/>
    <w:pPr>
      <w:spacing w:before="60" w:after="60"/>
    </w:pPr>
  </w:style>
  <w:style w:type="paragraph" w:styleId="ListContinue">
    <w:name w:val="List Continue"/>
    <w:basedOn w:val="List"/>
    <w:rsid w:val="009A1AF1"/>
    <w:pPr>
      <w:ind w:firstLine="0"/>
    </w:pPr>
  </w:style>
  <w:style w:type="paragraph" w:customStyle="1" w:styleId="ListNote">
    <w:name w:val="List Note"/>
    <w:basedOn w:val="List"/>
    <w:rsid w:val="009A1AF1"/>
    <w:pPr>
      <w:pBdr>
        <w:top w:val="single" w:sz="6" w:space="2" w:color="918585"/>
        <w:bottom w:val="single" w:sz="6" w:space="2" w:color="918585"/>
      </w:pBdr>
      <w:tabs>
        <w:tab w:val="left" w:pos="1021"/>
      </w:tabs>
      <w:ind w:firstLine="0"/>
    </w:pPr>
  </w:style>
  <w:style w:type="paragraph" w:customStyle="1" w:styleId="Warning">
    <w:name w:val="Warning"/>
    <w:basedOn w:val="BodyText"/>
    <w:rsid w:val="009A1AF1"/>
    <w:pPr>
      <w:shd w:val="clear" w:color="auto" w:fill="D9D9D9"/>
      <w:tabs>
        <w:tab w:val="left" w:pos="992"/>
      </w:tabs>
      <w:ind w:left="119" w:right="119"/>
    </w:pPr>
    <w:rPr>
      <w:sz w:val="20"/>
    </w:rPr>
  </w:style>
  <w:style w:type="paragraph" w:customStyle="1" w:styleId="MarginIcons">
    <w:name w:val="Margin Icons"/>
    <w:basedOn w:val="BodyText"/>
    <w:rsid w:val="009A1A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A1AF1"/>
    <w:rPr>
      <w:rFonts w:ascii="Courier New" w:hAnsi="Courier New"/>
    </w:rPr>
  </w:style>
  <w:style w:type="paragraph" w:customStyle="1" w:styleId="NoteBullet">
    <w:name w:val="Note Bullet"/>
    <w:basedOn w:val="Note"/>
    <w:rsid w:val="009A1AF1"/>
    <w:pPr>
      <w:tabs>
        <w:tab w:val="clear" w:pos="680"/>
      </w:tabs>
      <w:spacing w:before="60" w:after="60"/>
    </w:pPr>
  </w:style>
  <w:style w:type="paragraph" w:customStyle="1" w:styleId="SubHeading2">
    <w:name w:val="SubHeading2"/>
    <w:basedOn w:val="HeadingBase"/>
    <w:rsid w:val="009A1AF1"/>
    <w:pPr>
      <w:spacing w:before="240" w:after="60"/>
    </w:pPr>
    <w:rPr>
      <w:sz w:val="20"/>
    </w:rPr>
  </w:style>
  <w:style w:type="paragraph" w:customStyle="1" w:styleId="SubHeading1">
    <w:name w:val="SubHeading1"/>
    <w:basedOn w:val="HeadingBase"/>
    <w:rsid w:val="009A1AF1"/>
    <w:pPr>
      <w:spacing w:before="240" w:after="60"/>
    </w:pPr>
    <w:rPr>
      <w:color w:val="918585"/>
      <w:sz w:val="22"/>
    </w:rPr>
  </w:style>
  <w:style w:type="paragraph" w:customStyle="1" w:styleId="SideHeading">
    <w:name w:val="Side Heading"/>
    <w:basedOn w:val="HeadingBase"/>
    <w:rsid w:val="009A1A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A1AF1"/>
    <w:pPr>
      <w:numPr>
        <w:numId w:val="12"/>
      </w:numPr>
    </w:pPr>
  </w:style>
  <w:style w:type="paragraph" w:styleId="PlainText">
    <w:name w:val="Plain Text"/>
    <w:basedOn w:val="Normal"/>
    <w:link w:val="PlainTextChar"/>
    <w:rsid w:val="009A1AF1"/>
    <w:rPr>
      <w:sz w:val="20"/>
    </w:rPr>
  </w:style>
  <w:style w:type="character" w:customStyle="1" w:styleId="PlainTextChar">
    <w:name w:val="Plain Text Char"/>
    <w:basedOn w:val="DefaultParagraphFont"/>
    <w:link w:val="PlainText"/>
    <w:rsid w:val="009A1AF1"/>
    <w:rPr>
      <w:rFonts w:ascii="Courier New" w:eastAsia="Times New Roman" w:hAnsi="Courier New" w:cs="Times New Roman"/>
      <w:sz w:val="20"/>
      <w:szCs w:val="20"/>
      <w:lang w:eastAsia="en-US"/>
    </w:rPr>
  </w:style>
  <w:style w:type="character" w:customStyle="1" w:styleId="MenuOption">
    <w:name w:val="Menu Option"/>
    <w:basedOn w:val="DefaultParagraphFont"/>
    <w:rsid w:val="009A1AF1"/>
    <w:rPr>
      <w:b/>
      <w:smallCaps/>
    </w:rPr>
  </w:style>
  <w:style w:type="paragraph" w:customStyle="1" w:styleId="TableListNumber">
    <w:name w:val="Table List Number"/>
    <w:basedOn w:val="ListNumber"/>
    <w:rsid w:val="009A1AF1"/>
    <w:pPr>
      <w:numPr>
        <w:numId w:val="0"/>
      </w:numPr>
    </w:pPr>
  </w:style>
  <w:style w:type="paragraph" w:styleId="TOC4">
    <w:name w:val="toc 4"/>
    <w:basedOn w:val="TOCBase"/>
    <w:next w:val="Normal"/>
    <w:semiHidden/>
    <w:rsid w:val="009A1AF1"/>
    <w:pPr>
      <w:tabs>
        <w:tab w:val="right" w:leader="dot" w:pos="9071"/>
      </w:tabs>
      <w:ind w:left="1701"/>
    </w:pPr>
  </w:style>
  <w:style w:type="paragraph" w:customStyle="1" w:styleId="ListAlpha">
    <w:name w:val="List Alpha"/>
    <w:basedOn w:val="List"/>
    <w:rsid w:val="009A1AF1"/>
    <w:pPr>
      <w:numPr>
        <w:numId w:val="10"/>
      </w:numPr>
    </w:pPr>
  </w:style>
  <w:style w:type="paragraph" w:customStyle="1" w:styleId="ListAlpha2">
    <w:name w:val="List Alpha 2"/>
    <w:basedOn w:val="List2"/>
    <w:rsid w:val="009A1AF1"/>
    <w:pPr>
      <w:numPr>
        <w:numId w:val="9"/>
      </w:numPr>
    </w:pPr>
  </w:style>
  <w:style w:type="paragraph" w:styleId="List2">
    <w:name w:val="List 2"/>
    <w:basedOn w:val="BodyText"/>
    <w:rsid w:val="009A1AF1"/>
    <w:pPr>
      <w:tabs>
        <w:tab w:val="left" w:pos="680"/>
      </w:tabs>
      <w:spacing w:before="60" w:after="60"/>
      <w:ind w:left="680" w:hanging="340"/>
    </w:pPr>
  </w:style>
  <w:style w:type="paragraph" w:styleId="List3">
    <w:name w:val="List 3"/>
    <w:basedOn w:val="BodyText"/>
    <w:rsid w:val="009A1AF1"/>
    <w:pPr>
      <w:tabs>
        <w:tab w:val="left" w:pos="1021"/>
      </w:tabs>
      <w:spacing w:before="60" w:after="60"/>
      <w:ind w:left="1020" w:hanging="340"/>
    </w:pPr>
  </w:style>
  <w:style w:type="paragraph" w:styleId="List4">
    <w:name w:val="List 4"/>
    <w:basedOn w:val="BodyText"/>
    <w:rsid w:val="009A1AF1"/>
    <w:pPr>
      <w:tabs>
        <w:tab w:val="left" w:pos="1361"/>
      </w:tabs>
      <w:spacing w:before="60" w:after="60"/>
      <w:ind w:left="1361" w:hanging="340"/>
    </w:pPr>
  </w:style>
  <w:style w:type="paragraph" w:styleId="List5">
    <w:name w:val="List 5"/>
    <w:basedOn w:val="BodyText"/>
    <w:rsid w:val="009A1AF1"/>
    <w:pPr>
      <w:tabs>
        <w:tab w:val="left" w:pos="1701"/>
      </w:tabs>
      <w:spacing w:before="60" w:after="60"/>
      <w:ind w:left="1701" w:hanging="340"/>
    </w:pPr>
  </w:style>
  <w:style w:type="paragraph" w:styleId="ListBullet4">
    <w:name w:val="List Bullet 4"/>
    <w:basedOn w:val="List4"/>
    <w:rsid w:val="009A1AF1"/>
    <w:pPr>
      <w:numPr>
        <w:numId w:val="4"/>
      </w:numPr>
      <w:tabs>
        <w:tab w:val="clear" w:pos="1361"/>
      </w:tabs>
    </w:pPr>
  </w:style>
  <w:style w:type="paragraph" w:styleId="ListBullet5">
    <w:name w:val="List Bullet 5"/>
    <w:basedOn w:val="List5"/>
    <w:rsid w:val="009A1AF1"/>
    <w:pPr>
      <w:numPr>
        <w:numId w:val="5"/>
      </w:numPr>
    </w:pPr>
  </w:style>
  <w:style w:type="paragraph" w:styleId="ListContinue2">
    <w:name w:val="List Continue 2"/>
    <w:basedOn w:val="List2"/>
    <w:rsid w:val="009A1AF1"/>
    <w:pPr>
      <w:ind w:firstLine="0"/>
    </w:pPr>
  </w:style>
  <w:style w:type="paragraph" w:styleId="ListContinue3">
    <w:name w:val="List Continue 3"/>
    <w:basedOn w:val="List3"/>
    <w:rsid w:val="009A1AF1"/>
    <w:pPr>
      <w:ind w:left="1021" w:firstLine="0"/>
    </w:pPr>
  </w:style>
  <w:style w:type="paragraph" w:styleId="ListContinue4">
    <w:name w:val="List Continue 4"/>
    <w:basedOn w:val="List4"/>
    <w:rsid w:val="009A1AF1"/>
    <w:pPr>
      <w:ind w:firstLine="0"/>
    </w:pPr>
  </w:style>
  <w:style w:type="paragraph" w:styleId="ListContinue5">
    <w:name w:val="List Continue 5"/>
    <w:basedOn w:val="List5"/>
    <w:rsid w:val="009A1AF1"/>
    <w:pPr>
      <w:ind w:firstLine="0"/>
    </w:pPr>
  </w:style>
  <w:style w:type="paragraph" w:styleId="ListNumber3">
    <w:name w:val="List Number 3"/>
    <w:basedOn w:val="List3"/>
    <w:rsid w:val="009A1AF1"/>
    <w:pPr>
      <w:numPr>
        <w:numId w:val="6"/>
      </w:numPr>
    </w:pPr>
  </w:style>
  <w:style w:type="paragraph" w:styleId="ListNumber4">
    <w:name w:val="List Number 4"/>
    <w:basedOn w:val="List4"/>
    <w:rsid w:val="009A1AF1"/>
    <w:pPr>
      <w:numPr>
        <w:numId w:val="7"/>
      </w:numPr>
    </w:pPr>
  </w:style>
  <w:style w:type="paragraph" w:styleId="ListNumber5">
    <w:name w:val="List Number 5"/>
    <w:basedOn w:val="List5"/>
    <w:rsid w:val="009A1AF1"/>
    <w:pPr>
      <w:numPr>
        <w:numId w:val="8"/>
      </w:numPr>
    </w:pPr>
  </w:style>
  <w:style w:type="paragraph" w:styleId="BlockText">
    <w:name w:val="Block Text"/>
    <w:basedOn w:val="Normal"/>
    <w:rsid w:val="009A1AF1"/>
    <w:pPr>
      <w:spacing w:after="120"/>
      <w:ind w:left="1440" w:right="1440"/>
    </w:pPr>
  </w:style>
  <w:style w:type="character" w:customStyle="1" w:styleId="Subscript">
    <w:name w:val="Subscript"/>
    <w:basedOn w:val="DefaultParagraphFont"/>
    <w:rsid w:val="009A1AF1"/>
    <w:rPr>
      <w:sz w:val="16"/>
      <w:vertAlign w:val="subscript"/>
    </w:rPr>
  </w:style>
  <w:style w:type="character" w:customStyle="1" w:styleId="Superscript">
    <w:name w:val="Superscript"/>
    <w:basedOn w:val="DefaultParagraphFont"/>
    <w:rsid w:val="009A1AF1"/>
    <w:rPr>
      <w:sz w:val="16"/>
      <w:vertAlign w:val="superscript"/>
    </w:rPr>
  </w:style>
  <w:style w:type="character" w:customStyle="1" w:styleId="Symbols">
    <w:name w:val="Symbols"/>
    <w:basedOn w:val="DefaultParagraphFont"/>
    <w:rsid w:val="009A1AF1"/>
    <w:rPr>
      <w:rFonts w:ascii="Symbol" w:hAnsi="Symbol"/>
    </w:rPr>
  </w:style>
  <w:style w:type="character" w:customStyle="1" w:styleId="MenuOptions">
    <w:name w:val="Menu Options"/>
    <w:basedOn w:val="DefaultParagraphFont"/>
    <w:rsid w:val="009A1AF1"/>
    <w:rPr>
      <w:rFonts w:ascii="Arial Narrow" w:hAnsi="Arial Narrow"/>
      <w:smallCaps/>
    </w:rPr>
  </w:style>
  <w:style w:type="character" w:customStyle="1" w:styleId="Buttons">
    <w:name w:val="Buttons"/>
    <w:basedOn w:val="DefaultParagraphFont"/>
    <w:rsid w:val="009A1AF1"/>
    <w:rPr>
      <w:b/>
    </w:rPr>
  </w:style>
  <w:style w:type="character" w:customStyle="1" w:styleId="Underlined">
    <w:name w:val="Underlined"/>
    <w:basedOn w:val="DefaultParagraphFont"/>
    <w:rsid w:val="009A1AF1"/>
    <w:rPr>
      <w:u w:val="single"/>
    </w:rPr>
  </w:style>
  <w:style w:type="paragraph" w:customStyle="1" w:styleId="TableBodyTextRight">
    <w:name w:val="Table Body Text Right"/>
    <w:basedOn w:val="TableBodyText"/>
    <w:rsid w:val="009A1AF1"/>
    <w:pPr>
      <w:widowControl w:val="0"/>
      <w:autoSpaceDE w:val="0"/>
      <w:autoSpaceDN w:val="0"/>
      <w:adjustRightInd w:val="0"/>
      <w:jc w:val="right"/>
    </w:pPr>
    <w:rPr>
      <w:rFonts w:cs="Arial"/>
      <w:szCs w:val="18"/>
    </w:rPr>
  </w:style>
  <w:style w:type="paragraph" w:customStyle="1" w:styleId="CopyrightText">
    <w:name w:val="Copyright Text"/>
    <w:basedOn w:val="BodyText"/>
    <w:rsid w:val="009A1AF1"/>
    <w:rPr>
      <w:sz w:val="18"/>
    </w:rPr>
  </w:style>
  <w:style w:type="paragraph" w:customStyle="1" w:styleId="BodySmallRight">
    <w:name w:val="Body Small Right"/>
    <w:basedOn w:val="BodyTextRight"/>
    <w:rsid w:val="009A1AF1"/>
    <w:rPr>
      <w:sz w:val="18"/>
      <w:szCs w:val="18"/>
    </w:rPr>
  </w:style>
  <w:style w:type="paragraph" w:customStyle="1" w:styleId="MarginEdition">
    <w:name w:val="Margin Edition"/>
    <w:basedOn w:val="MarginNote"/>
    <w:rsid w:val="009A1AF1"/>
    <w:pPr>
      <w:spacing w:before="0" w:after="0"/>
    </w:pPr>
    <w:rPr>
      <w:rFonts w:ascii="Times New Roman" w:hAnsi="Times New Roman"/>
      <w:color w:val="999999"/>
    </w:rPr>
  </w:style>
  <w:style w:type="paragraph" w:customStyle="1" w:styleId="Spacer">
    <w:name w:val="Spacer"/>
    <w:basedOn w:val="Normal"/>
    <w:rsid w:val="009A1AF1"/>
    <w:rPr>
      <w:sz w:val="2"/>
      <w:szCs w:val="2"/>
    </w:rPr>
  </w:style>
  <w:style w:type="character" w:customStyle="1" w:styleId="Small">
    <w:name w:val="Small"/>
    <w:basedOn w:val="DefaultParagraphFont"/>
    <w:rsid w:val="009A1AF1"/>
    <w:rPr>
      <w:sz w:val="16"/>
    </w:rPr>
  </w:style>
  <w:style w:type="paragraph" w:customStyle="1" w:styleId="WideTable">
    <w:name w:val="Wide Table"/>
    <w:basedOn w:val="Normal"/>
    <w:rsid w:val="009A1AF1"/>
    <w:pPr>
      <w:ind w:left="-1418"/>
    </w:pPr>
    <w:rPr>
      <w:sz w:val="2"/>
      <w:szCs w:val="2"/>
    </w:rPr>
  </w:style>
  <w:style w:type="character" w:styleId="PageNumber">
    <w:name w:val="page number"/>
    <w:basedOn w:val="DefaultParagraphFont"/>
    <w:rsid w:val="009A1AF1"/>
  </w:style>
  <w:style w:type="paragraph" w:styleId="Quote">
    <w:name w:val="Quote"/>
    <w:basedOn w:val="Heading1"/>
    <w:link w:val="QuoteChar"/>
    <w:qFormat/>
    <w:rsid w:val="009A1AF1"/>
    <w:rPr>
      <w:b w:val="0"/>
      <w:sz w:val="72"/>
      <w:szCs w:val="72"/>
      <w:lang w:val="en-NZ"/>
    </w:rPr>
  </w:style>
  <w:style w:type="character" w:customStyle="1" w:styleId="QuoteChar">
    <w:name w:val="Quote Char"/>
    <w:basedOn w:val="DefaultParagraphFont"/>
    <w:link w:val="Quote"/>
    <w:rsid w:val="009A1A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A1AF1"/>
    <w:pPr>
      <w:pageBreakBefore/>
    </w:pPr>
  </w:style>
  <w:style w:type="paragraph" w:customStyle="1" w:styleId="Border">
    <w:name w:val="Border"/>
    <w:basedOn w:val="Normal"/>
    <w:qFormat/>
    <w:rsid w:val="009A1A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A1AF1"/>
    <w:rPr>
      <w:b/>
      <w:bCs/>
      <w:i/>
      <w:iCs/>
      <w:color w:val="auto"/>
    </w:rPr>
  </w:style>
  <w:style w:type="paragraph" w:styleId="IntenseQuote">
    <w:name w:val="Intense Quote"/>
    <w:basedOn w:val="Normal"/>
    <w:next w:val="Normal"/>
    <w:link w:val="IntenseQuoteChar"/>
    <w:uiPriority w:val="30"/>
    <w:qFormat/>
    <w:rsid w:val="009A1A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A1A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A1AF1"/>
    <w:rPr>
      <w:smallCaps/>
      <w:color w:val="auto"/>
      <w:u w:val="single"/>
    </w:rPr>
  </w:style>
  <w:style w:type="character" w:styleId="IntenseReference">
    <w:name w:val="Intense Reference"/>
    <w:basedOn w:val="DefaultParagraphFont"/>
    <w:uiPriority w:val="32"/>
    <w:qFormat/>
    <w:rsid w:val="009A1AF1"/>
    <w:rPr>
      <w:b/>
      <w:bCs/>
      <w:smallCaps/>
      <w:color w:val="auto"/>
      <w:spacing w:val="5"/>
      <w:u w:val="single"/>
    </w:rPr>
  </w:style>
  <w:style w:type="paragraph" w:customStyle="1" w:styleId="2ColumnHeading">
    <w:name w:val="2Column Heading"/>
    <w:basedOn w:val="BodyText"/>
    <w:qFormat/>
    <w:rsid w:val="009A1AF1"/>
    <w:pPr>
      <w:spacing w:after="60"/>
      <w:ind w:left="-2268"/>
    </w:pPr>
    <w:rPr>
      <w:b/>
    </w:rPr>
  </w:style>
  <w:style w:type="paragraph" w:customStyle="1" w:styleId="Heading1TOC">
    <w:name w:val="Heading1 TOC"/>
    <w:basedOn w:val="Normal"/>
    <w:qFormat/>
    <w:rsid w:val="009A1AF1"/>
    <w:pPr>
      <w:spacing w:before="240" w:after="120"/>
    </w:pPr>
    <w:rPr>
      <w:rFonts w:ascii="Times New Roman" w:hAnsi="Times New Roman"/>
      <w:b/>
      <w:sz w:val="32"/>
    </w:rPr>
  </w:style>
  <w:style w:type="paragraph" w:customStyle="1" w:styleId="Heading2TOC">
    <w:name w:val="Heading2 TOC"/>
    <w:basedOn w:val="Normal"/>
    <w:qFormat/>
    <w:rsid w:val="009A1AF1"/>
    <w:pPr>
      <w:spacing w:before="240" w:after="60"/>
    </w:pPr>
    <w:rPr>
      <w:rFonts w:ascii="Times New Roman" w:hAnsi="Times New Roman"/>
      <w:b/>
      <w:sz w:val="28"/>
    </w:rPr>
  </w:style>
  <w:style w:type="character" w:customStyle="1" w:styleId="Underline">
    <w:name w:val="Underline"/>
    <w:basedOn w:val="DefaultParagraphFont"/>
    <w:qFormat/>
    <w:rsid w:val="009A1AF1"/>
    <w:rPr>
      <w:u w:val="single"/>
    </w:rPr>
  </w:style>
  <w:style w:type="character" w:customStyle="1" w:styleId="BoldandItalics">
    <w:name w:val="Bold and Italics"/>
    <w:qFormat/>
    <w:rsid w:val="009A1AF1"/>
    <w:rPr>
      <w:b/>
      <w:i/>
      <w:u w:val="none"/>
    </w:rPr>
  </w:style>
  <w:style w:type="paragraph" w:styleId="BalloonText">
    <w:name w:val="Balloon Text"/>
    <w:basedOn w:val="Normal"/>
    <w:link w:val="BalloonTextChar"/>
    <w:rsid w:val="009A1AF1"/>
    <w:rPr>
      <w:rFonts w:ascii="Tahoma" w:hAnsi="Tahoma" w:cs="Tahoma"/>
      <w:sz w:val="16"/>
      <w:szCs w:val="16"/>
    </w:rPr>
  </w:style>
  <w:style w:type="character" w:customStyle="1" w:styleId="BalloonTextChar">
    <w:name w:val="Balloon Text Char"/>
    <w:basedOn w:val="DefaultParagraphFont"/>
    <w:link w:val="BalloonText"/>
    <w:rsid w:val="009A1A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A1A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A1A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A1AF1"/>
    <w:rPr>
      <w:b/>
      <w:color w:val="660033"/>
      <w:spacing w:val="0"/>
    </w:rPr>
  </w:style>
  <w:style w:type="paragraph" w:customStyle="1" w:styleId="Nameditemlist">
    <w:name w:val="Named item list"/>
    <w:basedOn w:val="BodyText"/>
    <w:qFormat/>
    <w:rsid w:val="009A1AF1"/>
    <w:pPr>
      <w:tabs>
        <w:tab w:val="left" w:pos="2835"/>
      </w:tabs>
      <w:ind w:left="2835" w:hanging="2835"/>
    </w:pPr>
  </w:style>
  <w:style w:type="paragraph" w:customStyle="1" w:styleId="BodyTextnopadding">
    <w:name w:val="Body Text no padding"/>
    <w:basedOn w:val="BodyText"/>
    <w:qFormat/>
    <w:rsid w:val="009A1AF1"/>
    <w:pPr>
      <w:spacing w:before="0" w:after="0"/>
    </w:pPr>
  </w:style>
  <w:style w:type="paragraph" w:customStyle="1" w:styleId="BodyTextBold">
    <w:name w:val="Body Text Bold"/>
    <w:basedOn w:val="BodyText"/>
    <w:qFormat/>
    <w:rsid w:val="009A1AF1"/>
    <w:rPr>
      <w:b/>
    </w:rPr>
  </w:style>
  <w:style w:type="character" w:styleId="Hyperlink">
    <w:name w:val="Hyperlink"/>
    <w:basedOn w:val="DefaultParagraphFont"/>
    <w:uiPriority w:val="99"/>
    <w:unhideWhenUsed/>
    <w:rsid w:val="00D504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1649</Words>
  <Characters>10113</Characters>
  <Application>Microsoft Office Word</Application>
  <DocSecurity>0</DocSecurity>
  <Lines>316</Lines>
  <Paragraphs>255</Paragraphs>
  <ScaleCrop>false</ScaleCrop>
  <Company>Author-it Software Corporation Ltd.</Company>
  <LinksUpToDate>false</LinksUpToDate>
  <CharactersWithSpaces>11507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SHBBCOS002 Apply knowledge of colour theory and pigmentology to cosmetic tattooing</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2025-03-01T20:23:00Z</dcterms:created>
  <dcterms:modified xsi:type="dcterms:W3CDTF">2025-03-01T20:23:00Z</dcterms:modified>
</cp:coreProperties>
</file>