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283" w:rsidP="003B32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SHBBCOS002 Apply knowledge of colour theory and pigmentology to cosmetic tattooing</w:t>
      </w:r>
      <w:r>
        <w:fldChar w:fldCharType="end"/>
      </w:r>
    </w:p>
    <w:p w:rsidR="003B3283" w:rsidP="003B3283">
      <w:pPr>
        <w:pStyle w:val="Version"/>
        <w:sectPr w:rsidSect="00A62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02E" w:rsidP="00A6202E">
      <w:pPr>
        <w:pStyle w:val="SuperHeading"/>
      </w:pPr>
      <w:r w:rsidRPr="00A6202E">
        <w:t>Assessment Requirements for SHBBCOS002 Apply knowledge of colour theory and pigmentology to cosmetic tattooing</w:t>
      </w:r>
    </w:p>
    <w:p w:rsidR="00000000" w:rsidRPr="00A6202E" w:rsidP="00A6202E">
      <w:pPr>
        <w:pStyle w:val="Heading1"/>
      </w:pPr>
      <w:bookmarkStart w:id="1" w:name="O_1203289"/>
      <w:bookmarkEnd w:id="1"/>
      <w:r w:rsidRPr="00A6202E">
        <w:t>Modification History</w:t>
      </w:r>
    </w:p>
    <w:p w:rsidR="00000000" w:rsidRPr="00A6202E" w:rsidP="003B3283">
      <w:pPr>
        <w:pStyle w:val="BodyText"/>
      </w:pPr>
      <w:r w:rsidRPr="00A6202E">
        <w:t>No equivalent unit.</w:t>
      </w:r>
    </w:p>
    <w:p w:rsidR="00000000" w:rsidRPr="00A6202E" w:rsidP="00A6202E">
      <w:pPr>
        <w:pStyle w:val="Heading1"/>
      </w:pPr>
      <w:bookmarkStart w:id="2" w:name="O_1203290"/>
      <w:bookmarkEnd w:id="2"/>
      <w:r w:rsidRPr="00A6202E">
        <w:t>Performance Evidence</w:t>
      </w:r>
    </w:p>
    <w:p w:rsidR="00000000" w:rsidRPr="00A6202E" w:rsidP="003B3283">
      <w:pPr>
        <w:pStyle w:val="BodyText"/>
      </w:pPr>
      <w:r w:rsidRPr="00A6202E">
        <w:t>Evidence of the ability to complete tasks outlined in elements and performance criteria of this unit in the context of the job role, and:</w:t>
      </w:r>
    </w:p>
    <w:p w:rsidR="00000000" w:rsidRPr="00A6202E" w:rsidP="00A6202E">
      <w:pPr>
        <w:pStyle w:val="ListBullet"/>
      </w:pPr>
      <w:r w:rsidRPr="00A6202E">
        <w:t>identify the pigment base colour of at least 12 different pigment colours</w:t>
      </w:r>
    </w:p>
    <w:p w:rsidR="00000000" w:rsidRPr="00A6202E" w:rsidP="00A6202E">
      <w:pPr>
        <w:pStyle w:val="ListBullet"/>
      </w:pPr>
      <w:r w:rsidRPr="00A6202E">
        <w:t>mix appropriate pigment colours to create a</w:t>
      </w:r>
      <w:r w:rsidRPr="00A6202E">
        <w:t xml:space="preserve"> brown colour at least six times</w:t>
      </w:r>
    </w:p>
    <w:p w:rsidR="00000000" w:rsidRPr="00A6202E" w:rsidP="00A6202E">
      <w:pPr>
        <w:pStyle w:val="ListBullet"/>
      </w:pPr>
      <w:r w:rsidRPr="00A6202E">
        <w:t>colour correct four of each of the following fugitive colours:</w:t>
      </w:r>
    </w:p>
    <w:p w:rsidR="00000000" w:rsidRPr="00A6202E" w:rsidP="00A6202E">
      <w:pPr>
        <w:pStyle w:val="ListBullet2"/>
      </w:pPr>
      <w:r w:rsidRPr="00A6202E">
        <w:t>violet</w:t>
      </w:r>
    </w:p>
    <w:p w:rsidR="00000000" w:rsidRPr="00A6202E" w:rsidP="00A6202E">
      <w:pPr>
        <w:pStyle w:val="ListBullet2"/>
      </w:pPr>
      <w:r w:rsidRPr="00A6202E">
        <w:t>orange, red, salmon</w:t>
      </w:r>
    </w:p>
    <w:p w:rsidR="00000000" w:rsidRPr="00A6202E" w:rsidP="00A6202E">
      <w:pPr>
        <w:pStyle w:val="ListBullet2"/>
      </w:pPr>
      <w:r w:rsidRPr="00A6202E">
        <w:t>grey, blue, green</w:t>
      </w:r>
    </w:p>
    <w:p w:rsidR="00000000" w:rsidRPr="00A6202E" w:rsidP="00A6202E">
      <w:pPr>
        <w:pStyle w:val="ListBullet"/>
      </w:pPr>
      <w:r w:rsidRPr="00A6202E">
        <w:t>review and assess colour corrected area four to eight weeks following the initial correction, according to indivi</w:t>
      </w:r>
      <w:r w:rsidRPr="00A6202E">
        <w:t>dual treatment requirements, and confirm future treatment plan</w:t>
      </w:r>
    </w:p>
    <w:p w:rsidR="00000000" w:rsidRPr="00A6202E" w:rsidP="00A6202E">
      <w:pPr>
        <w:pStyle w:val="ListBullet"/>
      </w:pPr>
      <w:r w:rsidRPr="00A6202E">
        <w:t>analyse and determine individual skin undertone and Fitzpatrick skin types for:</w:t>
      </w:r>
    </w:p>
    <w:p w:rsidR="00000000" w:rsidRPr="00A6202E" w:rsidP="00A6202E">
      <w:pPr>
        <w:pStyle w:val="ListBullet2"/>
      </w:pPr>
      <w:r w:rsidRPr="00A6202E">
        <w:t xml:space="preserve">five physical clients, and </w:t>
      </w:r>
    </w:p>
    <w:p w:rsidR="00000000" w:rsidRPr="00A6202E" w:rsidP="00A6202E">
      <w:pPr>
        <w:pStyle w:val="ListBullet2"/>
      </w:pPr>
      <w:r w:rsidRPr="00A6202E">
        <w:t>15 simulated client scenarios</w:t>
      </w:r>
    </w:p>
    <w:p w:rsidR="00000000" w:rsidRPr="00A6202E" w:rsidP="00A6202E">
      <w:pPr>
        <w:pStyle w:val="ListBullet"/>
      </w:pPr>
      <w:r w:rsidRPr="00A6202E">
        <w:t>for each of the above, select the most appropriate pigment base for use on each person.</w:t>
      </w:r>
    </w:p>
    <w:p w:rsidR="00000000" w:rsidRPr="00A6202E" w:rsidP="00A6202E">
      <w:pPr>
        <w:pStyle w:val="AllowPageBreak"/>
      </w:pPr>
    </w:p>
    <w:p w:rsidR="00000000" w:rsidRPr="00A6202E" w:rsidP="00A6202E">
      <w:pPr>
        <w:pStyle w:val="Heading1"/>
      </w:pPr>
      <w:bookmarkStart w:id="3" w:name="O_1203291"/>
      <w:bookmarkEnd w:id="3"/>
      <w:r w:rsidRPr="00A6202E">
        <w:t>Knowledge Evidence</w:t>
      </w:r>
    </w:p>
    <w:p w:rsidR="00000000" w:rsidRPr="00A6202E" w:rsidP="003B3283">
      <w:pPr>
        <w:pStyle w:val="BodyText"/>
      </w:pPr>
      <w:r w:rsidRPr="00A6202E">
        <w:t>Demonstrated knowledge required to complete the tasks outlined in elements and performance criteria of this unit:</w:t>
      </w:r>
    </w:p>
    <w:p w:rsidR="00000000" w:rsidRPr="00A6202E" w:rsidP="00A6202E">
      <w:pPr>
        <w:pStyle w:val="ListBullet"/>
      </w:pPr>
      <w:r w:rsidRPr="00A6202E">
        <w:t>Fitzpatrick ski</w:t>
      </w:r>
      <w:r w:rsidRPr="00A6202E">
        <w:t>n type classification:</w:t>
      </w:r>
    </w:p>
    <w:p w:rsidR="00000000" w:rsidRPr="00A6202E" w:rsidP="00A6202E">
      <w:pPr>
        <w:pStyle w:val="ListBullet2"/>
      </w:pPr>
      <w:r w:rsidRPr="00A6202E">
        <w:t>characteristics of types I - VI</w:t>
      </w:r>
    </w:p>
    <w:p w:rsidR="00000000" w:rsidRPr="00A6202E" w:rsidP="00A6202E">
      <w:pPr>
        <w:pStyle w:val="ListBullet2"/>
      </w:pPr>
      <w:r w:rsidRPr="00A6202E">
        <w:t>special considerations for different Fitzpatrick skin types</w:t>
      </w:r>
    </w:p>
    <w:p w:rsidR="00000000" w:rsidRPr="00A6202E" w:rsidP="00A6202E">
      <w:pPr>
        <w:pStyle w:val="ListBullet2"/>
      </w:pPr>
      <w:r w:rsidRPr="00A6202E">
        <w:t>what differentiates Fitzpatrick skin type I from Fitzpatrick skin type II</w:t>
      </w:r>
    </w:p>
    <w:p w:rsidR="00000000" w:rsidRPr="00A6202E" w:rsidP="00A6202E">
      <w:pPr>
        <w:pStyle w:val="ListBullet"/>
      </w:pPr>
      <w:r w:rsidRPr="00A6202E">
        <w:t>skin undertones as it relates to implanted tattoo pigment:</w:t>
      </w:r>
    </w:p>
    <w:p w:rsidR="00000000" w:rsidRPr="00A6202E" w:rsidP="00A6202E">
      <w:pPr>
        <w:pStyle w:val="ListBullet2"/>
      </w:pPr>
      <w:r w:rsidRPr="00A6202E">
        <w:t>olive</w:t>
      </w:r>
    </w:p>
    <w:p w:rsidR="00000000" w:rsidRPr="00A6202E" w:rsidP="00A6202E">
      <w:pPr>
        <w:pStyle w:val="ListBullet2"/>
      </w:pPr>
      <w:r w:rsidRPr="00A6202E">
        <w:t>translucent</w:t>
      </w:r>
    </w:p>
    <w:p w:rsidR="00000000" w:rsidRPr="00A6202E" w:rsidP="00A6202E">
      <w:pPr>
        <w:pStyle w:val="ListBullet2"/>
      </w:pPr>
      <w:r w:rsidRPr="00A6202E">
        <w:t>ruddy</w:t>
      </w:r>
    </w:p>
    <w:p w:rsidR="00000000" w:rsidRPr="00A6202E" w:rsidP="00A6202E">
      <w:pPr>
        <w:pStyle w:val="ListBullet2"/>
      </w:pPr>
      <w:r w:rsidRPr="00A6202E">
        <w:t>sallow</w:t>
      </w:r>
    </w:p>
    <w:p w:rsidR="00000000" w:rsidRPr="00A6202E" w:rsidP="00A6202E">
      <w:pPr>
        <w:pStyle w:val="ListBullet2"/>
      </w:pPr>
      <w:r w:rsidRPr="00A6202E">
        <w:t>peaches and cream</w:t>
      </w:r>
    </w:p>
    <w:p w:rsidR="00000000" w:rsidRPr="00A6202E" w:rsidP="00A6202E">
      <w:pPr>
        <w:pStyle w:val="ListBullet2"/>
      </w:pPr>
      <w:r w:rsidRPr="00A6202E">
        <w:t>brown and extreme</w:t>
      </w:r>
    </w:p>
    <w:p w:rsidR="00000000" w:rsidRPr="00A6202E" w:rsidP="00A6202E">
      <w:pPr>
        <w:pStyle w:val="ListBullet"/>
      </w:pPr>
      <w:r w:rsidRPr="00A6202E">
        <w:t>the colour wheel:</w:t>
      </w:r>
    </w:p>
    <w:p w:rsidR="00000000" w:rsidRPr="00A6202E" w:rsidP="00A6202E">
      <w:pPr>
        <w:pStyle w:val="ListBullet2"/>
      </w:pPr>
      <w:r w:rsidRPr="00A6202E">
        <w:t>primary, secondary, intermediate and tertiary colours</w:t>
      </w:r>
    </w:p>
    <w:p w:rsidR="00000000" w:rsidRPr="00A6202E" w:rsidP="00A6202E">
      <w:pPr>
        <w:pStyle w:val="ListBullet2"/>
      </w:pPr>
      <w:r w:rsidRPr="00A6202E">
        <w:t>how to mix colours to create:</w:t>
      </w:r>
    </w:p>
    <w:p w:rsidR="00000000" w:rsidRPr="00A6202E" w:rsidP="00A6202E">
      <w:pPr>
        <w:pStyle w:val="ListBullet3"/>
      </w:pPr>
      <w:r w:rsidRPr="00A6202E">
        <w:t>secondary colours</w:t>
      </w:r>
    </w:p>
    <w:p w:rsidR="00000000" w:rsidRPr="00A6202E" w:rsidP="00A6202E">
      <w:pPr>
        <w:pStyle w:val="ListBullet3"/>
      </w:pPr>
      <w:r w:rsidRPr="00A6202E">
        <w:t>intermediate colours</w:t>
      </w:r>
    </w:p>
    <w:p w:rsidR="00000000" w:rsidRPr="00A6202E" w:rsidP="00A6202E">
      <w:pPr>
        <w:pStyle w:val="ListBullet3"/>
      </w:pPr>
      <w:r w:rsidRPr="00A6202E">
        <w:t>tertiary colours</w:t>
      </w:r>
    </w:p>
    <w:p w:rsidR="00000000" w:rsidRPr="00A6202E" w:rsidP="00A6202E">
      <w:pPr>
        <w:pStyle w:val="ListBullet3"/>
      </w:pPr>
      <w:r w:rsidRPr="00A6202E">
        <w:t>neutralising colours</w:t>
      </w:r>
    </w:p>
    <w:p w:rsidR="00000000" w:rsidRPr="00A6202E" w:rsidP="00A6202E">
      <w:pPr>
        <w:pStyle w:val="ListBullet2"/>
      </w:pPr>
      <w:r w:rsidRPr="00A6202E">
        <w:t>how to identify:</w:t>
      </w:r>
    </w:p>
    <w:p w:rsidR="00000000" w:rsidRPr="00A6202E" w:rsidP="00A6202E">
      <w:pPr>
        <w:pStyle w:val="ListBullet3"/>
      </w:pPr>
      <w:r w:rsidRPr="00A6202E">
        <w:t xml:space="preserve">hue </w:t>
      </w:r>
    </w:p>
    <w:p w:rsidR="00000000" w:rsidRPr="00A6202E" w:rsidP="00A6202E">
      <w:pPr>
        <w:pStyle w:val="ListBullet3"/>
      </w:pPr>
      <w:r w:rsidRPr="00A6202E">
        <w:t>tone</w:t>
      </w:r>
    </w:p>
    <w:p w:rsidR="00000000" w:rsidRPr="00A6202E" w:rsidP="00A6202E">
      <w:pPr>
        <w:pStyle w:val="ListBullet3"/>
      </w:pPr>
      <w:r w:rsidRPr="00A6202E">
        <w:t>value</w:t>
      </w:r>
    </w:p>
    <w:p w:rsidR="00000000" w:rsidRPr="00A6202E" w:rsidP="00A6202E">
      <w:pPr>
        <w:pStyle w:val="ListBullet3"/>
      </w:pPr>
      <w:r w:rsidRPr="00A6202E">
        <w:t>saturation</w:t>
      </w:r>
    </w:p>
    <w:p w:rsidR="00000000" w:rsidRPr="00A6202E" w:rsidP="00A6202E">
      <w:pPr>
        <w:pStyle w:val="ListBullet3"/>
      </w:pPr>
      <w:r w:rsidRPr="00A6202E">
        <w:t>temperature of colours</w:t>
      </w:r>
    </w:p>
    <w:p w:rsidR="00000000" w:rsidRPr="00A6202E" w:rsidP="00A6202E">
      <w:pPr>
        <w:pStyle w:val="ListBullet"/>
      </w:pPr>
      <w:r w:rsidRPr="00A6202E">
        <w:t>colours in pigments:</w:t>
      </w:r>
    </w:p>
    <w:p w:rsidR="00000000" w:rsidRPr="00A6202E" w:rsidP="00A6202E">
      <w:pPr>
        <w:pStyle w:val="ListBullet2"/>
      </w:pPr>
      <w:r w:rsidRPr="00A6202E">
        <w:t>colour codes</w:t>
      </w:r>
    </w:p>
    <w:p w:rsidR="00000000" w:rsidRPr="00A6202E" w:rsidP="00A6202E">
      <w:pPr>
        <w:pStyle w:val="ListBullet2"/>
      </w:pPr>
      <w:r w:rsidRPr="00A6202E">
        <w:t>dyes</w:t>
      </w:r>
    </w:p>
    <w:p w:rsidR="00000000" w:rsidRPr="00A6202E" w:rsidP="00A6202E">
      <w:pPr>
        <w:pStyle w:val="ListBullet2"/>
      </w:pPr>
      <w:r w:rsidRPr="00A6202E">
        <w:t>interaction of colours</w:t>
      </w:r>
    </w:p>
    <w:p w:rsidR="00000000" w:rsidRPr="00A6202E" w:rsidP="00A6202E">
      <w:pPr>
        <w:pStyle w:val="ListBullet2"/>
      </w:pPr>
      <w:r w:rsidRPr="00A6202E">
        <w:t>lakes</w:t>
      </w:r>
    </w:p>
    <w:p w:rsidR="00000000" w:rsidRPr="00A6202E" w:rsidP="00A6202E">
      <w:pPr>
        <w:pStyle w:val="ListBullet2"/>
      </w:pPr>
      <w:r w:rsidRPr="00A6202E">
        <w:t>pigments</w:t>
      </w:r>
    </w:p>
    <w:p w:rsidR="00000000" w:rsidRPr="00A6202E" w:rsidP="00A6202E">
      <w:pPr>
        <w:pStyle w:val="ListBullet"/>
      </w:pPr>
      <w:r w:rsidRPr="00A6202E">
        <w:t>ingredients and characteristics of tattooing pigments:</w:t>
      </w:r>
    </w:p>
    <w:p w:rsidR="00000000" w:rsidRPr="00A6202E" w:rsidP="00A6202E">
      <w:pPr>
        <w:pStyle w:val="ListBullet2"/>
      </w:pPr>
      <w:r w:rsidRPr="00A6202E">
        <w:t>key ingredients</w:t>
      </w:r>
    </w:p>
    <w:p w:rsidR="00000000" w:rsidRPr="00A6202E" w:rsidP="00A6202E">
      <w:pPr>
        <w:pStyle w:val="ListBullet2"/>
      </w:pPr>
      <w:r w:rsidRPr="00A6202E">
        <w:t xml:space="preserve">light fastness </w:t>
      </w:r>
    </w:p>
    <w:p w:rsidR="00000000" w:rsidRPr="00A6202E" w:rsidP="00A6202E">
      <w:pPr>
        <w:pStyle w:val="ListBullet2"/>
      </w:pPr>
      <w:r w:rsidRPr="00A6202E">
        <w:t>molecules</w:t>
      </w:r>
    </w:p>
    <w:p w:rsidR="00000000" w:rsidRPr="00A6202E" w:rsidP="00A6202E">
      <w:pPr>
        <w:pStyle w:val="ListBullet2"/>
      </w:pPr>
      <w:r w:rsidRPr="00A6202E">
        <w:t>substrates</w:t>
      </w:r>
    </w:p>
    <w:p w:rsidR="00000000" w:rsidRPr="00A6202E" w:rsidP="00A6202E">
      <w:pPr>
        <w:pStyle w:val="ListBullet2"/>
      </w:pPr>
      <w:r w:rsidRPr="00A6202E">
        <w:t>effects on the skin</w:t>
      </w:r>
    </w:p>
    <w:p w:rsidR="00000000" w:rsidRPr="00A6202E" w:rsidP="00A6202E">
      <w:pPr>
        <w:pStyle w:val="ListBullet"/>
      </w:pPr>
      <w:r w:rsidRPr="00A6202E">
        <w:t>the difference between a toner pigment and a lake pigment</w:t>
      </w:r>
    </w:p>
    <w:p w:rsidR="00000000" w:rsidRPr="00A6202E" w:rsidP="00A6202E">
      <w:pPr>
        <w:pStyle w:val="ListBullet"/>
      </w:pPr>
      <w:r w:rsidRPr="00A6202E">
        <w:t>the pigment characteristics, chemical composition, particle size, manufacturing processes for:</w:t>
      </w:r>
    </w:p>
    <w:p w:rsidR="00000000" w:rsidRPr="00A6202E" w:rsidP="00A6202E">
      <w:pPr>
        <w:pStyle w:val="ListBullet2"/>
      </w:pPr>
      <w:r w:rsidRPr="00A6202E">
        <w:t>inorganic</w:t>
      </w:r>
    </w:p>
    <w:p w:rsidR="00000000" w:rsidRPr="00A6202E" w:rsidP="00A6202E">
      <w:pPr>
        <w:pStyle w:val="ListBullet2"/>
      </w:pPr>
      <w:r w:rsidRPr="00A6202E">
        <w:t>insoluble pigments</w:t>
      </w:r>
    </w:p>
    <w:p w:rsidR="00000000" w:rsidRPr="00A6202E" w:rsidP="00A6202E">
      <w:pPr>
        <w:pStyle w:val="ListBullet2"/>
      </w:pPr>
      <w:r w:rsidRPr="00A6202E">
        <w:t>iron oxides</w:t>
      </w:r>
    </w:p>
    <w:p w:rsidR="00000000" w:rsidRPr="00A6202E" w:rsidP="00A6202E">
      <w:pPr>
        <w:pStyle w:val="ListBullet2"/>
      </w:pPr>
      <w:r w:rsidRPr="00A6202E">
        <w:t>titanium dioxide</w:t>
      </w:r>
    </w:p>
    <w:p w:rsidR="00000000" w:rsidRPr="00A6202E" w:rsidP="00A6202E">
      <w:pPr>
        <w:pStyle w:val="ListBullet2"/>
      </w:pPr>
      <w:r w:rsidRPr="00A6202E">
        <w:t>ultramarines Manganese Violet</w:t>
      </w:r>
    </w:p>
    <w:p w:rsidR="00000000" w:rsidRPr="00A6202E" w:rsidP="00A6202E">
      <w:pPr>
        <w:pStyle w:val="ListBullet"/>
      </w:pPr>
      <w:r w:rsidRPr="00A6202E">
        <w:t>organic insoluble carbon black and the different manufacturing processes for:</w:t>
      </w:r>
    </w:p>
    <w:p w:rsidR="00000000" w:rsidRPr="00A6202E" w:rsidP="00A6202E">
      <w:pPr>
        <w:pStyle w:val="ListBullet2"/>
      </w:pPr>
      <w:r w:rsidRPr="00A6202E">
        <w:t>furnace black</w:t>
      </w:r>
    </w:p>
    <w:p w:rsidR="00000000" w:rsidRPr="00A6202E" w:rsidP="00A6202E">
      <w:pPr>
        <w:pStyle w:val="ListBullet2"/>
      </w:pPr>
      <w:r w:rsidRPr="00A6202E">
        <w:t>lamp black</w:t>
      </w:r>
    </w:p>
    <w:p w:rsidR="00000000" w:rsidRPr="00A6202E" w:rsidP="00A6202E">
      <w:pPr>
        <w:pStyle w:val="ListBullet2"/>
      </w:pPr>
      <w:r w:rsidRPr="00A6202E">
        <w:t>thermal black</w:t>
      </w:r>
    </w:p>
    <w:p w:rsidR="00000000" w:rsidRPr="00A6202E" w:rsidP="00A6202E">
      <w:pPr>
        <w:pStyle w:val="ListBullet2"/>
      </w:pPr>
      <w:r w:rsidRPr="00A6202E">
        <w:t>bone black</w:t>
      </w:r>
    </w:p>
    <w:p w:rsidR="00000000" w:rsidRPr="00A6202E" w:rsidP="00A6202E">
      <w:pPr>
        <w:pStyle w:val="ListBullet"/>
      </w:pPr>
      <w:r w:rsidRPr="00A6202E">
        <w:t>how to identify:</w:t>
      </w:r>
    </w:p>
    <w:p w:rsidR="00000000" w:rsidRPr="00A6202E" w:rsidP="00A6202E">
      <w:pPr>
        <w:pStyle w:val="ListBullet2"/>
      </w:pPr>
      <w:r w:rsidRPr="00A6202E">
        <w:t>which carbon is being used in cosmetic tattooing pigments</w:t>
      </w:r>
    </w:p>
    <w:p w:rsidR="00000000" w:rsidRPr="00A6202E" w:rsidP="00A6202E">
      <w:pPr>
        <w:pStyle w:val="ListBullet2"/>
      </w:pPr>
      <w:r w:rsidRPr="00A6202E">
        <w:t>the FDA colour inde</w:t>
      </w:r>
      <w:r w:rsidRPr="00A6202E">
        <w:t>x numbers for cosmetic tattooing pigments</w:t>
      </w:r>
    </w:p>
    <w:p w:rsidR="00000000" w:rsidRPr="00A6202E" w:rsidP="00A6202E">
      <w:pPr>
        <w:pStyle w:val="ListBullet"/>
      </w:pPr>
      <w:r w:rsidRPr="00A6202E">
        <w:t>cosmetic tattoo pigment colours in the International Nomenclature Cosmetic Ingredients (INCI)</w:t>
      </w:r>
    </w:p>
    <w:p w:rsidR="00000000" w:rsidRPr="00A6202E" w:rsidP="00A6202E">
      <w:pPr>
        <w:pStyle w:val="ListBullet"/>
      </w:pPr>
      <w:r w:rsidRPr="00A6202E">
        <w:t xml:space="preserve">colourants approved for use in food, drugs and cosmetics </w:t>
      </w:r>
    </w:p>
    <w:p w:rsidR="00000000" w:rsidRPr="00A6202E" w:rsidP="00A6202E">
      <w:pPr>
        <w:pStyle w:val="ListBullet"/>
      </w:pPr>
      <w:r w:rsidRPr="00A6202E">
        <w:t>colourants in cosmetic tattoo pigments and colour code number</w:t>
      </w:r>
      <w:r w:rsidRPr="00A6202E">
        <w:t>s:</w:t>
      </w:r>
    </w:p>
    <w:p w:rsidR="00000000" w:rsidRPr="00A6202E" w:rsidP="00A6202E">
      <w:pPr>
        <w:pStyle w:val="ListBullet2"/>
      </w:pPr>
      <w:r w:rsidRPr="00A6202E">
        <w:t>organic and inorganic pigments</w:t>
      </w:r>
    </w:p>
    <w:p w:rsidR="00000000" w:rsidRPr="00A6202E" w:rsidP="00A6202E">
      <w:pPr>
        <w:pStyle w:val="ListBullet2"/>
      </w:pPr>
      <w:r w:rsidRPr="00A6202E">
        <w:t>cosmetic pigment bottle ingredients, the additives used and their purpose</w:t>
      </w:r>
    </w:p>
    <w:p w:rsidR="00000000" w:rsidRPr="00A6202E" w:rsidP="00A6202E">
      <w:pPr>
        <w:pStyle w:val="ListBullet2"/>
      </w:pPr>
      <w:r w:rsidRPr="00A6202E">
        <w:t>difference between a pigment and a dye</w:t>
      </w:r>
    </w:p>
    <w:p w:rsidR="00000000" w:rsidRPr="00A6202E" w:rsidP="00A6202E">
      <w:pPr>
        <w:pStyle w:val="ListBullet2"/>
      </w:pPr>
      <w:r w:rsidRPr="00A6202E">
        <w:t>difference between cosmetic tattooing pigment and traditional tattoo ink</w:t>
      </w:r>
    </w:p>
    <w:p w:rsidR="00000000" w:rsidRPr="00A6202E" w:rsidP="00A6202E">
      <w:pPr>
        <w:pStyle w:val="ListBullet"/>
      </w:pPr>
      <w:r w:rsidRPr="00A6202E">
        <w:t>brown pigments and their characteristics:</w:t>
      </w:r>
    </w:p>
    <w:p w:rsidR="00000000" w:rsidRPr="00A6202E" w:rsidP="00A6202E">
      <w:pPr>
        <w:pStyle w:val="ListBullet2"/>
      </w:pPr>
      <w:r w:rsidRPr="00A6202E">
        <w:t>how brown inorganic iron oxide pigments are produced</w:t>
      </w:r>
    </w:p>
    <w:p w:rsidR="00000000" w:rsidRPr="00A6202E" w:rsidP="00A6202E">
      <w:pPr>
        <w:pStyle w:val="ListBullet2"/>
      </w:pPr>
      <w:r w:rsidRPr="00A6202E">
        <w:t>chemical organic browns and the colour index numbers</w:t>
      </w:r>
    </w:p>
    <w:p w:rsidR="00000000" w:rsidRPr="00A6202E" w:rsidP="00A6202E">
      <w:pPr>
        <w:pStyle w:val="ListBullet"/>
      </w:pPr>
      <w:r w:rsidRPr="00A6202E">
        <w:t>black pigments, their characteristics and colour index numbers</w:t>
      </w:r>
    </w:p>
    <w:p w:rsidR="00000000" w:rsidRPr="00A6202E" w:rsidP="00A6202E">
      <w:pPr>
        <w:pStyle w:val="ListBullet"/>
      </w:pPr>
      <w:r w:rsidRPr="00A6202E">
        <w:t>Food and Drug Administration (FDA) colour a</w:t>
      </w:r>
      <w:r w:rsidRPr="00A6202E">
        <w:t>dditive list and its contents:</w:t>
      </w:r>
    </w:p>
    <w:p w:rsidR="00000000" w:rsidRPr="00A6202E" w:rsidP="00A6202E">
      <w:pPr>
        <w:pStyle w:val="ListBullet2"/>
      </w:pPr>
      <w:r w:rsidRPr="00A6202E">
        <w:t>pigment colours which are approved for use in cosmetics</w:t>
      </w:r>
    </w:p>
    <w:p w:rsidR="00000000" w:rsidRPr="00A6202E" w:rsidP="00A6202E">
      <w:pPr>
        <w:pStyle w:val="ListBullet2"/>
      </w:pPr>
      <w:r w:rsidRPr="00A6202E">
        <w:t>colour index names and numbers</w:t>
      </w:r>
    </w:p>
    <w:p w:rsidR="00000000" w:rsidRPr="00A6202E" w:rsidP="00A6202E">
      <w:pPr>
        <w:pStyle w:val="ListBullet"/>
      </w:pPr>
      <w:r w:rsidRPr="00A6202E">
        <w:t>yellow pigments, their characteristics and colour index numbers</w:t>
      </w:r>
    </w:p>
    <w:p w:rsidR="00000000" w:rsidRPr="00A6202E" w:rsidP="00A6202E">
      <w:pPr>
        <w:pStyle w:val="ListBullet"/>
      </w:pPr>
      <w:r w:rsidRPr="00A6202E">
        <w:t>blues and greens pigments, their characteristics and colour index number</w:t>
      </w:r>
      <w:r w:rsidRPr="00A6202E">
        <w:t>s</w:t>
      </w:r>
    </w:p>
    <w:p w:rsidR="00000000" w:rsidRPr="00A6202E" w:rsidP="00A6202E">
      <w:pPr>
        <w:pStyle w:val="ListBullet"/>
      </w:pPr>
      <w:r w:rsidRPr="00A6202E">
        <w:t>red pigments, their characteristics and colour index numbers</w:t>
      </w:r>
    </w:p>
    <w:p w:rsidR="00000000" w:rsidRPr="00A6202E" w:rsidP="00A6202E">
      <w:pPr>
        <w:pStyle w:val="ListBullet"/>
      </w:pPr>
      <w:r w:rsidRPr="00A6202E">
        <w:t>lightfastness and bleed resistance of cosmetic tattooing pigments:</w:t>
      </w:r>
    </w:p>
    <w:p w:rsidR="00000000" w:rsidRPr="00A6202E" w:rsidP="00A6202E">
      <w:pPr>
        <w:pStyle w:val="ListBullet2"/>
      </w:pPr>
      <w:r w:rsidRPr="00A6202E">
        <w:t>the logarithmic blue wool scale</w:t>
      </w:r>
    </w:p>
    <w:p w:rsidR="00000000" w:rsidRPr="00A6202E" w:rsidP="00A6202E">
      <w:pPr>
        <w:pStyle w:val="ListBullet"/>
      </w:pPr>
      <w:r w:rsidRPr="00A6202E">
        <w:t>preparation and dilution of pigments</w:t>
      </w:r>
    </w:p>
    <w:p w:rsidR="00000000" w:rsidRPr="00A6202E" w:rsidP="00A6202E">
      <w:pPr>
        <w:pStyle w:val="ListBullet"/>
      </w:pPr>
      <w:r w:rsidRPr="00A6202E">
        <w:t>the reasons why:</w:t>
      </w:r>
    </w:p>
    <w:p w:rsidR="00000000" w:rsidRPr="00A6202E" w:rsidP="00A6202E">
      <w:pPr>
        <w:pStyle w:val="ListBullet2"/>
      </w:pPr>
      <w:r w:rsidRPr="00A6202E">
        <w:t>pigment colours fade in the skin</w:t>
      </w:r>
    </w:p>
    <w:p w:rsidR="00000000" w:rsidRPr="00A6202E" w:rsidP="00A6202E">
      <w:pPr>
        <w:pStyle w:val="ListBullet2"/>
      </w:pPr>
      <w:r w:rsidRPr="00A6202E">
        <w:t>residual fugitive colours may be left in the skin from an aged cosmetic tattoo</w:t>
      </w:r>
    </w:p>
    <w:p w:rsidR="00000000" w:rsidRPr="00A6202E" w:rsidP="00A6202E">
      <w:pPr>
        <w:pStyle w:val="ListBullet2"/>
      </w:pPr>
      <w:r w:rsidRPr="00A6202E">
        <w:t>a brown eyebrow tattoo may fade to an undesired colour</w:t>
      </w:r>
    </w:p>
    <w:p w:rsidR="00000000" w:rsidRPr="00A6202E" w:rsidP="00A6202E">
      <w:pPr>
        <w:pStyle w:val="ListBullet"/>
      </w:pPr>
      <w:r w:rsidRPr="00A6202E">
        <w:t>risks of pigment use:</w:t>
      </w:r>
    </w:p>
    <w:p w:rsidR="00000000" w:rsidRPr="00A6202E" w:rsidP="00A6202E">
      <w:pPr>
        <w:pStyle w:val="ListBullet2"/>
      </w:pPr>
      <w:r w:rsidRPr="00A6202E">
        <w:t>toxic effects</w:t>
      </w:r>
    </w:p>
    <w:p w:rsidR="00000000" w:rsidRPr="00A6202E" w:rsidP="00A6202E">
      <w:pPr>
        <w:pStyle w:val="ListBullet2"/>
      </w:pPr>
      <w:r w:rsidRPr="00A6202E">
        <w:t>contribution to premature ageing</w:t>
      </w:r>
    </w:p>
    <w:p w:rsidR="00000000" w:rsidRPr="00A6202E" w:rsidP="00A6202E">
      <w:pPr>
        <w:pStyle w:val="ListBullet2"/>
      </w:pPr>
      <w:r w:rsidRPr="00A6202E">
        <w:t>allergens and carcinogens of some colours</w:t>
      </w:r>
    </w:p>
    <w:p w:rsidR="00000000" w:rsidRPr="00A6202E" w:rsidP="00A6202E">
      <w:pPr>
        <w:pStyle w:val="ListBullet2"/>
      </w:pPr>
      <w:r w:rsidRPr="00A6202E">
        <w:t>adverse e</w:t>
      </w:r>
      <w:r w:rsidRPr="00A6202E">
        <w:t>ffects when used in combination with other products or treatments</w:t>
      </w:r>
    </w:p>
    <w:p w:rsidR="00000000" w:rsidRPr="00A6202E" w:rsidP="00A6202E">
      <w:pPr>
        <w:pStyle w:val="ListBullet"/>
      </w:pPr>
      <w:r w:rsidRPr="00A6202E">
        <w:t>difference between organic and inorganic pigments:</w:t>
      </w:r>
    </w:p>
    <w:p w:rsidR="00000000" w:rsidRPr="00A6202E" w:rsidP="00A6202E">
      <w:pPr>
        <w:pStyle w:val="ListBullet2"/>
      </w:pPr>
      <w:r w:rsidRPr="00A6202E">
        <w:t>titanium</w:t>
      </w:r>
    </w:p>
    <w:p w:rsidR="00000000" w:rsidRPr="00A6202E" w:rsidP="00A6202E">
      <w:pPr>
        <w:pStyle w:val="ListBullet2"/>
      </w:pPr>
      <w:r w:rsidRPr="00A6202E">
        <w:t>iron oxide</w:t>
      </w:r>
    </w:p>
    <w:p w:rsidR="00000000" w:rsidRPr="00A6202E" w:rsidP="00A6202E">
      <w:pPr>
        <w:pStyle w:val="ListBullet2"/>
      </w:pPr>
      <w:r w:rsidRPr="00A6202E">
        <w:t>alumina hydrate</w:t>
      </w:r>
    </w:p>
    <w:p w:rsidR="00000000" w:rsidRPr="00A6202E" w:rsidP="00A6202E">
      <w:pPr>
        <w:pStyle w:val="ListBullet2"/>
      </w:pPr>
      <w:r w:rsidRPr="00A6202E">
        <w:t>carbon</w:t>
      </w:r>
    </w:p>
    <w:p w:rsidR="00000000" w:rsidRPr="00A6202E" w:rsidP="00A6202E">
      <w:pPr>
        <w:pStyle w:val="ListBullet"/>
      </w:pPr>
      <w:r w:rsidRPr="00A6202E">
        <w:t>establishing a pigment base colour</w:t>
      </w:r>
    </w:p>
    <w:p w:rsidR="00000000" w:rsidRPr="00A6202E" w:rsidP="00A6202E">
      <w:pPr>
        <w:pStyle w:val="ListBullet"/>
      </w:pPr>
      <w:r w:rsidRPr="00A6202E">
        <w:t>placement of pigment and influence on colour</w:t>
      </w:r>
    </w:p>
    <w:p w:rsidR="00000000" w:rsidRPr="00A6202E" w:rsidP="00A6202E">
      <w:pPr>
        <w:pStyle w:val="ListBullet"/>
      </w:pPr>
      <w:r w:rsidRPr="00A6202E">
        <w:t>colour migration</w:t>
      </w:r>
    </w:p>
    <w:p w:rsidR="00000000" w:rsidRPr="00A6202E" w:rsidP="00A6202E">
      <w:pPr>
        <w:pStyle w:val="ListBullet"/>
      </w:pPr>
      <w:r w:rsidRPr="00A6202E">
        <w:t>adverse reactions to pigment:</w:t>
      </w:r>
    </w:p>
    <w:p w:rsidR="00000000" w:rsidRPr="00A6202E" w:rsidP="00A6202E">
      <w:pPr>
        <w:pStyle w:val="ListBullet2"/>
      </w:pPr>
      <w:r w:rsidRPr="00A6202E">
        <w:t>allergic reactions</w:t>
      </w:r>
    </w:p>
    <w:p w:rsidR="00000000" w:rsidRPr="00A6202E" w:rsidP="00A6202E">
      <w:pPr>
        <w:pStyle w:val="ListBullet2"/>
      </w:pPr>
      <w:r w:rsidRPr="00A6202E">
        <w:t>short-term inflammation</w:t>
      </w:r>
    </w:p>
    <w:p w:rsidR="00000000" w:rsidRPr="00A6202E" w:rsidP="00A6202E">
      <w:pPr>
        <w:pStyle w:val="ListBullet"/>
      </w:pPr>
      <w:r w:rsidRPr="00A6202E">
        <w:t>colour correction techniques and methods to avoid e.g. lasers</w:t>
      </w:r>
    </w:p>
    <w:p w:rsidR="00000000" w:rsidRPr="00A6202E" w:rsidP="00A6202E">
      <w:pPr>
        <w:pStyle w:val="ListBullet"/>
      </w:pPr>
      <w:r w:rsidRPr="00A6202E">
        <w:t>cosmetic tattoo removal options and the relationship to pigment removal:</w:t>
      </w:r>
    </w:p>
    <w:p w:rsidR="00000000" w:rsidRPr="00A6202E" w:rsidP="00A6202E">
      <w:pPr>
        <w:pStyle w:val="ListBullet2"/>
      </w:pPr>
      <w:r w:rsidRPr="00A6202E">
        <w:t>saline</w:t>
      </w:r>
    </w:p>
    <w:p w:rsidR="00000000" w:rsidRPr="00A6202E" w:rsidP="00A6202E">
      <w:pPr>
        <w:pStyle w:val="ListBullet2"/>
      </w:pPr>
      <w:r w:rsidRPr="00A6202E">
        <w:t>acid</w:t>
      </w:r>
    </w:p>
    <w:p w:rsidR="00000000" w:rsidRPr="00A6202E" w:rsidP="00A6202E">
      <w:pPr>
        <w:pStyle w:val="ListBullet2"/>
      </w:pPr>
      <w:r w:rsidRPr="00A6202E">
        <w:t>laser</w:t>
      </w:r>
    </w:p>
    <w:p w:rsidR="00000000" w:rsidRPr="00A6202E" w:rsidP="00A6202E">
      <w:pPr>
        <w:pStyle w:val="ListBullet"/>
      </w:pPr>
      <w:r w:rsidRPr="00A6202E">
        <w:t>storage o</w:t>
      </w:r>
      <w:r w:rsidRPr="00A6202E">
        <w:t>f pigments:</w:t>
      </w:r>
    </w:p>
    <w:p w:rsidR="00000000" w:rsidRPr="00A6202E" w:rsidP="00A6202E">
      <w:pPr>
        <w:pStyle w:val="ListBullet2"/>
      </w:pPr>
      <w:r w:rsidRPr="00A6202E">
        <w:t xml:space="preserve">sterility </w:t>
      </w:r>
    </w:p>
    <w:p w:rsidR="00000000" w:rsidRPr="00A6202E" w:rsidP="00A6202E">
      <w:pPr>
        <w:pStyle w:val="ListBullet2"/>
      </w:pPr>
      <w:r w:rsidRPr="00A6202E">
        <w:t>use by dates</w:t>
      </w:r>
    </w:p>
    <w:p w:rsidR="00000000" w:rsidRPr="00A6202E" w:rsidP="00A6202E">
      <w:pPr>
        <w:pStyle w:val="ListBullet"/>
      </w:pPr>
      <w:r w:rsidRPr="00A6202E">
        <w:t>customer safeguards and protection systems:</w:t>
      </w:r>
    </w:p>
    <w:p w:rsidR="00000000" w:rsidRPr="00A6202E" w:rsidP="00A6202E">
      <w:pPr>
        <w:pStyle w:val="ListBullet2"/>
      </w:pPr>
      <w:r w:rsidRPr="00A6202E">
        <w:t>Council of Europe ResAP Resolution (2008)</w:t>
      </w:r>
    </w:p>
    <w:p w:rsidR="00000000" w:rsidRPr="00A6202E" w:rsidP="00A6202E">
      <w:pPr>
        <w:pStyle w:val="ListBullet2"/>
      </w:pPr>
      <w:r w:rsidRPr="00A6202E">
        <w:t>Rapid Alert System for Non-Food Consumer Products (RAPEX alert)</w:t>
      </w:r>
    </w:p>
    <w:p w:rsidR="00000000" w:rsidRPr="00A6202E" w:rsidP="00A6202E">
      <w:pPr>
        <w:pStyle w:val="ListBullet2"/>
      </w:pPr>
      <w:r w:rsidRPr="00A6202E">
        <w:t>Research Food and Drug Administration (FDA) recalls of tattoo pigments</w:t>
      </w:r>
    </w:p>
    <w:p w:rsidR="00000000" w:rsidRPr="00A6202E" w:rsidP="00A6202E">
      <w:pPr>
        <w:pStyle w:val="ListBullet2"/>
      </w:pPr>
      <w:r w:rsidRPr="00A6202E">
        <w:t>role of the Australian Industrial Chemicals Introduction Scheme (AICIS) and importation of cosmetic tattooing pigments into Australia</w:t>
      </w:r>
    </w:p>
    <w:p w:rsidR="00000000" w:rsidRPr="00A6202E" w:rsidP="00A6202E">
      <w:pPr>
        <w:pStyle w:val="ListBullet"/>
      </w:pPr>
      <w:r w:rsidRPr="00A6202E">
        <w:t>how to read and understand pigment labels to:</w:t>
      </w:r>
    </w:p>
    <w:p w:rsidR="00000000" w:rsidRPr="00A6202E" w:rsidP="00A6202E">
      <w:pPr>
        <w:pStyle w:val="ListBullet2"/>
      </w:pPr>
      <w:r w:rsidRPr="00A6202E">
        <w:t>ide</w:t>
      </w:r>
      <w:r w:rsidRPr="00A6202E">
        <w:t xml:space="preserve">ntify ingredients: </w:t>
      </w:r>
    </w:p>
    <w:p w:rsidR="00000000" w:rsidRPr="00A6202E" w:rsidP="00A6202E">
      <w:pPr>
        <w:pStyle w:val="ListBullet3"/>
      </w:pPr>
      <w:r w:rsidRPr="00A6202E">
        <w:t>that are toxic</w:t>
      </w:r>
    </w:p>
    <w:p w:rsidR="00000000" w:rsidRPr="00A6202E" w:rsidP="00A6202E">
      <w:pPr>
        <w:pStyle w:val="ListBullet3"/>
      </w:pPr>
      <w:r w:rsidRPr="00A6202E">
        <w:t>that are carcinogenic, mutagenic or reprotoxic and which are defined by the current European regulations and should be avoided</w:t>
      </w:r>
    </w:p>
    <w:p w:rsidR="00000000" w:rsidRPr="00A6202E" w:rsidP="00A6202E">
      <w:pPr>
        <w:pStyle w:val="ListBullet2"/>
      </w:pPr>
      <w:r w:rsidRPr="00A6202E">
        <w:t>check for colourants and other ingredients that may be harmful</w:t>
      </w:r>
    </w:p>
    <w:p w:rsidR="00000000" w:rsidRPr="00A6202E" w:rsidP="00A6202E">
      <w:pPr>
        <w:pStyle w:val="ListBullet"/>
      </w:pPr>
      <w:r w:rsidRPr="00A6202E">
        <w:t>legislation and regulations relating to pigments:</w:t>
      </w:r>
    </w:p>
    <w:p w:rsidR="00000000" w:rsidRPr="00A6202E" w:rsidP="00A6202E">
      <w:pPr>
        <w:pStyle w:val="ListBullet2"/>
      </w:pPr>
      <w:r w:rsidRPr="00A6202E">
        <w:t>pigments registered for purpose on the Australian Register of Therapeutic Goods.</w:t>
      </w:r>
    </w:p>
    <w:p w:rsidR="00000000" w:rsidRPr="00A6202E" w:rsidP="00A6202E">
      <w:pPr>
        <w:pStyle w:val="AllowPageBreak"/>
      </w:pPr>
    </w:p>
    <w:p w:rsidR="00000000" w:rsidRPr="00A6202E" w:rsidP="00A6202E">
      <w:pPr>
        <w:pStyle w:val="Heading1"/>
      </w:pPr>
      <w:bookmarkStart w:id="4" w:name="O_1203292"/>
      <w:bookmarkEnd w:id="4"/>
      <w:r w:rsidRPr="00A6202E">
        <w:t>Assessment Conditions</w:t>
      </w:r>
    </w:p>
    <w:p w:rsidR="00000000" w:rsidRPr="00A6202E" w:rsidP="003B3283">
      <w:pPr>
        <w:pStyle w:val="BodyText"/>
      </w:pPr>
      <w:r w:rsidRPr="00A6202E">
        <w:t>Skills must be demonstrated in a cosmetic tattooing environment; this can be:</w:t>
      </w:r>
    </w:p>
    <w:p w:rsidR="00000000" w:rsidRPr="00A6202E" w:rsidP="00A6202E">
      <w:pPr>
        <w:pStyle w:val="ListBullet"/>
      </w:pPr>
      <w:r w:rsidRPr="00A6202E">
        <w:t>an industry workplace or</w:t>
      </w:r>
    </w:p>
    <w:p w:rsidR="00000000" w:rsidRPr="00A6202E" w:rsidP="00A6202E">
      <w:pPr>
        <w:pStyle w:val="ListBullet"/>
      </w:pPr>
      <w:r w:rsidRPr="00A6202E">
        <w:t>a simulated workplace set up for the purpose of skills assessment.</w:t>
      </w:r>
    </w:p>
    <w:p w:rsidR="00000000" w:rsidRPr="00A6202E" w:rsidP="003B3283">
      <w:pPr>
        <w:pStyle w:val="BodyText"/>
      </w:pPr>
      <w:r w:rsidRPr="00A6202E">
        <w:t>Assessment must ensure access to:</w:t>
      </w:r>
    </w:p>
    <w:p w:rsidR="00000000" w:rsidRPr="00A6202E" w:rsidP="00A6202E">
      <w:pPr>
        <w:pStyle w:val="ListBullet"/>
      </w:pPr>
      <w:r w:rsidRPr="00A6202E">
        <w:t xml:space="preserve">relevant documentation: </w:t>
      </w:r>
    </w:p>
    <w:p w:rsidR="00000000" w:rsidRPr="00A6202E" w:rsidP="00A6202E">
      <w:pPr>
        <w:pStyle w:val="ListBullet2"/>
      </w:pPr>
      <w:r w:rsidRPr="00A6202E">
        <w:t>sources of information on cosmetic tattooing pigments</w:t>
      </w:r>
    </w:p>
    <w:p w:rsidR="00000000" w:rsidRPr="00A6202E" w:rsidP="00A6202E">
      <w:pPr>
        <w:pStyle w:val="ListBullet2"/>
      </w:pPr>
      <w:r w:rsidRPr="00A6202E">
        <w:t>key aspects of relevant federal, state or territo</w:t>
      </w:r>
      <w:r w:rsidRPr="00A6202E">
        <w:t>ry, and local Acts and regulations relating to use of cosmetic tattooing pigments</w:t>
      </w:r>
    </w:p>
    <w:p w:rsidR="00000000" w:rsidRPr="00A6202E" w:rsidP="00A6202E">
      <w:pPr>
        <w:pStyle w:val="ListBullet"/>
      </w:pPr>
      <w:r w:rsidRPr="00A6202E">
        <w:t>colour wheel and colour charts for pigments.</w:t>
      </w:r>
    </w:p>
    <w:p w:rsidR="00000000" w:rsidRPr="00A6202E" w:rsidP="003B3283">
      <w:pPr>
        <w:pStyle w:val="BodyText"/>
      </w:pPr>
      <w:r w:rsidRPr="00A6202E">
        <w:t>Assessors must satisfy the Standards for Registered Training Organisations</w:t>
      </w:r>
      <w:r>
        <w:t>’</w:t>
      </w:r>
      <w:r w:rsidRPr="00A6202E">
        <w:t xml:space="preserve"> requirements for assessors and:</w:t>
      </w:r>
    </w:p>
    <w:p w:rsidR="00000000" w:rsidRPr="00A6202E" w:rsidP="00A6202E">
      <w:pPr>
        <w:pStyle w:val="ListBullet"/>
      </w:pPr>
      <w:r w:rsidRPr="00A6202E">
        <w:t xml:space="preserve">have worked for at </w:t>
      </w:r>
      <w:r w:rsidRPr="00A6202E">
        <w:t>least three years where they have applied the skills and knowledge of this unit of competency.</w:t>
      </w:r>
    </w:p>
    <w:p w:rsidR="00000000" w:rsidRPr="00A6202E" w:rsidP="00A6202E">
      <w:pPr>
        <w:pStyle w:val="AllowPageBreak"/>
      </w:pPr>
    </w:p>
    <w:p w:rsidR="00000000" w:rsidRPr="00A6202E" w:rsidP="00A6202E">
      <w:pPr>
        <w:pStyle w:val="Heading1"/>
      </w:pPr>
      <w:bookmarkStart w:id="5" w:name="O_1203295"/>
      <w:bookmarkEnd w:id="5"/>
      <w:r w:rsidRPr="00A6202E">
        <w:t>Links</w:t>
      </w:r>
    </w:p>
    <w:p w:rsidR="00000000" w:rsidRPr="00A6202E" w:rsidP="003B3283">
      <w:pPr>
        <w:pStyle w:val="BodyText"/>
      </w:pPr>
      <w:r w:rsidRPr="00A620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977B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6202E" w:rsidP="00A6202E"/>
    <w:sectPr w:rsidSect="00A620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2E" w:rsidRPr="003B3283" w:rsidP="003B32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283" w:rsidP="00A62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283" w:rsidP="00A62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B3283" w:rsidP="00A62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2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02E" w:rsidRPr="003B3283" w:rsidP="003B32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283" w:rsidRPr="002D2AF8" w:rsidP="00A62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SHBBCOS002 Apply knowledge of colour theory and pigmentology to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3B3283" w:rsidP="00A62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D42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07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826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02E"/>
  </w:style>
  <w:style w:type="character" w:customStyle="1" w:styleId="Heading1Char">
    <w:name w:val="Heading 1 Char"/>
    <w:basedOn w:val="DefaultParagraphFont"/>
    <w:link w:val="Heading1"/>
    <w:rsid w:val="00A62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02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20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2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20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2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02E"/>
    <w:rPr>
      <w:b/>
      <w:spacing w:val="0"/>
    </w:rPr>
  </w:style>
  <w:style w:type="paragraph" w:customStyle="1" w:styleId="SuperTitle">
    <w:name w:val="SuperTitle"/>
    <w:basedOn w:val="Title"/>
    <w:rsid w:val="00A62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0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02E"/>
    <w:rPr>
      <w:i/>
    </w:rPr>
  </w:style>
  <w:style w:type="paragraph" w:styleId="Caption">
    <w:name w:val="caption"/>
    <w:basedOn w:val="BodyText"/>
    <w:next w:val="Normal"/>
    <w:qFormat/>
    <w:rsid w:val="00A62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02E"/>
  </w:style>
  <w:style w:type="paragraph" w:styleId="TableofFigures">
    <w:name w:val="table of figures"/>
    <w:basedOn w:val="Normal"/>
    <w:next w:val="Normal"/>
    <w:semiHidden/>
    <w:rsid w:val="00A62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0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202E"/>
    <w:rPr>
      <w:rFonts w:ascii="Wingdings" w:hAnsi="Wingdings"/>
    </w:rPr>
  </w:style>
  <w:style w:type="paragraph" w:customStyle="1" w:styleId="TableHeading">
    <w:name w:val="Table Heading"/>
    <w:basedOn w:val="HeadingBase"/>
    <w:rsid w:val="00A62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02E"/>
    <w:rPr>
      <w:color w:val="0033CC"/>
      <w:u w:val="none"/>
    </w:rPr>
  </w:style>
  <w:style w:type="paragraph" w:customStyle="1" w:styleId="BodyTextRight">
    <w:name w:val="Body Text Right"/>
    <w:basedOn w:val="BodyText"/>
    <w:rsid w:val="00A62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0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02E"/>
    <w:rPr>
      <w:sz w:val="32"/>
    </w:rPr>
  </w:style>
  <w:style w:type="paragraph" w:customStyle="1" w:styleId="HeadingProcedure">
    <w:name w:val="Heading Procedure"/>
    <w:basedOn w:val="HeadingBase"/>
    <w:next w:val="Normal"/>
    <w:rsid w:val="00A62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02E"/>
    <w:pPr>
      <w:spacing w:before="60" w:after="60"/>
    </w:pPr>
  </w:style>
  <w:style w:type="paragraph" w:styleId="ListContinue">
    <w:name w:val="List Continue"/>
    <w:basedOn w:val="List"/>
    <w:rsid w:val="00A6202E"/>
    <w:pPr>
      <w:ind w:firstLine="0"/>
    </w:pPr>
  </w:style>
  <w:style w:type="paragraph" w:customStyle="1" w:styleId="ListNote">
    <w:name w:val="List Note"/>
    <w:basedOn w:val="List"/>
    <w:rsid w:val="00A62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02E"/>
    <w:rPr>
      <w:rFonts w:ascii="Courier New" w:hAnsi="Courier New"/>
    </w:rPr>
  </w:style>
  <w:style w:type="paragraph" w:customStyle="1" w:styleId="NoteBullet">
    <w:name w:val="Note Bullet"/>
    <w:basedOn w:val="Note"/>
    <w:rsid w:val="00A62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0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2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02E"/>
    <w:rPr>
      <w:b/>
      <w:smallCaps/>
    </w:rPr>
  </w:style>
  <w:style w:type="paragraph" w:customStyle="1" w:styleId="TableListNumber">
    <w:name w:val="Table List Number"/>
    <w:basedOn w:val="ListNumber"/>
    <w:rsid w:val="00A62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02E"/>
    <w:pPr>
      <w:numPr>
        <w:numId w:val="10"/>
      </w:numPr>
    </w:pPr>
  </w:style>
  <w:style w:type="paragraph" w:customStyle="1" w:styleId="ListAlpha2">
    <w:name w:val="List Alpha 2"/>
    <w:basedOn w:val="List2"/>
    <w:rsid w:val="00A6202E"/>
    <w:pPr>
      <w:numPr>
        <w:numId w:val="9"/>
      </w:numPr>
    </w:pPr>
  </w:style>
  <w:style w:type="paragraph" w:styleId="List2">
    <w:name w:val="List 2"/>
    <w:basedOn w:val="BodyText"/>
    <w:rsid w:val="00A62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0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20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202E"/>
    <w:pPr>
      <w:numPr>
        <w:numId w:val="5"/>
      </w:numPr>
    </w:pPr>
  </w:style>
  <w:style w:type="paragraph" w:styleId="ListContinue2">
    <w:name w:val="List Continue 2"/>
    <w:basedOn w:val="List2"/>
    <w:rsid w:val="00A6202E"/>
    <w:pPr>
      <w:ind w:firstLine="0"/>
    </w:pPr>
  </w:style>
  <w:style w:type="paragraph" w:styleId="ListContinue3">
    <w:name w:val="List Continue 3"/>
    <w:basedOn w:val="List3"/>
    <w:rsid w:val="00A6202E"/>
    <w:pPr>
      <w:ind w:left="1021" w:firstLine="0"/>
    </w:pPr>
  </w:style>
  <w:style w:type="paragraph" w:styleId="ListContinue4">
    <w:name w:val="List Continue 4"/>
    <w:basedOn w:val="List4"/>
    <w:rsid w:val="00A6202E"/>
    <w:pPr>
      <w:ind w:firstLine="0"/>
    </w:pPr>
  </w:style>
  <w:style w:type="paragraph" w:styleId="ListContinue5">
    <w:name w:val="List Continue 5"/>
    <w:basedOn w:val="List5"/>
    <w:rsid w:val="00A6202E"/>
    <w:pPr>
      <w:ind w:firstLine="0"/>
    </w:pPr>
  </w:style>
  <w:style w:type="paragraph" w:styleId="ListNumber3">
    <w:name w:val="List Number 3"/>
    <w:basedOn w:val="List3"/>
    <w:rsid w:val="00A6202E"/>
    <w:pPr>
      <w:numPr>
        <w:numId w:val="6"/>
      </w:numPr>
    </w:pPr>
  </w:style>
  <w:style w:type="paragraph" w:styleId="ListNumber4">
    <w:name w:val="List Number 4"/>
    <w:basedOn w:val="List4"/>
    <w:rsid w:val="00A6202E"/>
    <w:pPr>
      <w:numPr>
        <w:numId w:val="7"/>
      </w:numPr>
    </w:pPr>
  </w:style>
  <w:style w:type="paragraph" w:styleId="ListNumber5">
    <w:name w:val="List Number 5"/>
    <w:basedOn w:val="List5"/>
    <w:rsid w:val="00A6202E"/>
    <w:pPr>
      <w:numPr>
        <w:numId w:val="8"/>
      </w:numPr>
    </w:pPr>
  </w:style>
  <w:style w:type="paragraph" w:styleId="BlockText">
    <w:name w:val="Block Text"/>
    <w:basedOn w:val="Normal"/>
    <w:rsid w:val="00A62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02E"/>
    <w:rPr>
      <w:sz w:val="16"/>
      <w:vertAlign w:val="superscript"/>
    </w:rPr>
  </w:style>
  <w:style w:type="character" w:customStyle="1" w:styleId="Symbols">
    <w:name w:val="Symbols"/>
    <w:basedOn w:val="DefaultParagraphFont"/>
    <w:rsid w:val="00A6202E"/>
    <w:rPr>
      <w:rFonts w:ascii="Symbol" w:hAnsi="Symbol"/>
    </w:rPr>
  </w:style>
  <w:style w:type="character" w:customStyle="1" w:styleId="MenuOptions">
    <w:name w:val="Menu Options"/>
    <w:basedOn w:val="DefaultParagraphFont"/>
    <w:rsid w:val="00A62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02E"/>
    <w:rPr>
      <w:b/>
    </w:rPr>
  </w:style>
  <w:style w:type="character" w:customStyle="1" w:styleId="Underlined">
    <w:name w:val="Underlined"/>
    <w:basedOn w:val="DefaultParagraphFont"/>
    <w:rsid w:val="00A6202E"/>
    <w:rPr>
      <w:u w:val="single"/>
    </w:rPr>
  </w:style>
  <w:style w:type="paragraph" w:customStyle="1" w:styleId="TableBodyTextRight">
    <w:name w:val="Table Body Text Right"/>
    <w:basedOn w:val="TableBodyText"/>
    <w:rsid w:val="00A62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02E"/>
    <w:rPr>
      <w:sz w:val="18"/>
    </w:rPr>
  </w:style>
  <w:style w:type="paragraph" w:customStyle="1" w:styleId="BodySmallRight">
    <w:name w:val="Body Small Right"/>
    <w:basedOn w:val="BodyTextRight"/>
    <w:rsid w:val="00A6202E"/>
    <w:rPr>
      <w:sz w:val="18"/>
      <w:szCs w:val="18"/>
    </w:rPr>
  </w:style>
  <w:style w:type="paragraph" w:customStyle="1" w:styleId="MarginEdition">
    <w:name w:val="Margin Edition"/>
    <w:basedOn w:val="MarginNote"/>
    <w:rsid w:val="00A62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02E"/>
    <w:rPr>
      <w:sz w:val="2"/>
      <w:szCs w:val="2"/>
    </w:rPr>
  </w:style>
  <w:style w:type="character" w:customStyle="1" w:styleId="Small">
    <w:name w:val="Small"/>
    <w:basedOn w:val="DefaultParagraphFont"/>
    <w:rsid w:val="00A6202E"/>
    <w:rPr>
      <w:sz w:val="16"/>
    </w:rPr>
  </w:style>
  <w:style w:type="paragraph" w:customStyle="1" w:styleId="WideTable">
    <w:name w:val="Wide Table"/>
    <w:basedOn w:val="Normal"/>
    <w:rsid w:val="00A62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02E"/>
  </w:style>
  <w:style w:type="paragraph" w:styleId="Quote">
    <w:name w:val="Quote"/>
    <w:basedOn w:val="Heading1"/>
    <w:link w:val="QuoteChar"/>
    <w:qFormat/>
    <w:rsid w:val="00A62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02E"/>
    <w:pPr>
      <w:pageBreakBefore/>
    </w:pPr>
  </w:style>
  <w:style w:type="paragraph" w:customStyle="1" w:styleId="Border">
    <w:name w:val="Border"/>
    <w:basedOn w:val="Normal"/>
    <w:qFormat/>
    <w:rsid w:val="00A62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02E"/>
    <w:rPr>
      <w:u w:val="single"/>
    </w:rPr>
  </w:style>
  <w:style w:type="character" w:customStyle="1" w:styleId="BoldandItalics">
    <w:name w:val="Bold and Italics"/>
    <w:qFormat/>
    <w:rsid w:val="00A6202E"/>
    <w:rPr>
      <w:b/>
      <w:i/>
      <w:u w:val="none"/>
    </w:rPr>
  </w:style>
  <w:style w:type="paragraph" w:styleId="BalloonText">
    <w:name w:val="Balloon Text"/>
    <w:basedOn w:val="Normal"/>
    <w:link w:val="BalloonTextChar"/>
    <w:rsid w:val="00A6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02E"/>
    <w:pPr>
      <w:spacing w:before="0" w:after="0"/>
    </w:pPr>
  </w:style>
  <w:style w:type="paragraph" w:customStyle="1" w:styleId="BodyTextBold">
    <w:name w:val="Body Text Bold"/>
    <w:basedOn w:val="BodyText"/>
    <w:qFormat/>
    <w:rsid w:val="00A6202E"/>
    <w:rPr>
      <w:b/>
    </w:rPr>
  </w:style>
  <w:style w:type="character" w:styleId="Hyperlink">
    <w:name w:val="Hyperlink"/>
    <w:basedOn w:val="DefaultParagraphFont"/>
    <w:uiPriority w:val="99"/>
    <w:unhideWhenUsed/>
    <w:rsid w:val="003B32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5409</Characters>
  <Application>Microsoft Office Word</Application>
  <DocSecurity>0</DocSecurity>
  <Lines>169</Lines>
  <Paragraphs>165</Paragraphs>
  <ScaleCrop>false</ScaleCrop>
  <Company>Author-it Software Corporation Ltd.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SHBBCOS002 Apply knowledge of colour theory and pigmentology to cosmetic tattooing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