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34D" w:rsidP="0063634D">
      <w:pPr>
        <w:pStyle w:val="Title"/>
      </w:pPr>
      <w:bookmarkStart w:id="0" w:name="_GoBack"/>
      <w:bookmarkEnd w:id="0"/>
      <w:r>
        <w:fldChar w:fldCharType="begin"/>
      </w:r>
      <w:r>
        <w:instrText xml:space="preserve"> TITLE   \* MERGEFORMAT </w:instrText>
      </w:r>
      <w:r>
        <w:fldChar w:fldCharType="separate"/>
      </w:r>
      <w:r>
        <w:t>SFIPROC609C Monitor the seafood business environment to determine threats and opportunities</w:t>
      </w:r>
      <w:r>
        <w:fldChar w:fldCharType="end"/>
      </w:r>
    </w:p>
    <w:p w:rsidR="0063634D" w:rsidP="0063634D">
      <w:pPr>
        <w:pStyle w:val="Version"/>
        <w:sectPr w:rsidSect="00C439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924" w:rsidP="00C43924">
      <w:pPr>
        <w:pStyle w:val="SuperHeading"/>
      </w:pPr>
      <w:r w:rsidRPr="00C43924">
        <w:t>SFIPROC609C Monitor the seafood business environment to determine threats and opportunities</w:t>
      </w:r>
    </w:p>
    <w:p w:rsidR="00000000" w:rsidRPr="00C43924" w:rsidP="00C43924">
      <w:pPr>
        <w:pStyle w:val="Heading1"/>
      </w:pPr>
      <w:bookmarkStart w:id="1" w:name="O_273310"/>
      <w:bookmarkEnd w:id="1"/>
      <w:r w:rsidRPr="00C43924">
        <w:t>Modification History</w:t>
      </w:r>
    </w:p>
    <w:p w:rsidR="00000000" w:rsidRPr="00C43924" w:rsidP="00C43924">
      <w:pPr>
        <w:pStyle w:val="BodyText"/>
      </w:pPr>
      <w:r w:rsidRPr="00C43924">
        <w:t>Not Applicable</w:t>
      </w:r>
    </w:p>
    <w:p w:rsidR="00000000" w:rsidRPr="00C43924" w:rsidP="00C43924">
      <w:pPr>
        <w:pStyle w:val="AllowPageBreak"/>
      </w:pPr>
    </w:p>
    <w:p w:rsidR="00000000" w:rsidRPr="00C43924" w:rsidP="00C43924">
      <w:pPr>
        <w:pStyle w:val="Heading1"/>
      </w:pPr>
      <w:bookmarkStart w:id="2" w:name="O_218661"/>
      <w:bookmarkEnd w:id="2"/>
      <w:r w:rsidRPr="00C43924">
        <w:t xml:space="preserve">Unit </w:t>
      </w:r>
      <w:r w:rsidRPr="00C43924">
        <w:t>Descriptor</w:t>
      </w:r>
    </w:p>
    <w:tbl>
      <w:tblPr>
        <w:tblW w:w="0" w:type="auto"/>
        <w:tblLayout w:type="fixed"/>
        <w:tblCellMar>
          <w:left w:w="62" w:type="dxa"/>
          <w:right w:w="62" w:type="dxa"/>
        </w:tblCellMar>
        <w:tblLook w:val="0000"/>
      </w:tblPr>
      <w:tblGrid>
        <w:gridCol w:w="2668"/>
        <w:gridCol w:w="5854"/>
      </w:tblGrid>
      <w:tr w:rsidTr="0063634D">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BodyText"/>
            </w:pPr>
            <w:r w:rsidRPr="00C43924">
              <w:t>This unit of competency relates to functions involved in providing inputs to strategic management, strategy, formulation, corporate or organisation planning and applies to the evaluation of factors having an impact on the busines</w:t>
            </w:r>
            <w:r w:rsidRPr="00C43924">
              <w:t>s, monitoring and reporting on trends to inform decision making.</w:t>
            </w:r>
          </w:p>
          <w:p w:rsidR="00000000" w:rsidRPr="00C43924" w:rsidP="00C43924">
            <w:pPr>
              <w:pStyle w:val="BodyText"/>
            </w:pPr>
            <w:r w:rsidRPr="00C43924">
              <w:t>No licensing, legislative, regulatory or certification requirements apply to this unit at the time of publication.</w:t>
            </w:r>
          </w:p>
        </w:tc>
      </w:tr>
    </w:tbl>
    <w:p w:rsidR="0063634D" w:rsidP="00C43924">
      <w:pPr>
        <w:pStyle w:val="BodyText"/>
      </w:pPr>
    </w:p>
    <w:p w:rsidR="0063634D" w:rsidP="00C43924">
      <w:pPr>
        <w:pStyle w:val="BodyText"/>
      </w:pPr>
    </w:p>
    <w:p w:rsidR="00000000" w:rsidRPr="00C43924" w:rsidP="00C43924">
      <w:pPr>
        <w:pStyle w:val="Heading1"/>
      </w:pPr>
      <w:bookmarkStart w:id="3" w:name="O_218665"/>
      <w:bookmarkEnd w:id="3"/>
      <w:r w:rsidRPr="00C43924">
        <w:t>Application of the Unit</w:t>
      </w:r>
    </w:p>
    <w:tbl>
      <w:tblPr>
        <w:tblW w:w="0" w:type="auto"/>
        <w:tblLayout w:type="fixed"/>
        <w:tblCellMar>
          <w:left w:w="62" w:type="dxa"/>
          <w:right w:w="62" w:type="dxa"/>
        </w:tblCellMar>
        <w:tblLook w:val="0000"/>
      </w:tblPr>
      <w:tblGrid>
        <w:gridCol w:w="2734"/>
        <w:gridCol w:w="5788"/>
      </w:tblGrid>
      <w:tr w:rsidTr="0063634D">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BodyText"/>
            </w:pPr>
            <w:r w:rsidRPr="00C43924">
              <w:t xml:space="preserve">All enterprise or workplace procedures and activities are carried out according to </w:t>
            </w:r>
            <w:r w:rsidRPr="00C43924">
              <w:rPr>
                <w:rStyle w:val="BoldandItalics"/>
              </w:rPr>
              <w:t>relevant government regulations</w:t>
            </w:r>
            <w:r w:rsidRPr="00C43924">
              <w:t xml:space="preserve">, </w:t>
            </w:r>
            <w:r w:rsidRPr="00C43924">
              <w:rPr>
                <w:rStyle w:val="BoldandItalics"/>
              </w:rPr>
              <w:t>licensing and other compliance requirements</w:t>
            </w:r>
            <w:r w:rsidRPr="00C43924">
              <w:t xml:space="preserve">, including </w:t>
            </w:r>
            <w:r w:rsidRPr="00C43924">
              <w:rPr>
                <w:rStyle w:val="BoldandItalics"/>
              </w:rPr>
              <w:t>food safety and hygiene regulations and procedures</w:t>
            </w:r>
            <w:r w:rsidRPr="00C43924">
              <w:t xml:space="preserve"> and </w:t>
            </w:r>
            <w:r w:rsidRPr="00C43924">
              <w:rPr>
                <w:rStyle w:val="BoldandItalics"/>
              </w:rPr>
              <w:t>ecologically sustainable devel</w:t>
            </w:r>
            <w:r w:rsidRPr="00C43924">
              <w:rPr>
                <w:rStyle w:val="BoldandItalics"/>
              </w:rPr>
              <w:t>opment</w:t>
            </w:r>
            <w:r w:rsidRPr="00C43924">
              <w:t xml:space="preserve"> (</w:t>
            </w:r>
            <w:r w:rsidRPr="00C43924">
              <w:rPr>
                <w:rStyle w:val="BoldandItalics"/>
              </w:rPr>
              <w:t>ESD</w:t>
            </w:r>
            <w:r w:rsidRPr="00C43924">
              <w:t xml:space="preserve">) </w:t>
            </w:r>
            <w:r w:rsidRPr="00C43924">
              <w:rPr>
                <w:rStyle w:val="BoldandItalics"/>
              </w:rPr>
              <w:t>principles</w:t>
            </w:r>
            <w:r w:rsidRPr="00C43924">
              <w:t>.</w:t>
            </w:r>
          </w:p>
        </w:tc>
      </w:tr>
    </w:tbl>
    <w:p w:rsidR="0063634D" w:rsidP="00C43924">
      <w:pPr>
        <w:pStyle w:val="BodyText"/>
      </w:pPr>
    </w:p>
    <w:p w:rsidR="0063634D" w:rsidP="00C43924">
      <w:pPr>
        <w:pStyle w:val="BodyText"/>
      </w:pPr>
    </w:p>
    <w:p w:rsidR="00000000" w:rsidRPr="00C43924" w:rsidP="00C43924">
      <w:pPr>
        <w:pStyle w:val="Heading1"/>
      </w:pPr>
      <w:bookmarkStart w:id="4" w:name="O_281570"/>
      <w:bookmarkEnd w:id="4"/>
      <w:r w:rsidRPr="00C43924">
        <w:t>Licensing/Regulatory Information</w:t>
      </w:r>
    </w:p>
    <w:p w:rsidR="00000000" w:rsidRPr="00C43924" w:rsidP="00C43924">
      <w:pPr>
        <w:pStyle w:val="BodyText"/>
      </w:pPr>
      <w:r w:rsidRPr="00C43924">
        <w:t>Refer to Unit Descriptor</w:t>
      </w:r>
    </w:p>
    <w:p w:rsidR="00000000" w:rsidRPr="00C43924" w:rsidP="00C43924">
      <w:pPr>
        <w:pStyle w:val="AllowPageBreak"/>
      </w:pPr>
    </w:p>
    <w:p w:rsidR="00000000" w:rsidRPr="00C43924" w:rsidP="00C43924">
      <w:pPr>
        <w:pStyle w:val="Heading1"/>
      </w:pPr>
      <w:bookmarkStart w:id="5" w:name="O_218663"/>
      <w:bookmarkEnd w:id="5"/>
      <w:r w:rsidRPr="00C43924">
        <w:t>Pre-Requisites</w:t>
      </w:r>
    </w:p>
    <w:tbl>
      <w:tblPr>
        <w:tblW w:w="0" w:type="auto"/>
        <w:tblLayout w:type="fixed"/>
        <w:tblCellMar>
          <w:left w:w="62" w:type="dxa"/>
          <w:right w:w="62" w:type="dxa"/>
        </w:tblCellMar>
        <w:tblLook w:val="0000"/>
      </w:tblPr>
      <w:tblGrid>
        <w:gridCol w:w="2775"/>
        <w:gridCol w:w="1295"/>
        <w:gridCol w:w="4452"/>
      </w:tblGrid>
      <w:tr w:rsidTr="0063634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p>
        </w:tc>
      </w:tr>
      <w:tr w:rsidTr="006363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p>
        </w:tc>
      </w:tr>
      <w:tr w:rsidTr="006363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BodyText"/>
            </w:pPr>
          </w:p>
        </w:tc>
      </w:tr>
    </w:tbl>
    <w:p w:rsidR="0063634D" w:rsidP="00C43924">
      <w:pPr>
        <w:pStyle w:val="BodyText"/>
      </w:pPr>
    </w:p>
    <w:p w:rsidR="0063634D" w:rsidP="00C43924">
      <w:pPr>
        <w:pStyle w:val="BodyText"/>
      </w:pPr>
    </w:p>
    <w:p w:rsidR="00000000" w:rsidRPr="00C43924" w:rsidP="00C43924">
      <w:pPr>
        <w:pStyle w:val="Heading1"/>
      </w:pPr>
      <w:bookmarkStart w:id="6" w:name="O_218662"/>
      <w:bookmarkEnd w:id="6"/>
      <w:r w:rsidRPr="00C43924">
        <w:t>Employability Skills Information</w:t>
      </w:r>
    </w:p>
    <w:tbl>
      <w:tblPr>
        <w:tblW w:w="0" w:type="auto"/>
        <w:tblLayout w:type="fixed"/>
        <w:tblCellMar>
          <w:left w:w="62" w:type="dxa"/>
          <w:right w:w="62" w:type="dxa"/>
        </w:tblCellMar>
        <w:tblLook w:val="0000"/>
      </w:tblPr>
      <w:tblGrid>
        <w:gridCol w:w="2802"/>
        <w:gridCol w:w="5720"/>
      </w:tblGrid>
      <w:tr w:rsidTr="0063634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BodyText"/>
            </w:pPr>
            <w:r w:rsidRPr="00C43924">
              <w:t xml:space="preserve">This unit contains employability skills.  </w:t>
            </w:r>
          </w:p>
        </w:tc>
      </w:tr>
    </w:tbl>
    <w:p w:rsidR="0063634D" w:rsidP="00C43924">
      <w:pPr>
        <w:pStyle w:val="BodyText"/>
      </w:pPr>
    </w:p>
    <w:p w:rsidR="0063634D" w:rsidP="00C43924">
      <w:pPr>
        <w:pStyle w:val="BodyText"/>
      </w:pPr>
    </w:p>
    <w:p w:rsidR="00000000" w:rsidRPr="00C43924" w:rsidP="00C43924">
      <w:pPr>
        <w:pStyle w:val="Heading1"/>
      </w:pPr>
      <w:bookmarkStart w:id="7" w:name="O_291356"/>
      <w:bookmarkEnd w:id="7"/>
      <w:r w:rsidRPr="00C43924">
        <w:t>Elements and Performance Criteria Pre-Content</w:t>
      </w:r>
    </w:p>
    <w:tbl>
      <w:tblPr>
        <w:tblW w:w="0" w:type="auto"/>
        <w:tblLayout w:type="fixed"/>
        <w:tblCellMar>
          <w:left w:w="62" w:type="dxa"/>
          <w:right w:w="62" w:type="dxa"/>
        </w:tblCellMar>
        <w:tblLook w:val="0000"/>
      </w:tblPr>
      <w:tblGrid>
        <w:gridCol w:w="2555"/>
        <w:gridCol w:w="5967"/>
      </w:tblGrid>
      <w:tr w:rsidTr="0063634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BodyText"/>
            </w:pPr>
            <w:r w:rsidRPr="00C43924">
              <w:t>Performance criteria describe the performance needed to demonstrate achievement o</w:t>
            </w:r>
            <w:r w:rsidRPr="00C43924">
              <w:t>f the element. Where bold italicised text is used, further information is detailed in the required skills and knowledge section and the range statement. Assessment of performance is to be consistent with the evidence guide.</w:t>
            </w:r>
          </w:p>
        </w:tc>
      </w:tr>
    </w:tbl>
    <w:p w:rsidR="00000000" w:rsidRPr="00C43924" w:rsidP="00C43924">
      <w:pPr>
        <w:pStyle w:val="BodyText"/>
      </w:pPr>
    </w:p>
    <w:p w:rsidR="00000000" w:rsidRPr="00C43924" w:rsidP="00C43924">
      <w:pPr>
        <w:pStyle w:val="AllowPageBreak"/>
      </w:pPr>
    </w:p>
    <w:p w:rsidR="00000000" w:rsidRPr="00C43924" w:rsidP="00C43924">
      <w:pPr>
        <w:pStyle w:val="Heading1"/>
      </w:pPr>
      <w:bookmarkStart w:id="8" w:name="O_238024"/>
      <w:bookmarkEnd w:id="8"/>
      <w:r w:rsidRPr="00C43924">
        <w:t xml:space="preserve">Elements and </w:t>
      </w:r>
      <w:r w:rsidRPr="00C43924">
        <w:t>Performance Criteria</w:t>
      </w:r>
    </w:p>
    <w:tbl>
      <w:tblPr>
        <w:tblW w:w="0" w:type="auto"/>
        <w:tblLayout w:type="fixed"/>
        <w:tblCellMar>
          <w:left w:w="62" w:type="dxa"/>
          <w:right w:w="62" w:type="dxa"/>
        </w:tblCellMar>
        <w:tblLook w:val="0000"/>
      </w:tblPr>
      <w:tblGrid>
        <w:gridCol w:w="2555"/>
        <w:gridCol w:w="5967"/>
      </w:tblGrid>
      <w:tr w:rsidTr="0063634D">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BodyText"/>
            </w:pPr>
            <w:r w:rsidRPr="00C43924">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SpecialBold"/>
              </w:rPr>
              <w:t>PERFORMANCE CRITERIA</w:t>
            </w:r>
          </w:p>
        </w:tc>
      </w:tr>
      <w:tr w:rsidTr="0063634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List"/>
              <w:rPr>
                <w:lang w:val="en-NZ"/>
              </w:rPr>
            </w:pPr>
            <w:r w:rsidRPr="00C43924">
              <w:t>1.</w:t>
            </w:r>
            <w:r w:rsidRPr="00C43924">
              <w:tab/>
              <w:t xml:space="preserve">Identify and evaluate </w:t>
            </w:r>
            <w:r w:rsidRPr="00C43924">
              <w:rPr>
                <w:rStyle w:val="BoldandItalics"/>
              </w:rPr>
              <w:t>business factors</w:t>
            </w:r>
            <w:r w:rsidRPr="00C43924">
              <w:t xml:space="preserve"> impacting on the organisation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List2"/>
            </w:pPr>
            <w:r w:rsidRPr="00C43924">
              <w:t>1.1.</w:t>
            </w:r>
            <w:r w:rsidRPr="00C43924">
              <w:tab/>
            </w:r>
            <w:r w:rsidRPr="00C43924">
              <w:rPr>
                <w:rStyle w:val="BoldandItalics"/>
              </w:rPr>
              <w:t>Information</w:t>
            </w:r>
            <w:r w:rsidRPr="00C43924">
              <w:t xml:space="preserve"> relating to the immediate business </w:t>
            </w:r>
            <w:r w:rsidRPr="00C43924">
              <w:t xml:space="preserve">environment is gathered from key informants, opinion groups or technical experts. </w:t>
            </w:r>
          </w:p>
          <w:p w:rsidR="00000000" w:rsidRPr="00C43924" w:rsidP="00C43924">
            <w:pPr>
              <w:pStyle w:val="List2"/>
            </w:pPr>
            <w:r w:rsidRPr="00C43924">
              <w:t>1.2.</w:t>
            </w:r>
            <w:r w:rsidRPr="00C43924">
              <w:tab/>
            </w:r>
            <w:r w:rsidRPr="00C43924">
              <w:rPr>
                <w:rStyle w:val="BoldandItalics"/>
              </w:rPr>
              <w:t>Evaluation</w:t>
            </w:r>
            <w:r w:rsidRPr="00C43924">
              <w:t xml:space="preserve"> of likely positive and negative impacts on parts or functions of the business is conducted in conjunction with key personnel. </w:t>
            </w:r>
          </w:p>
          <w:p w:rsidR="00000000" w:rsidRPr="00C43924" w:rsidP="00C43924">
            <w:pPr>
              <w:pStyle w:val="List2"/>
            </w:pPr>
            <w:r w:rsidRPr="00C43924">
              <w:t>1.3.</w:t>
            </w:r>
            <w:r w:rsidRPr="00C43924">
              <w:tab/>
              <w:t xml:space="preserve">Evaluation of </w:t>
            </w:r>
            <w:r w:rsidRPr="00C43924">
              <w:rPr>
                <w:rStyle w:val="BoldandItalics"/>
              </w:rPr>
              <w:t>business co</w:t>
            </w:r>
            <w:r w:rsidRPr="00C43924">
              <w:rPr>
                <w:rStyle w:val="BoldandItalics"/>
              </w:rPr>
              <w:t>nditions</w:t>
            </w:r>
            <w:r w:rsidRPr="00C43924">
              <w:t xml:space="preserve"> is timely and consistent with optimum strategic management. </w:t>
            </w:r>
          </w:p>
          <w:p w:rsidR="00000000" w:rsidP="00C43924">
            <w:pPr>
              <w:pStyle w:val="List2"/>
              <w:rPr>
                <w:lang w:val="en-NZ"/>
              </w:rPr>
            </w:pPr>
            <w:r w:rsidRPr="00C43924">
              <w:t>1.4.</w:t>
            </w:r>
            <w:r w:rsidRPr="00C43924">
              <w:tab/>
              <w:t>Capability of the organisation to respond effectively to change is analysed and tested.</w:t>
            </w:r>
          </w:p>
        </w:tc>
      </w:tr>
      <w:tr w:rsidTr="0063634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List"/>
              <w:rPr>
                <w:lang w:val="en-NZ"/>
              </w:rPr>
            </w:pPr>
            <w:r w:rsidRPr="00C43924">
              <w:t>2.</w:t>
            </w:r>
            <w:r w:rsidRPr="00C43924">
              <w:tab/>
              <w:t>Analyse business threats and opportunities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List2"/>
            </w:pPr>
            <w:r w:rsidRPr="00C43924">
              <w:t>2.1.</w:t>
            </w:r>
            <w:r w:rsidRPr="00C43924">
              <w:tab/>
              <w:t>Information regarding factors affecting c</w:t>
            </w:r>
            <w:r w:rsidRPr="00C43924">
              <w:t>urrent or potential operations is gathered.</w:t>
            </w:r>
          </w:p>
          <w:p w:rsidR="00000000" w:rsidRPr="00C43924" w:rsidP="00C43924">
            <w:pPr>
              <w:pStyle w:val="List2"/>
            </w:pPr>
            <w:r w:rsidRPr="00C43924">
              <w:t>2.2.</w:t>
            </w:r>
            <w:r w:rsidRPr="00C43924">
              <w:tab/>
              <w:t>Strengths, weaknesses, opportunities and threats are identified using analytical techniques.</w:t>
            </w:r>
          </w:p>
          <w:p w:rsidR="00000000" w:rsidP="00C43924">
            <w:pPr>
              <w:pStyle w:val="List2"/>
              <w:rPr>
                <w:lang w:val="en-NZ"/>
              </w:rPr>
            </w:pPr>
            <w:r w:rsidRPr="00C43924">
              <w:t>2.3.</w:t>
            </w:r>
            <w:r w:rsidRPr="00C43924">
              <w:tab/>
              <w:t>Remedial action or contingency plans are developed to provide flexibility in response to risks, obstacles and</w:t>
            </w:r>
            <w:r w:rsidRPr="00C43924">
              <w:t>/or opportunities.</w:t>
            </w:r>
          </w:p>
        </w:tc>
      </w:tr>
      <w:tr w:rsidTr="0063634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List"/>
              <w:rPr>
                <w:lang w:val="en-NZ"/>
              </w:rPr>
            </w:pPr>
            <w:r w:rsidRPr="00C43924">
              <w:t>3.</w:t>
            </w:r>
            <w:r w:rsidRPr="00C43924">
              <w:tab/>
              <w:t>Monitor and report on issues and trends affecting the business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List2"/>
            </w:pPr>
            <w:r w:rsidRPr="00C43924">
              <w:t>3.1.</w:t>
            </w:r>
            <w:r w:rsidRPr="00C43924">
              <w:tab/>
              <w:t>Trends and/or developments are monitored in a manner which meets enterprise response capability.</w:t>
            </w:r>
          </w:p>
          <w:p w:rsidR="00000000" w:rsidRPr="00C43924" w:rsidP="00C43924">
            <w:pPr>
              <w:pStyle w:val="List2"/>
            </w:pPr>
            <w:r w:rsidRPr="00C43924">
              <w:t>3.2.</w:t>
            </w:r>
            <w:r w:rsidRPr="00C43924">
              <w:tab/>
            </w:r>
            <w:r w:rsidRPr="00C43924">
              <w:t>Recording and reporting of information is timely and supports internal decision making processes.</w:t>
            </w:r>
          </w:p>
        </w:tc>
      </w:tr>
    </w:tbl>
    <w:p w:rsidR="0063634D" w:rsidP="00C43924">
      <w:pPr>
        <w:pStyle w:val="BodyText"/>
      </w:pPr>
    </w:p>
    <w:p w:rsidR="0063634D" w:rsidP="00C43924">
      <w:pPr>
        <w:pStyle w:val="BodyText"/>
      </w:pPr>
    </w:p>
    <w:p w:rsidR="00000000" w:rsidRPr="00C43924" w:rsidP="00C43924">
      <w:pPr>
        <w:pStyle w:val="Heading1"/>
      </w:pPr>
      <w:bookmarkStart w:id="9" w:name="O_261815"/>
      <w:bookmarkEnd w:id="9"/>
      <w:r w:rsidRPr="00C43924">
        <w:t>Required Skills and Knowledge</w:t>
      </w:r>
    </w:p>
    <w:tbl>
      <w:tblPr>
        <w:tblW w:w="0" w:type="auto"/>
        <w:tblLayout w:type="fixed"/>
        <w:tblCellMar>
          <w:left w:w="62" w:type="dxa"/>
          <w:right w:w="62" w:type="dxa"/>
        </w:tblCellMar>
        <w:tblLook w:val="0000"/>
      </w:tblPr>
      <w:tblGrid>
        <w:gridCol w:w="8522"/>
      </w:tblGrid>
      <w:tr w:rsidTr="0063634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SpecialBold"/>
              </w:rPr>
              <w:t>REQUIRED SKILLS AND KNOWLEDGE</w:t>
            </w:r>
          </w:p>
        </w:tc>
      </w:tr>
      <w:tr w:rsidTr="006363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t>This section describes the skills and knowledge required for this unit.</w:t>
            </w:r>
          </w:p>
        </w:tc>
      </w:tr>
      <w:tr w:rsidTr="006363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SpecialBold"/>
              </w:rPr>
              <w:t>Required skills</w:t>
            </w:r>
          </w:p>
        </w:tc>
      </w:tr>
      <w:tr w:rsidTr="006363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ListBullet"/>
            </w:pPr>
            <w:r w:rsidRPr="00C43924">
              <w:t>communication verbally with work teams and colleagues</w:t>
            </w:r>
          </w:p>
          <w:p w:rsidR="00000000" w:rsidRPr="00C43924" w:rsidP="00C43924">
            <w:pPr>
              <w:pStyle w:val="ListBullet"/>
            </w:pPr>
            <w:r w:rsidRPr="00C43924">
              <w:t>consulting with external stakeholders</w:t>
            </w:r>
          </w:p>
          <w:p w:rsidR="00000000" w:rsidRPr="00C43924" w:rsidP="00C43924">
            <w:pPr>
              <w:pStyle w:val="ListBullet"/>
            </w:pPr>
            <w:r w:rsidRPr="00C43924">
              <w:t>implementing strategies</w:t>
            </w:r>
          </w:p>
          <w:p w:rsidR="00000000" w:rsidRPr="00C43924" w:rsidP="00C43924">
            <w:pPr>
              <w:pStyle w:val="ListBullet"/>
            </w:pPr>
            <w:r w:rsidRPr="00C43924">
              <w:t>interpreting regulations</w:t>
            </w:r>
          </w:p>
          <w:p w:rsidR="00000000" w:rsidRPr="00C43924" w:rsidP="00C43924">
            <w:pPr>
              <w:pStyle w:val="ListBullet"/>
            </w:pPr>
            <w:r w:rsidRPr="00C43924">
              <w:t xml:space="preserve">maintaining awareness of </w:t>
            </w:r>
            <w:r w:rsidRPr="00C43924">
              <w:t>business issues</w:t>
            </w:r>
          </w:p>
          <w:p w:rsidR="00000000" w:rsidRPr="00C43924" w:rsidP="00C43924">
            <w:pPr>
              <w:pStyle w:val="ListBullet"/>
            </w:pPr>
            <w:r w:rsidRPr="00C43924">
              <w:t>managing change</w:t>
            </w:r>
          </w:p>
          <w:p w:rsidR="00000000" w:rsidRPr="00C43924" w:rsidP="00C43924">
            <w:pPr>
              <w:pStyle w:val="ListBullet"/>
            </w:pPr>
            <w:r w:rsidRPr="00C43924">
              <w:t>managing staff</w:t>
            </w:r>
          </w:p>
          <w:p w:rsidR="00000000" w:rsidRPr="00C43924" w:rsidP="00C43924">
            <w:pPr>
              <w:pStyle w:val="ListBullet"/>
            </w:pPr>
            <w:r w:rsidRPr="00C43924">
              <w:t>strategic and organisational planning.</w:t>
            </w:r>
          </w:p>
          <w:p w:rsidR="00000000" w:rsidRPr="00C43924" w:rsidP="00C43924">
            <w:pPr>
              <w:pStyle w:val="BodyText"/>
            </w:pPr>
          </w:p>
          <w:p w:rsidR="00000000" w:rsidRPr="00C43924" w:rsidP="00C43924">
            <w:pPr>
              <w:pStyle w:val="BodyText"/>
            </w:pPr>
            <w:r w:rsidRPr="00C43924">
              <w:rPr>
                <w:rStyle w:val="SpecialBold"/>
              </w:rPr>
              <w:t>Literacy skills used for</w:t>
            </w:r>
            <w:r w:rsidRPr="00C43924">
              <w:t>:</w:t>
            </w:r>
          </w:p>
          <w:p w:rsidR="00000000" w:rsidRPr="00C43924" w:rsidP="00C43924">
            <w:pPr>
              <w:pStyle w:val="ListBullet"/>
            </w:pPr>
            <w:r w:rsidRPr="00C43924">
              <w:t>compiling complex forms</w:t>
            </w:r>
          </w:p>
          <w:p w:rsidR="00000000" w:rsidRPr="00C43924" w:rsidP="00C43924">
            <w:pPr>
              <w:pStyle w:val="ListBullet"/>
            </w:pPr>
            <w:r w:rsidRPr="00C43924">
              <w:t>reading and interpreting complex documents</w:t>
            </w:r>
          </w:p>
          <w:p w:rsidR="00000000" w:rsidRPr="00C43924" w:rsidP="00C43924">
            <w:pPr>
              <w:pStyle w:val="ListBullet"/>
            </w:pPr>
            <w:r w:rsidRPr="00C43924">
              <w:t>writing and reading detailed correspondence.</w:t>
            </w:r>
          </w:p>
          <w:p w:rsidR="00000000" w:rsidRPr="00C43924" w:rsidP="00C43924">
            <w:pPr>
              <w:pStyle w:val="BodyText"/>
            </w:pPr>
          </w:p>
          <w:p w:rsidR="00000000" w:rsidRPr="00C43924" w:rsidP="00C43924">
            <w:pPr>
              <w:pStyle w:val="BodyText"/>
            </w:pPr>
            <w:r w:rsidRPr="00C43924">
              <w:rPr>
                <w:rStyle w:val="SpecialBold"/>
              </w:rPr>
              <w:t>Numeracy skills used for</w:t>
            </w:r>
            <w:r w:rsidRPr="00C43924">
              <w:t xml:space="preserve">: </w:t>
            </w:r>
          </w:p>
          <w:p w:rsidR="00000000" w:rsidRPr="00C43924" w:rsidP="00C43924">
            <w:pPr>
              <w:pStyle w:val="ListBullet"/>
            </w:pPr>
            <w:r w:rsidRPr="00C43924">
              <w:t>calculating foreign exchange rates</w:t>
            </w:r>
          </w:p>
          <w:p w:rsidR="00000000" w:rsidRPr="00C43924" w:rsidP="00C43924">
            <w:pPr>
              <w:pStyle w:val="ListBullet"/>
            </w:pPr>
            <w:r w:rsidRPr="00C43924">
              <w:t>calculating percentages and averages</w:t>
            </w:r>
          </w:p>
          <w:p w:rsidR="00000000" w:rsidRPr="00C43924" w:rsidP="00C43924">
            <w:pPr>
              <w:pStyle w:val="ListBullet"/>
            </w:pPr>
            <w:r w:rsidRPr="00C43924">
              <w:t>establishing pricing data</w:t>
            </w:r>
          </w:p>
          <w:p w:rsidR="00000000" w:rsidRPr="00C43924" w:rsidP="00C43924">
            <w:pPr>
              <w:pStyle w:val="ListBullet"/>
            </w:pPr>
            <w:r w:rsidRPr="00C43924">
              <w:t>estimating margins and mark-up</w:t>
            </w:r>
          </w:p>
          <w:p w:rsidR="00000000" w:rsidRPr="00C43924" w:rsidP="00C43924">
            <w:pPr>
              <w:pStyle w:val="ListBullet"/>
            </w:pPr>
            <w:r w:rsidRPr="00C43924">
              <w:t>preparing detailed reports</w:t>
            </w:r>
          </w:p>
          <w:p w:rsidR="00000000" w:rsidP="00C43924">
            <w:pPr>
              <w:pStyle w:val="ListBullet"/>
              <w:rPr>
                <w:lang w:val="en-NZ"/>
              </w:rPr>
            </w:pPr>
            <w:r w:rsidRPr="00C43924">
              <w:t>reading and analysing complex financial data.</w:t>
            </w:r>
          </w:p>
        </w:tc>
      </w:tr>
      <w:tr w:rsidTr="006363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SpecialBold"/>
              </w:rPr>
              <w:t>Required knowledge</w:t>
            </w:r>
          </w:p>
        </w:tc>
      </w:tr>
      <w:tr w:rsidTr="006363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ListBullet"/>
            </w:pPr>
            <w:r w:rsidRPr="00C43924">
              <w:t>business environment, including:</w:t>
            </w:r>
          </w:p>
          <w:p w:rsidR="00000000" w:rsidRPr="00C43924" w:rsidP="00C43924">
            <w:pPr>
              <w:pStyle w:val="ListBullet2"/>
            </w:pPr>
            <w:r w:rsidRPr="00C43924">
              <w:t>consultative processes</w:t>
            </w:r>
          </w:p>
          <w:p w:rsidR="00000000" w:rsidRPr="00C43924" w:rsidP="00C43924">
            <w:pPr>
              <w:pStyle w:val="ListBullet2"/>
            </w:pPr>
            <w:r w:rsidRPr="00C43924">
              <w:t>continuous improvement systems</w:t>
            </w:r>
          </w:p>
          <w:p w:rsidR="00000000" w:rsidRPr="00C43924" w:rsidP="00C43924">
            <w:pPr>
              <w:pStyle w:val="ListBullet2"/>
            </w:pPr>
            <w:r w:rsidRPr="00C43924">
              <w:t>environmental management requirements</w:t>
            </w:r>
          </w:p>
          <w:p w:rsidR="00000000" w:rsidRPr="00C43924" w:rsidP="00C43924">
            <w:pPr>
              <w:pStyle w:val="ListBullet2"/>
            </w:pPr>
            <w:r w:rsidRPr="00C43924">
              <w:t>food safety standards</w:t>
            </w:r>
          </w:p>
          <w:p w:rsidR="00000000" w:rsidRPr="00C43924" w:rsidP="00C43924">
            <w:pPr>
              <w:pStyle w:val="ListBullet2"/>
            </w:pPr>
            <w:r w:rsidRPr="00C43924">
              <w:t>government policy</w:t>
            </w:r>
          </w:p>
          <w:p w:rsidR="00000000" w:rsidRPr="00C43924" w:rsidP="00C43924">
            <w:pPr>
              <w:pStyle w:val="ListBullet2"/>
            </w:pPr>
            <w:r w:rsidRPr="00C43924">
              <w:t>industry and international standards</w:t>
            </w:r>
          </w:p>
          <w:p w:rsidR="00000000" w:rsidRPr="00C43924" w:rsidP="00C43924">
            <w:pPr>
              <w:pStyle w:val="ListBullet2"/>
            </w:pPr>
            <w:r w:rsidRPr="00C43924">
              <w:t>labour management</w:t>
            </w:r>
          </w:p>
          <w:p w:rsidR="00000000" w:rsidRPr="00C43924" w:rsidP="00C43924">
            <w:pPr>
              <w:pStyle w:val="ListBullet2"/>
            </w:pPr>
            <w:r w:rsidRPr="00C43924">
              <w:t>occupational health and safety (OHS) requirements</w:t>
            </w:r>
          </w:p>
          <w:p w:rsidR="00000000" w:rsidRPr="00C43924" w:rsidP="00C43924">
            <w:pPr>
              <w:pStyle w:val="ListBullet"/>
            </w:pPr>
            <w:r w:rsidRPr="00C43924">
              <w:t>market forces, inc</w:t>
            </w:r>
            <w:r w:rsidRPr="00C43924">
              <w:t>luding:</w:t>
            </w:r>
          </w:p>
          <w:p w:rsidR="00000000" w:rsidRPr="00C43924" w:rsidP="00C43924">
            <w:pPr>
              <w:pStyle w:val="ListBullet2"/>
            </w:pPr>
            <w:r w:rsidRPr="00C43924">
              <w:t>consumer trends</w:t>
            </w:r>
          </w:p>
          <w:p w:rsidR="00000000" w:rsidRPr="00C43924" w:rsidP="00C43924">
            <w:pPr>
              <w:pStyle w:val="ListBullet2"/>
            </w:pPr>
            <w:r w:rsidRPr="00C43924">
              <w:t>export and import requirements</w:t>
            </w:r>
          </w:p>
          <w:p w:rsidR="00000000" w:rsidRPr="00C43924" w:rsidP="00C43924">
            <w:pPr>
              <w:pStyle w:val="ListBullet2"/>
            </w:pPr>
            <w:r w:rsidRPr="00C43924">
              <w:t>product evaluation</w:t>
            </w:r>
          </w:p>
          <w:p w:rsidR="00000000" w:rsidRPr="00C43924" w:rsidP="00C43924">
            <w:pPr>
              <w:pStyle w:val="ListBullet2"/>
            </w:pPr>
            <w:r w:rsidRPr="00C43924">
              <w:t>quality systems</w:t>
            </w:r>
          </w:p>
          <w:p w:rsidR="00000000" w:rsidRPr="00C43924" w:rsidP="00C43924">
            <w:pPr>
              <w:pStyle w:val="ListBullet2"/>
            </w:pPr>
            <w:r w:rsidRPr="00C43924">
              <w:t>threats and opportunities</w:t>
            </w:r>
          </w:p>
          <w:p w:rsidR="00000000" w:rsidRPr="00C43924" w:rsidP="00C43924">
            <w:pPr>
              <w:pStyle w:val="ListBullet"/>
            </w:pPr>
            <w:r w:rsidRPr="00C43924">
              <w:t>principles relating to business operation, including:</w:t>
            </w:r>
          </w:p>
          <w:p w:rsidR="00000000" w:rsidRPr="00C43924" w:rsidP="00C43924">
            <w:pPr>
              <w:pStyle w:val="ListBullet2"/>
            </w:pPr>
            <w:r w:rsidRPr="00C43924">
              <w:t>human resources management</w:t>
            </w:r>
          </w:p>
          <w:p w:rsidR="00000000" w:rsidRPr="00C43924" w:rsidP="00C43924">
            <w:pPr>
              <w:pStyle w:val="ListBullet2"/>
            </w:pPr>
            <w:r w:rsidRPr="00C43924">
              <w:t>physical resource management</w:t>
            </w:r>
          </w:p>
          <w:p w:rsidR="00000000" w:rsidRPr="00C43924" w:rsidP="00C43924">
            <w:pPr>
              <w:pStyle w:val="ListBullet2"/>
            </w:pPr>
            <w:r w:rsidRPr="00C43924">
              <w:t>strategic and business plann</w:t>
            </w:r>
            <w:r w:rsidRPr="00C43924">
              <w:t>ing.</w:t>
            </w:r>
          </w:p>
        </w:tc>
      </w:tr>
    </w:tbl>
    <w:p w:rsidR="0063634D" w:rsidP="00C43924">
      <w:pPr>
        <w:pStyle w:val="BodyText"/>
      </w:pPr>
    </w:p>
    <w:p w:rsidR="0063634D" w:rsidP="00C43924">
      <w:pPr>
        <w:pStyle w:val="BodyText"/>
      </w:pPr>
    </w:p>
    <w:p w:rsidR="00000000" w:rsidRPr="00C43924" w:rsidP="00C43924">
      <w:pPr>
        <w:pStyle w:val="AllowPageBreak"/>
      </w:pPr>
    </w:p>
    <w:p w:rsidR="00000000" w:rsidRPr="00C43924" w:rsidP="00C43924">
      <w:pPr>
        <w:pStyle w:val="Heading1"/>
      </w:pPr>
      <w:bookmarkStart w:id="10" w:name="O_246008"/>
      <w:bookmarkEnd w:id="10"/>
      <w:r w:rsidRPr="00C43924">
        <w:t>Evidence Guide</w:t>
      </w:r>
    </w:p>
    <w:tbl>
      <w:tblPr>
        <w:tblW w:w="9570" w:type="dxa"/>
        <w:tblLayout w:type="fixed"/>
        <w:tblCellMar>
          <w:left w:w="62" w:type="dxa"/>
          <w:right w:w="62" w:type="dxa"/>
        </w:tblCellMar>
        <w:tblLook w:val="0000"/>
      </w:tblPr>
      <w:tblGrid>
        <w:gridCol w:w="3908"/>
        <w:gridCol w:w="5662"/>
      </w:tblGrid>
      <w:tr w:rsidTr="0063634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SpecialBold"/>
              </w:rPr>
              <w:t>EVIDENCE GUIDE</w:t>
            </w:r>
          </w:p>
        </w:tc>
      </w:tr>
      <w:tr w:rsidTr="0063634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t>The evidence guide provides advice on assessment and must be read in conjunction with the performance criteria, required skills and knowledge, range statement and th</w:t>
            </w:r>
            <w:r w:rsidRPr="00C43924">
              <w:t>e Assessment Guidelines for the Training Package.</w:t>
            </w:r>
          </w:p>
        </w:tc>
      </w:tr>
      <w:tr w:rsidTr="006363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p>
        </w:tc>
      </w:tr>
      <w:tr w:rsidTr="006363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BodyText"/>
            </w:pPr>
            <w:r w:rsidRPr="00C43924">
              <w:t>Assessment must confirm the ability to:</w:t>
            </w:r>
          </w:p>
          <w:p w:rsidR="00000000" w:rsidRPr="00C43924" w:rsidP="00C43924">
            <w:pPr>
              <w:pStyle w:val="ListBullet"/>
            </w:pPr>
            <w:r w:rsidRPr="00C43924">
              <w:t>perform tasks necessary to ensure that all factors relevant to the successful operation of the business are regularly monitored to identify those which might present threats or opportunities and that strategies are developed to address them in a timely man</w:t>
            </w:r>
            <w:r w:rsidRPr="00C43924">
              <w:t>ner.</w:t>
            </w:r>
          </w:p>
          <w:p w:rsidR="00000000" w:rsidRPr="00C43924" w:rsidP="00C43924">
            <w:pPr>
              <w:pStyle w:val="BodyText"/>
            </w:pPr>
          </w:p>
          <w:p w:rsidR="00000000" w:rsidRPr="00C43924" w:rsidP="00C43924">
            <w:pPr>
              <w:pStyle w:val="BodyText"/>
            </w:pPr>
            <w:r w:rsidRPr="00C43924">
              <w:t>Assessment must confirm knowledge of:</w:t>
            </w:r>
          </w:p>
          <w:p w:rsidR="00000000" w:rsidRPr="00C43924" w:rsidP="00C43924">
            <w:pPr>
              <w:pStyle w:val="ListBullet"/>
            </w:pPr>
            <w:r w:rsidRPr="00C43924">
              <w:t>acquisition and use of information</w:t>
            </w:r>
          </w:p>
          <w:p w:rsidR="00000000" w:rsidRPr="00C43924" w:rsidP="00C43924">
            <w:pPr>
              <w:pStyle w:val="ListBullet"/>
            </w:pPr>
            <w:r w:rsidRPr="00C43924">
              <w:t>consultative processes both internal to the enterprise and external</w:t>
            </w:r>
          </w:p>
          <w:p w:rsidR="00000000" w:rsidRPr="00C43924" w:rsidP="00C43924">
            <w:pPr>
              <w:pStyle w:val="ListBullet"/>
            </w:pPr>
            <w:r w:rsidRPr="00C43924">
              <w:t>current and emerging trends in the business environment and the likely positive or negative effects</w:t>
            </w:r>
          </w:p>
          <w:p w:rsidR="00000000" w:rsidRPr="00C43924" w:rsidP="00C43924">
            <w:pPr>
              <w:pStyle w:val="ListBullet"/>
            </w:pPr>
            <w:r w:rsidRPr="00C43924">
              <w:t>informati</w:t>
            </w:r>
            <w:r w:rsidRPr="00C43924">
              <w:t>on gathering systems</w:t>
            </w:r>
          </w:p>
          <w:p w:rsidR="00000000" w:rsidRPr="00C43924" w:rsidP="00C43924">
            <w:pPr>
              <w:pStyle w:val="ListBullet"/>
            </w:pPr>
            <w:r w:rsidRPr="00C43924">
              <w:t>legislation, codes and national standards relevant to the enterprise</w:t>
            </w:r>
          </w:p>
          <w:p w:rsidR="00000000" w:rsidRPr="00C43924" w:rsidP="00C43924">
            <w:pPr>
              <w:pStyle w:val="ListBullet"/>
            </w:pPr>
            <w:r w:rsidRPr="00C43924">
              <w:t>management principles to achieve change, goals and results</w:t>
            </w:r>
          </w:p>
          <w:p w:rsidR="00000000" w:rsidRPr="00C43924" w:rsidP="00C43924">
            <w:pPr>
              <w:pStyle w:val="ListBullet"/>
            </w:pPr>
            <w:r w:rsidRPr="00C43924">
              <w:t>organisational planning methods</w:t>
            </w:r>
          </w:p>
          <w:p w:rsidR="00000000" w:rsidRPr="00C43924" w:rsidP="00C43924">
            <w:pPr>
              <w:pStyle w:val="ListBullet"/>
            </w:pPr>
            <w:r w:rsidRPr="00C43924">
              <w:t>product evaluation methods</w:t>
            </w:r>
          </w:p>
          <w:p w:rsidR="00000000" w:rsidP="00C43924">
            <w:pPr>
              <w:pStyle w:val="ListBullet"/>
              <w:rPr>
                <w:lang w:val="en-NZ"/>
              </w:rPr>
            </w:pPr>
            <w:r w:rsidRPr="00C43924">
              <w:t>quality and continuous improvement processes and</w:t>
            </w:r>
            <w:r w:rsidRPr="00C43924">
              <w:t xml:space="preserve"> standards.</w:t>
            </w:r>
          </w:p>
        </w:tc>
      </w:tr>
      <w:tr w:rsidTr="006363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BodyText"/>
            </w:pPr>
            <w:r w:rsidRPr="00C43924">
              <w:t>Assessment may be conducted in the workplace or in a simulated work environment.</w:t>
            </w:r>
          </w:p>
          <w:p w:rsidR="00000000" w:rsidRPr="00C43924" w:rsidP="00C43924">
            <w:pPr>
              <w:pStyle w:val="BodyText"/>
            </w:pPr>
          </w:p>
          <w:p w:rsidR="00000000" w:rsidRPr="00C43924" w:rsidP="00C43924">
            <w:pPr>
              <w:pStyle w:val="BodyText"/>
            </w:pPr>
            <w:r w:rsidRPr="00C43924">
              <w:t>Resources may include:</w:t>
            </w:r>
          </w:p>
          <w:p w:rsidR="00000000" w:rsidRPr="00C43924" w:rsidP="00C43924">
            <w:pPr>
              <w:pStyle w:val="ListBullet"/>
            </w:pPr>
            <w:r w:rsidRPr="00C43924">
              <w:t>access to the candidate's peers and/or managers</w:t>
            </w:r>
          </w:p>
          <w:p w:rsidR="00000000" w:rsidRPr="00C43924" w:rsidP="00C43924">
            <w:pPr>
              <w:pStyle w:val="ListBullet"/>
            </w:pPr>
            <w:r w:rsidRPr="00C43924">
              <w:t>copies of reports or analyses developed by the candidate</w:t>
            </w:r>
          </w:p>
          <w:p w:rsidR="00000000" w:rsidRPr="00C43924" w:rsidP="00C43924">
            <w:pPr>
              <w:pStyle w:val="ListBullet"/>
            </w:pPr>
            <w:r w:rsidRPr="00C43924">
              <w:t>historical information relating to the enterprise</w:t>
            </w:r>
          </w:p>
          <w:p w:rsidR="00000000" w:rsidP="00C43924">
            <w:pPr>
              <w:pStyle w:val="ListBullet"/>
              <w:rPr>
                <w:lang w:val="en-NZ"/>
              </w:rPr>
            </w:pPr>
            <w:r w:rsidRPr="00C43924">
              <w:t>legislation, codes and/or regulations impacting on the enterprise.</w:t>
            </w:r>
          </w:p>
        </w:tc>
      </w:tr>
      <w:tr w:rsidTr="006363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BodyText"/>
            </w:pPr>
            <w:r w:rsidRPr="00C43924">
              <w:t xml:space="preserve">The following assessment methods are suggested: </w:t>
            </w:r>
          </w:p>
          <w:p w:rsidR="00000000" w:rsidRPr="00C43924" w:rsidP="00C43924">
            <w:pPr>
              <w:pStyle w:val="ListBullet"/>
            </w:pPr>
            <w:r w:rsidRPr="00C43924">
              <w:t>case studie</w:t>
            </w:r>
            <w:r w:rsidRPr="00C43924">
              <w:t>s</w:t>
            </w:r>
          </w:p>
          <w:p w:rsidR="00000000" w:rsidRPr="00C43924" w:rsidP="00C43924">
            <w:pPr>
              <w:pStyle w:val="ListBullet"/>
            </w:pPr>
            <w:r w:rsidRPr="00C43924">
              <w:t xml:space="preserve">demonstration in the workplace </w:t>
            </w:r>
          </w:p>
          <w:p w:rsidR="00000000" w:rsidP="00C43924">
            <w:pPr>
              <w:pStyle w:val="ListBullet"/>
              <w:rPr>
                <w:lang w:val="en-NZ"/>
              </w:rPr>
            </w:pPr>
            <w:r w:rsidRPr="00C43924">
              <w:t xml:space="preserve">third-party reports. </w:t>
            </w:r>
          </w:p>
        </w:tc>
      </w:tr>
      <w:tr w:rsidTr="006363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BodyText"/>
            </w:pPr>
            <w:r w:rsidRPr="00C43924">
              <w:t>This unit may be assessed holistically with other units within a qualification.</w:t>
            </w:r>
          </w:p>
        </w:tc>
      </w:tr>
    </w:tbl>
    <w:p w:rsidR="0063634D" w:rsidP="00C43924">
      <w:pPr>
        <w:pStyle w:val="BodyText"/>
      </w:pPr>
    </w:p>
    <w:p w:rsidR="0063634D" w:rsidP="00C43924">
      <w:pPr>
        <w:pStyle w:val="BodyText"/>
      </w:pPr>
    </w:p>
    <w:p w:rsidR="00000000" w:rsidRPr="00C43924" w:rsidP="00C43924">
      <w:pPr>
        <w:pStyle w:val="Heading1"/>
      </w:pPr>
      <w:bookmarkStart w:id="11" w:name="O_253991"/>
      <w:bookmarkEnd w:id="11"/>
      <w:r w:rsidRPr="00C43924">
        <w:t>Range Statement</w:t>
      </w:r>
    </w:p>
    <w:tbl>
      <w:tblPr>
        <w:tblW w:w="0" w:type="auto"/>
        <w:tblLayout w:type="fixed"/>
        <w:tblCellMar>
          <w:left w:w="62" w:type="dxa"/>
          <w:right w:w="62" w:type="dxa"/>
        </w:tblCellMar>
        <w:tblLook w:val="0000"/>
      </w:tblPr>
      <w:tblGrid>
        <w:gridCol w:w="3440"/>
        <w:gridCol w:w="5082"/>
      </w:tblGrid>
      <w:tr w:rsidTr="0063634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SpecialBold"/>
              </w:rPr>
              <w:t>RANGE STATEMENT</w:t>
            </w:r>
          </w:p>
        </w:tc>
      </w:tr>
      <w:tr w:rsidTr="006363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t>The range statement relates to the unit of competency as a whole. It allows for different work environments and situations that may affect performance. Bold italicised wording, if used in the performance criteria, is detailed below. Essential operating con</w:t>
            </w:r>
            <w:r w:rsidRPr="00C43924">
              <w:t>ditions that may be present with training and assessment (depending on the work situation, needs of the candidate, accessibility of the item, and local industry and regional contexts) may also be included.</w:t>
            </w:r>
          </w:p>
        </w:tc>
      </w:tr>
      <w:tr w:rsidTr="0063634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BoldandItalics"/>
              </w:rPr>
              <w:t>Relevant government regulations</w:t>
            </w:r>
            <w:r w:rsidRPr="00C43924">
              <w:t xml:space="preserve">, </w:t>
            </w:r>
            <w:r w:rsidRPr="00C43924">
              <w:rPr>
                <w:rStyle w:val="BoldandItalics"/>
              </w:rPr>
              <w:t>licensing and other compliance requirements</w:t>
            </w:r>
            <w:r w:rsidRPr="00C43924">
              <w:t xml:space="preserve"> may include: </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ListBullet"/>
            </w:pPr>
            <w:r w:rsidRPr="00C43924">
              <w:t>business or workplace operations, policies and practices:</w:t>
            </w:r>
          </w:p>
          <w:p w:rsidR="00000000" w:rsidRPr="00C43924" w:rsidP="00C43924">
            <w:pPr>
              <w:pStyle w:val="ListBullet2"/>
            </w:pPr>
            <w:r w:rsidRPr="00C43924">
              <w:t xml:space="preserve">commercial law, including fair trading and trade practices </w:t>
            </w:r>
          </w:p>
          <w:p w:rsidR="00000000" w:rsidRPr="00C43924" w:rsidP="00C43924">
            <w:pPr>
              <w:pStyle w:val="ListBullet2"/>
            </w:pPr>
            <w:r w:rsidRPr="00C43924">
              <w:t>consumer law</w:t>
            </w:r>
          </w:p>
          <w:p w:rsidR="00000000" w:rsidRPr="00C43924" w:rsidP="00C43924">
            <w:pPr>
              <w:pStyle w:val="ListBullet2"/>
            </w:pPr>
            <w:r w:rsidRPr="00C43924">
              <w:t xml:space="preserve">corporate law, including registration, licensing and financial reporting </w:t>
            </w:r>
          </w:p>
          <w:p w:rsidR="00000000" w:rsidRPr="00C43924" w:rsidP="00C43924">
            <w:pPr>
              <w:pStyle w:val="ListBullet2"/>
            </w:pPr>
            <w:r w:rsidRPr="00C43924">
              <w:t>disability policies and practices</w:t>
            </w:r>
          </w:p>
          <w:p w:rsidR="00000000" w:rsidRPr="00C43924" w:rsidP="00C43924">
            <w:pPr>
              <w:pStyle w:val="ListBullet2"/>
            </w:pPr>
            <w:r w:rsidRPr="00C43924">
              <w:t xml:space="preserve">equal opportunity, anti-discrimination and sexual harassment </w:t>
            </w:r>
          </w:p>
          <w:p w:rsidR="00000000" w:rsidRPr="00C43924" w:rsidP="00C43924">
            <w:pPr>
              <w:pStyle w:val="ListBullet2"/>
            </w:pPr>
            <w:r w:rsidRPr="00C43924">
              <w:t>industrial relations and awards, individual employment contracts and share of catch ag</w:t>
            </w:r>
            <w:r w:rsidRPr="00C43924">
              <w:t>reements</w:t>
            </w:r>
          </w:p>
          <w:p w:rsidR="00000000" w:rsidRPr="00C43924" w:rsidP="00C43924">
            <w:pPr>
              <w:pStyle w:val="ListBullet2"/>
            </w:pPr>
            <w:r w:rsidRPr="00C43924">
              <w:t>jurisdictional variations</w:t>
            </w:r>
          </w:p>
          <w:p w:rsidR="00000000" w:rsidRPr="00C43924" w:rsidP="00C43924">
            <w:pPr>
              <w:pStyle w:val="ListBullet2"/>
            </w:pPr>
            <w:r w:rsidRPr="00C43924">
              <w:t>superannuation</w:t>
            </w:r>
          </w:p>
          <w:p w:rsidR="00000000" w:rsidRPr="00C43924" w:rsidP="00C43924">
            <w:pPr>
              <w:pStyle w:val="ListBullet2"/>
            </w:pPr>
            <w:r w:rsidRPr="00C43924">
              <w:t>taxation</w:t>
            </w:r>
          </w:p>
          <w:p w:rsidR="00000000" w:rsidRPr="00C43924" w:rsidP="00C43924">
            <w:pPr>
              <w:pStyle w:val="ListBullet2"/>
            </w:pPr>
            <w:r w:rsidRPr="00C43924">
              <w:t xml:space="preserve">trade practices </w:t>
            </w:r>
          </w:p>
          <w:p w:rsidR="00000000" w:rsidRPr="00C43924" w:rsidP="00C43924">
            <w:pPr>
              <w:pStyle w:val="ListBullet2"/>
            </w:pPr>
            <w:r w:rsidRPr="00C43924">
              <w:t>warnings and dismissals</w:t>
            </w:r>
          </w:p>
          <w:p w:rsidR="00000000" w:rsidRPr="00C43924" w:rsidP="00C43924">
            <w:pPr>
              <w:pStyle w:val="ListBullet2"/>
            </w:pPr>
            <w:r w:rsidRPr="00C43924">
              <w:t>worker's compensation</w:t>
            </w:r>
          </w:p>
          <w:p w:rsidR="00000000" w:rsidRPr="00C43924" w:rsidP="00C43924">
            <w:pPr>
              <w:pStyle w:val="ListBullet"/>
            </w:pPr>
            <w:r w:rsidRPr="00C43924">
              <w:t>ESD principles, environmental hazard identification, risk assessment and control</w:t>
            </w:r>
          </w:p>
          <w:p w:rsidR="00000000" w:rsidRPr="00C43924" w:rsidP="00C43924">
            <w:pPr>
              <w:pStyle w:val="ListBullet"/>
            </w:pPr>
            <w:r w:rsidRPr="00C43924">
              <w:t>fisheries or aquaculture regulations, permits, licenc</w:t>
            </w:r>
            <w:r w:rsidRPr="00C43924">
              <w:t>es, quotas, catch restrictions and other compliance requirements, including:</w:t>
            </w:r>
          </w:p>
          <w:p w:rsidR="00000000" w:rsidRPr="00C43924" w:rsidP="00C43924">
            <w:pPr>
              <w:pStyle w:val="ListBullet2"/>
            </w:pPr>
            <w:r w:rsidRPr="00C43924">
              <w:t>Australian Exclusive Economic Zone</w:t>
            </w:r>
          </w:p>
          <w:p w:rsidR="00000000" w:rsidRPr="00C43924" w:rsidP="00C43924">
            <w:pPr>
              <w:pStyle w:val="ListBullet2"/>
            </w:pPr>
            <w:r w:rsidRPr="00C43924">
              <w:t>international treaties and agreements</w:t>
            </w:r>
          </w:p>
          <w:p w:rsidR="00000000" w:rsidRPr="00C43924" w:rsidP="00C43924">
            <w:pPr>
              <w:pStyle w:val="ListBullet"/>
            </w:pPr>
            <w:r w:rsidRPr="00C43924">
              <w:t xml:space="preserve">food safety, Hazard Analysis Critical Control Point (HACCP), hygiene and temperature control along chain </w:t>
            </w:r>
            <w:r w:rsidRPr="00C43924">
              <w:t>of custody</w:t>
            </w:r>
          </w:p>
          <w:p w:rsidR="00000000" w:rsidRPr="00C43924" w:rsidP="00C43924">
            <w:pPr>
              <w:pStyle w:val="ListBullet"/>
            </w:pPr>
            <w:r w:rsidRPr="00C43924">
              <w:t>imports quarantine and inspection, and importing approved arrangements for Australian Quarantine Inspection Service (AQIS), Australian Customs Service (ACS) and Biosecurity Australia (BA)</w:t>
            </w:r>
          </w:p>
          <w:p w:rsidR="00000000" w:rsidRPr="00C43924" w:rsidP="00C43924">
            <w:pPr>
              <w:pStyle w:val="ListBullet"/>
            </w:pPr>
            <w:r w:rsidRPr="00C43924">
              <w:t>occupational health and safety (OHS) hazard identificatio</w:t>
            </w:r>
            <w:r w:rsidRPr="00C43924">
              <w:t>n, risk assessment and control</w:t>
            </w:r>
          </w:p>
          <w:p w:rsidR="00000000" w:rsidRPr="00C43924" w:rsidP="00C43924">
            <w:pPr>
              <w:pStyle w:val="ListBullet"/>
            </w:pPr>
            <w:r w:rsidRPr="00C43924">
              <w:t>product quality assurance:</w:t>
            </w:r>
          </w:p>
          <w:p w:rsidR="00000000" w:rsidRPr="00C43924" w:rsidP="00C43924">
            <w:pPr>
              <w:pStyle w:val="ListBullet2"/>
            </w:pPr>
            <w:r w:rsidRPr="00C43924">
              <w:t>correct naming and labelling (e.g. country of origin, Australian Fish Names Standard and eco-labelling)</w:t>
            </w:r>
          </w:p>
          <w:p w:rsidR="00000000" w:rsidRPr="00C43924" w:rsidP="00C43924">
            <w:pPr>
              <w:pStyle w:val="ListBullet2"/>
            </w:pPr>
            <w:r w:rsidRPr="00C43924">
              <w:t>correct quantities, sizes and other customer requirements</w:t>
            </w:r>
          </w:p>
          <w:p w:rsidR="00000000" w:rsidP="00C43924">
            <w:pPr>
              <w:pStyle w:val="ListBullet2"/>
              <w:rPr>
                <w:lang w:val="en-NZ"/>
              </w:rPr>
            </w:pPr>
            <w:r w:rsidRPr="00C43924">
              <w:t>third-party certification (e.g. Australian Grown and ISO 14001:2004 Environmental management systems).</w:t>
            </w:r>
          </w:p>
        </w:tc>
      </w:tr>
      <w:tr w:rsidTr="0063634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BoldandItalics"/>
              </w:rPr>
              <w:t>Food safety and hygiene regulations and procedures</w:t>
            </w:r>
            <w:r w:rsidRPr="00C4392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ListBullet"/>
            </w:pPr>
            <w:r w:rsidRPr="00C43924">
              <w:t>Australian Shellfish Sanitation program</w:t>
            </w:r>
          </w:p>
          <w:p w:rsidR="00000000" w:rsidRPr="00C43924" w:rsidP="00C43924">
            <w:pPr>
              <w:pStyle w:val="ListBullet"/>
            </w:pPr>
            <w:r w:rsidRPr="00C43924">
              <w:t>display, packaging and sale of food, including s</w:t>
            </w:r>
            <w:r w:rsidRPr="00C43924">
              <w:t>eafood and aquatic products</w:t>
            </w:r>
          </w:p>
          <w:p w:rsidR="00000000" w:rsidRPr="00C43924" w:rsidP="00C43924">
            <w:pPr>
              <w:pStyle w:val="ListBullet"/>
            </w:pPr>
            <w:r w:rsidRPr="00C43924">
              <w:t xml:space="preserve">equipment design, use, cleaning and maintenance </w:t>
            </w:r>
          </w:p>
          <w:p w:rsidR="00000000" w:rsidRPr="00C43924" w:rsidP="00C43924">
            <w:pPr>
              <w:pStyle w:val="ListBullet"/>
            </w:pPr>
            <w:r w:rsidRPr="00C43924">
              <w:t>exporting requirements, including AQIS Export Control (Fish) orders</w:t>
            </w:r>
          </w:p>
          <w:p w:rsidR="00000000" w:rsidRPr="00C43924" w:rsidP="00C43924">
            <w:pPr>
              <w:pStyle w:val="ListBullet"/>
            </w:pPr>
            <w:r w:rsidRPr="00C43924">
              <w:t>handling and disposal of condemned or recalled seafood products</w:t>
            </w:r>
          </w:p>
          <w:p w:rsidR="00000000" w:rsidRPr="00C43924" w:rsidP="00C43924">
            <w:pPr>
              <w:pStyle w:val="ListBullet"/>
            </w:pPr>
            <w:r w:rsidRPr="00C43924">
              <w:t>HACCP, food safety program and other risk minimisation and quality assurance systems</w:t>
            </w:r>
          </w:p>
          <w:p w:rsidR="00000000" w:rsidRPr="00C43924" w:rsidP="00C43924">
            <w:pPr>
              <w:pStyle w:val="ListBullet"/>
            </w:pPr>
            <w:r w:rsidRPr="00C43924">
              <w:t xml:space="preserve">location, construction and servicing of seafood premises </w:t>
            </w:r>
          </w:p>
          <w:p w:rsidR="00000000" w:rsidRPr="00C43924" w:rsidP="00C43924">
            <w:pPr>
              <w:pStyle w:val="ListBullet"/>
            </w:pPr>
            <w:r w:rsidRPr="00C43924">
              <w:t>people, product and place hygiene and sanitation requirements</w:t>
            </w:r>
          </w:p>
          <w:p w:rsidR="00000000" w:rsidRPr="00C43924" w:rsidP="00C43924">
            <w:pPr>
              <w:pStyle w:val="ListBullet"/>
            </w:pPr>
            <w:r w:rsidRPr="00C43924">
              <w:t>Primary Products Standard and the Australian Seafoo</w:t>
            </w:r>
            <w:r w:rsidRPr="00C43924">
              <w:t xml:space="preserve">d Standard (voluntary) </w:t>
            </w:r>
          </w:p>
          <w:p w:rsidR="00000000" w:rsidRPr="00C43924" w:rsidP="00C43924">
            <w:pPr>
              <w:pStyle w:val="ListBullet"/>
            </w:pPr>
            <w:r w:rsidRPr="00C43924">
              <w:t xml:space="preserve">processing, further processing and preparation of food, including seafood and aquatic products </w:t>
            </w:r>
          </w:p>
          <w:p w:rsidR="00000000" w:rsidRPr="00C43924" w:rsidP="00C43924">
            <w:pPr>
              <w:pStyle w:val="ListBullet"/>
            </w:pPr>
            <w:r w:rsidRPr="00C43924">
              <w:t>product labelling, tracing and recall</w:t>
            </w:r>
          </w:p>
          <w:p w:rsidR="00000000" w:rsidRPr="00C43924" w:rsidP="00C43924">
            <w:pPr>
              <w:pStyle w:val="ListBullet"/>
            </w:pPr>
            <w:r w:rsidRPr="00C43924">
              <w:t>receipt, storage and transportation of food, including seafood and aquatic products</w:t>
            </w:r>
          </w:p>
          <w:p w:rsidR="00000000" w:rsidRPr="00C43924" w:rsidP="00C43924">
            <w:pPr>
              <w:pStyle w:val="ListBullet"/>
            </w:pPr>
            <w:r w:rsidRPr="00C43924">
              <w:t>requirements s</w:t>
            </w:r>
            <w:r w:rsidRPr="00C43924">
              <w:t>et out in Australian and New Zealand Food Authority (ANZFA) Food Standards Code and state and territory food regulations</w:t>
            </w:r>
          </w:p>
          <w:p w:rsidR="00000000" w:rsidP="00C43924">
            <w:pPr>
              <w:pStyle w:val="ListBullet"/>
              <w:rPr>
                <w:lang w:val="en-NZ"/>
              </w:rPr>
            </w:pPr>
            <w:r w:rsidRPr="00C43924">
              <w:t>temperature and contamination control along chain of custody.</w:t>
            </w:r>
          </w:p>
        </w:tc>
      </w:tr>
      <w:tr w:rsidTr="0063634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BoldandItalics"/>
              </w:rPr>
              <w:t>ESD principles</w:t>
            </w:r>
            <w:r w:rsidRPr="00C4392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ListBullet"/>
            </w:pPr>
            <w:r w:rsidRPr="00C43924">
              <w:t xml:space="preserve">controlling the use and recycling of water, </w:t>
            </w:r>
            <w:r w:rsidRPr="00C43924">
              <w:t>and managing water quality and quantity</w:t>
            </w:r>
          </w:p>
          <w:p w:rsidR="00000000" w:rsidRPr="00C43924" w:rsidP="00C43924">
            <w:pPr>
              <w:pStyle w:val="ListBullet"/>
            </w:pPr>
            <w:r w:rsidRPr="00C43924">
              <w:t xml:space="preserve">managing, controlling and treating effluents, chemical residues, contaminants, wastes and pollution </w:t>
            </w:r>
          </w:p>
          <w:p w:rsidR="00000000" w:rsidRPr="00C43924" w:rsidP="00C43924">
            <w:pPr>
              <w:pStyle w:val="ListBullet"/>
            </w:pPr>
            <w:r w:rsidRPr="00C43924">
              <w:t>managing environmental hazard identification, risk assessment and control</w:t>
            </w:r>
          </w:p>
          <w:p w:rsidR="00000000" w:rsidRPr="00C43924" w:rsidP="00C43924">
            <w:pPr>
              <w:pStyle w:val="ListBullet"/>
            </w:pPr>
            <w:r w:rsidRPr="00C43924">
              <w:t>managing imported products quarantine and</w:t>
            </w:r>
            <w:r w:rsidRPr="00C43924">
              <w:t xml:space="preserve"> inspection, facility biosecurity, translocation of livestock and genetic material, and health certification</w:t>
            </w:r>
          </w:p>
          <w:p w:rsidR="00000000" w:rsidRPr="00C43924" w:rsidP="00C43924">
            <w:pPr>
              <w:pStyle w:val="ListBullet"/>
            </w:pPr>
            <w:r w:rsidRPr="00C43924">
              <w:t>minimising noise, dust, light or odour emissions</w:t>
            </w:r>
          </w:p>
          <w:p w:rsidR="00000000" w:rsidRPr="00C43924" w:rsidP="00C43924">
            <w:pPr>
              <w:pStyle w:val="ListBullet"/>
            </w:pPr>
            <w:r w:rsidRPr="00C43924">
              <w:t>preventing genetically modified organisms and live cultured or held organisms from escaping into e</w:t>
            </w:r>
            <w:r w:rsidRPr="00C43924">
              <w:t>nvironment</w:t>
            </w:r>
          </w:p>
          <w:p w:rsidR="00000000" w:rsidP="00C43924">
            <w:pPr>
              <w:pStyle w:val="ListBullet"/>
              <w:rPr>
                <w:lang w:val="en-NZ"/>
              </w:rPr>
            </w:pPr>
            <w:r w:rsidRPr="00C43924">
              <w:t>reducing energy use, introducing alternative energy sources.</w:t>
            </w:r>
          </w:p>
        </w:tc>
      </w:tr>
      <w:tr w:rsidTr="0063634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BoldandItalics"/>
              </w:rPr>
              <w:t>Business factors</w:t>
            </w:r>
            <w:r w:rsidRPr="00C4392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ListBullet"/>
            </w:pPr>
            <w:r w:rsidRPr="00C43924">
              <w:t>enterprise goals, objectives, plans, systems and processes</w:t>
            </w:r>
          </w:p>
          <w:p w:rsidR="00000000" w:rsidRPr="00C43924" w:rsidP="00C43924">
            <w:pPr>
              <w:pStyle w:val="ListBullet"/>
            </w:pPr>
            <w:r w:rsidRPr="00C43924">
              <w:t>government policy</w:t>
            </w:r>
          </w:p>
          <w:p w:rsidR="00000000" w:rsidRPr="00C43924" w:rsidP="00C43924">
            <w:pPr>
              <w:pStyle w:val="ListBullet"/>
            </w:pPr>
            <w:r w:rsidRPr="00C43924">
              <w:t>industry policy</w:t>
            </w:r>
          </w:p>
          <w:p w:rsidR="00000000" w:rsidRPr="00C43924" w:rsidP="00C43924">
            <w:pPr>
              <w:pStyle w:val="ListBullet"/>
            </w:pPr>
            <w:r w:rsidRPr="00C43924">
              <w:t>resources which may require negotiation prior to purchase or release</w:t>
            </w:r>
          </w:p>
          <w:p w:rsidR="00000000" w:rsidP="00C43924">
            <w:pPr>
              <w:pStyle w:val="ListBullet"/>
              <w:rPr>
                <w:lang w:val="en-NZ"/>
              </w:rPr>
            </w:pPr>
            <w:r w:rsidRPr="00C43924">
              <w:t>wider business environment.</w:t>
            </w:r>
          </w:p>
        </w:tc>
      </w:tr>
      <w:tr w:rsidTr="0063634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BoldandItalics"/>
              </w:rPr>
              <w:t>Information</w:t>
            </w:r>
            <w:r w:rsidRPr="00C4392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ListBullet"/>
            </w:pPr>
            <w:r w:rsidRPr="00C43924">
              <w:t>business and performance plans</w:t>
            </w:r>
          </w:p>
          <w:p w:rsidR="00000000" w:rsidRPr="00C43924" w:rsidP="00C43924">
            <w:pPr>
              <w:pStyle w:val="ListBullet"/>
            </w:pPr>
            <w:r w:rsidRPr="00C43924">
              <w:t>database searches</w:t>
            </w:r>
          </w:p>
          <w:p w:rsidR="00000000" w:rsidRPr="00C43924" w:rsidP="00C43924">
            <w:pPr>
              <w:pStyle w:val="ListBullet"/>
            </w:pPr>
            <w:r w:rsidRPr="00C43924">
              <w:t>economic and statistical trends and forecasts</w:t>
            </w:r>
          </w:p>
          <w:p w:rsidR="00000000" w:rsidRPr="00C43924" w:rsidP="00C43924">
            <w:pPr>
              <w:pStyle w:val="ListBullet"/>
            </w:pPr>
            <w:r w:rsidRPr="00C43924">
              <w:t>field intelligence</w:t>
            </w:r>
          </w:p>
          <w:p w:rsidR="00000000" w:rsidRPr="00C43924" w:rsidP="00C43924">
            <w:pPr>
              <w:pStyle w:val="ListBullet"/>
            </w:pPr>
            <w:r w:rsidRPr="00C43924">
              <w:t>market research</w:t>
            </w:r>
          </w:p>
          <w:p w:rsidR="00000000" w:rsidRPr="00C43924" w:rsidP="00C43924">
            <w:pPr>
              <w:pStyle w:val="ListBullet"/>
            </w:pPr>
            <w:r w:rsidRPr="00C43924">
              <w:t>pro</w:t>
            </w:r>
            <w:r w:rsidRPr="00C43924">
              <w:t>duct benchmarking</w:t>
            </w:r>
          </w:p>
          <w:p w:rsidR="00000000" w:rsidP="00C43924">
            <w:pPr>
              <w:pStyle w:val="ListBullet"/>
              <w:rPr>
                <w:lang w:val="en-NZ"/>
              </w:rPr>
            </w:pPr>
            <w:r w:rsidRPr="00C43924">
              <w:t>technical literature.</w:t>
            </w:r>
          </w:p>
        </w:tc>
      </w:tr>
      <w:tr w:rsidTr="0063634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BoldandItalics"/>
              </w:rPr>
              <w:t>Evaluation</w:t>
            </w:r>
            <w:r w:rsidRPr="00C4392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ListBullet"/>
            </w:pPr>
            <w:r w:rsidRPr="00C43924">
              <w:t>authority</w:t>
            </w:r>
          </w:p>
          <w:p w:rsidR="00000000" w:rsidRPr="00C43924" w:rsidP="00C43924">
            <w:pPr>
              <w:pStyle w:val="ListBullet"/>
            </w:pPr>
            <w:r w:rsidRPr="00C43924">
              <w:t>limitations</w:t>
            </w:r>
          </w:p>
          <w:p w:rsidR="00000000" w:rsidP="00C43924">
            <w:pPr>
              <w:pStyle w:val="ListBullet"/>
              <w:rPr>
                <w:lang w:val="en-NZ"/>
              </w:rPr>
            </w:pPr>
            <w:r w:rsidRPr="00C43924">
              <w:t>reliability.</w:t>
            </w:r>
          </w:p>
        </w:tc>
      </w:tr>
      <w:tr w:rsidTr="0063634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BoldandItalics"/>
              </w:rPr>
              <w:t>Business conditions</w:t>
            </w:r>
            <w:r w:rsidRPr="00C43924">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ListBullet"/>
            </w:pPr>
            <w:r w:rsidRPr="00C43924">
              <w:t>community standards</w:t>
            </w:r>
          </w:p>
          <w:p w:rsidR="00000000" w:rsidRPr="00C43924" w:rsidP="00C43924">
            <w:pPr>
              <w:pStyle w:val="ListBullet"/>
            </w:pPr>
            <w:r w:rsidRPr="00C43924">
              <w:t>competition</w:t>
            </w:r>
          </w:p>
          <w:p w:rsidR="00000000" w:rsidRPr="00C43924" w:rsidP="00C43924">
            <w:pPr>
              <w:pStyle w:val="ListBullet"/>
            </w:pPr>
            <w:r w:rsidRPr="00C43924">
              <w:t>ethical standards</w:t>
            </w:r>
          </w:p>
          <w:p w:rsidR="00000000" w:rsidRPr="00C43924" w:rsidP="00C43924">
            <w:pPr>
              <w:pStyle w:val="ListBullet"/>
            </w:pPr>
            <w:r w:rsidRPr="00C43924">
              <w:t>government intervention</w:t>
            </w:r>
          </w:p>
          <w:p w:rsidR="00000000" w:rsidRPr="00C43924" w:rsidP="00C43924">
            <w:pPr>
              <w:pStyle w:val="ListBullet"/>
            </w:pPr>
            <w:r w:rsidRPr="00C43924">
              <w:t>international influences</w:t>
            </w:r>
          </w:p>
          <w:p w:rsidR="00000000" w:rsidRPr="00C43924" w:rsidP="00C43924">
            <w:pPr>
              <w:pStyle w:val="ListBullet"/>
            </w:pPr>
            <w:r w:rsidRPr="00C43924">
              <w:t>predictability</w:t>
            </w:r>
          </w:p>
          <w:p w:rsidR="00000000" w:rsidRPr="00C43924" w:rsidP="00C43924">
            <w:pPr>
              <w:pStyle w:val="ListBullet"/>
            </w:pPr>
            <w:r w:rsidRPr="00C43924">
              <w:t>turbulence.</w:t>
            </w:r>
          </w:p>
        </w:tc>
      </w:tr>
    </w:tbl>
    <w:p w:rsidR="0063634D" w:rsidP="00C43924">
      <w:pPr>
        <w:pStyle w:val="BodyText"/>
      </w:pPr>
    </w:p>
    <w:p w:rsidR="0063634D" w:rsidP="00C43924">
      <w:pPr>
        <w:pStyle w:val="BodyText"/>
      </w:pPr>
    </w:p>
    <w:p w:rsidR="00000000" w:rsidRPr="00C43924" w:rsidP="00C43924">
      <w:pPr>
        <w:pStyle w:val="Heading1"/>
      </w:pPr>
      <w:bookmarkStart w:id="12" w:name="O_218667"/>
      <w:bookmarkEnd w:id="12"/>
      <w:r w:rsidRPr="00C43924">
        <w:t>Unit Sector(s)</w:t>
      </w:r>
    </w:p>
    <w:tbl>
      <w:tblPr>
        <w:tblW w:w="0" w:type="auto"/>
        <w:tblLayout w:type="fixed"/>
        <w:tblCellMar>
          <w:left w:w="62" w:type="dxa"/>
          <w:right w:w="62" w:type="dxa"/>
        </w:tblCellMar>
        <w:tblLook w:val="0000"/>
      </w:tblPr>
      <w:tblGrid>
        <w:gridCol w:w="2615"/>
        <w:gridCol w:w="5907"/>
      </w:tblGrid>
      <w:tr w:rsidTr="0063634D">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BodyText"/>
            </w:pPr>
            <w:r w:rsidRPr="00C43924">
              <w:t>Seafood processing</w:t>
            </w:r>
          </w:p>
        </w:tc>
      </w:tr>
    </w:tbl>
    <w:p w:rsidR="0063634D" w:rsidP="00C43924">
      <w:pPr>
        <w:pStyle w:val="BodyText"/>
      </w:pPr>
    </w:p>
    <w:p w:rsidR="0063634D" w:rsidP="00C43924">
      <w:pPr>
        <w:pStyle w:val="BodyText"/>
      </w:pPr>
    </w:p>
    <w:p w:rsidR="00000000" w:rsidRPr="00C43924" w:rsidP="00C43924">
      <w:pPr>
        <w:pStyle w:val="Heading1"/>
      </w:pPr>
      <w:bookmarkStart w:id="13" w:name="O_218664"/>
      <w:bookmarkEnd w:id="13"/>
      <w:r w:rsidRPr="00C43924">
        <w:t>Co-requisite units</w:t>
      </w:r>
    </w:p>
    <w:tbl>
      <w:tblPr>
        <w:tblW w:w="0" w:type="auto"/>
        <w:tblLayout w:type="fixed"/>
        <w:tblCellMar>
          <w:left w:w="62" w:type="dxa"/>
          <w:right w:w="62" w:type="dxa"/>
        </w:tblCellMar>
        <w:tblLook w:val="0000"/>
      </w:tblPr>
      <w:tblGrid>
        <w:gridCol w:w="2641"/>
        <w:gridCol w:w="1322"/>
        <w:gridCol w:w="4559"/>
      </w:tblGrid>
      <w:tr w:rsidTr="0063634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p>
        </w:tc>
      </w:tr>
      <w:tr w:rsidTr="006363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p>
        </w:tc>
      </w:tr>
      <w:tr w:rsidTr="006363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BodyText"/>
            </w:pPr>
          </w:p>
        </w:tc>
      </w:tr>
    </w:tbl>
    <w:p w:rsidR="0063634D" w:rsidP="00C43924">
      <w:pPr>
        <w:pStyle w:val="BodyText"/>
      </w:pPr>
    </w:p>
    <w:p w:rsidR="0063634D" w:rsidP="00C43924">
      <w:pPr>
        <w:pStyle w:val="BodyText"/>
      </w:pPr>
    </w:p>
    <w:p w:rsidR="00000000" w:rsidRPr="00C43924" w:rsidP="00C43924">
      <w:pPr>
        <w:pStyle w:val="Heading1"/>
      </w:pPr>
      <w:bookmarkStart w:id="14" w:name="O_218666"/>
      <w:bookmarkEnd w:id="14"/>
      <w:r w:rsidRPr="00C43924">
        <w:t>Competency field</w:t>
      </w:r>
    </w:p>
    <w:tbl>
      <w:tblPr>
        <w:tblW w:w="0" w:type="auto"/>
        <w:tblLayout w:type="fixed"/>
        <w:tblCellMar>
          <w:left w:w="62" w:type="dxa"/>
          <w:right w:w="62" w:type="dxa"/>
        </w:tblCellMar>
        <w:tblLook w:val="0000"/>
      </w:tblPr>
      <w:tblGrid>
        <w:gridCol w:w="2784"/>
        <w:gridCol w:w="5738"/>
      </w:tblGrid>
      <w:tr w:rsidTr="0063634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924">
            <w:pPr>
              <w:pStyle w:val="BodyText"/>
              <w:rPr>
                <w:lang w:val="en-NZ"/>
              </w:rPr>
            </w:pPr>
            <w:r w:rsidRPr="00C4392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924" w:rsidP="00C43924">
            <w:pPr>
              <w:pStyle w:val="BodyText"/>
            </w:pPr>
          </w:p>
        </w:tc>
      </w:tr>
    </w:tbl>
    <w:p w:rsidR="0063634D" w:rsidP="00C43924">
      <w:pPr>
        <w:pStyle w:val="BodyText"/>
      </w:pPr>
    </w:p>
    <w:p w:rsidR="0063634D" w:rsidP="00C43924">
      <w:pPr>
        <w:pStyle w:val="BodyText"/>
      </w:pPr>
    </w:p>
    <w:p w:rsidR="00000000" w:rsidRPr="00C43924" w:rsidP="00C43924"/>
    <w:sectPr w:rsidSect="00C439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9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634D" w:rsidP="0063634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9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34D" w:rsidP="00C439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3634D" w:rsidP="00C439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3634D" w:rsidP="00C439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9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924" w:rsidRPr="0063634D" w:rsidP="006363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9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34D" w:rsidRPr="002D2AF8" w:rsidP="00C43924">
    <w:pPr>
      <w:pStyle w:val="Header"/>
      <w:framePr w:wrap="around"/>
    </w:pPr>
    <w:r>
      <w:fldChar w:fldCharType="begin"/>
    </w:r>
    <w:r>
      <w:instrText xml:space="preserve"> TITLE   \* MERGEFORMAT </w:instrText>
    </w:r>
    <w:r>
      <w:fldChar w:fldCharType="separate"/>
    </w:r>
    <w:r>
      <w:t>SFIPROC609C Monitor the seafood business environment to determine threats and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3634D" w:rsidP="00C439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E4C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D86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129C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9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924"/>
    <w:pPr>
      <w:spacing w:before="360" w:after="60"/>
      <w:outlineLvl w:val="0"/>
    </w:pPr>
    <w:rPr>
      <w:sz w:val="32"/>
    </w:rPr>
  </w:style>
  <w:style w:type="paragraph" w:styleId="Heading2">
    <w:name w:val="heading 2"/>
    <w:basedOn w:val="HeadingBase"/>
    <w:next w:val="BodyText"/>
    <w:link w:val="Heading2Char"/>
    <w:qFormat/>
    <w:rsid w:val="00C43924"/>
    <w:pPr>
      <w:keepLines/>
      <w:spacing w:before="240" w:after="120"/>
      <w:outlineLvl w:val="1"/>
    </w:pPr>
    <w:rPr>
      <w:sz w:val="28"/>
      <w:szCs w:val="40"/>
    </w:rPr>
  </w:style>
  <w:style w:type="paragraph" w:styleId="Heading3">
    <w:name w:val="heading 3"/>
    <w:basedOn w:val="HeadingBase"/>
    <w:next w:val="BodyText"/>
    <w:link w:val="Heading3Char"/>
    <w:qFormat/>
    <w:rsid w:val="00C43924"/>
    <w:pPr>
      <w:spacing w:before="180" w:after="120"/>
      <w:outlineLvl w:val="2"/>
    </w:pPr>
    <w:rPr>
      <w:spacing w:val="-10"/>
      <w:kern w:val="32"/>
    </w:rPr>
  </w:style>
  <w:style w:type="paragraph" w:styleId="Heading4">
    <w:name w:val="heading 4"/>
    <w:basedOn w:val="HeadingBase"/>
    <w:next w:val="BodyText"/>
    <w:link w:val="Heading4Char"/>
    <w:qFormat/>
    <w:rsid w:val="00C43924"/>
    <w:pPr>
      <w:spacing w:before="160" w:after="120"/>
      <w:outlineLvl w:val="3"/>
    </w:pPr>
    <w:rPr>
      <w:sz w:val="22"/>
    </w:rPr>
  </w:style>
  <w:style w:type="paragraph" w:styleId="Heading5">
    <w:name w:val="heading 5"/>
    <w:basedOn w:val="HeadingBase"/>
    <w:next w:val="Normal"/>
    <w:link w:val="Heading5Char"/>
    <w:qFormat/>
    <w:rsid w:val="00C43924"/>
    <w:pPr>
      <w:spacing w:before="80"/>
      <w:outlineLvl w:val="4"/>
    </w:pPr>
    <w:rPr>
      <w:color w:val="918585"/>
      <w:sz w:val="20"/>
    </w:rPr>
  </w:style>
  <w:style w:type="paragraph" w:styleId="Heading6">
    <w:name w:val="heading 6"/>
    <w:basedOn w:val="HeadingBase"/>
    <w:next w:val="Normal"/>
    <w:link w:val="Heading6Char"/>
    <w:qFormat/>
    <w:rsid w:val="00C43924"/>
    <w:pPr>
      <w:spacing w:before="60"/>
      <w:outlineLvl w:val="5"/>
    </w:pPr>
    <w:rPr>
      <w:color w:val="918585"/>
      <w:sz w:val="20"/>
    </w:rPr>
  </w:style>
  <w:style w:type="paragraph" w:styleId="Heading7">
    <w:name w:val="heading 7"/>
    <w:basedOn w:val="Normal"/>
    <w:next w:val="Normal"/>
    <w:link w:val="Heading7Char"/>
    <w:qFormat/>
    <w:rsid w:val="00C43924"/>
    <w:pPr>
      <w:ind w:left="720"/>
      <w:outlineLvl w:val="6"/>
    </w:pPr>
    <w:rPr>
      <w:i/>
    </w:rPr>
  </w:style>
  <w:style w:type="paragraph" w:styleId="Heading8">
    <w:name w:val="heading 8"/>
    <w:basedOn w:val="Normal"/>
    <w:next w:val="Normal"/>
    <w:link w:val="Heading8Char"/>
    <w:qFormat/>
    <w:rsid w:val="00C43924"/>
    <w:pPr>
      <w:ind w:left="720"/>
      <w:outlineLvl w:val="7"/>
    </w:pPr>
    <w:rPr>
      <w:i/>
    </w:rPr>
  </w:style>
  <w:style w:type="paragraph" w:styleId="Heading9">
    <w:name w:val="heading 9"/>
    <w:basedOn w:val="Normal"/>
    <w:next w:val="Normal"/>
    <w:link w:val="Heading9Char"/>
    <w:qFormat/>
    <w:rsid w:val="00C43924"/>
    <w:pPr>
      <w:ind w:left="720"/>
      <w:outlineLvl w:val="8"/>
    </w:pPr>
    <w:rPr>
      <w:i/>
    </w:rPr>
  </w:style>
  <w:style w:type="character" w:default="1" w:styleId="DefaultParagraphFont">
    <w:name w:val="Default Paragraph Font"/>
    <w:uiPriority w:val="1"/>
    <w:unhideWhenUsed/>
    <w:rsid w:val="00C439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924"/>
  </w:style>
  <w:style w:type="character" w:customStyle="1" w:styleId="Heading1Char">
    <w:name w:val="Heading 1 Char"/>
    <w:basedOn w:val="DefaultParagraphFont"/>
    <w:link w:val="Heading1"/>
    <w:rsid w:val="00C43924"/>
    <w:rPr>
      <w:rFonts w:ascii="Times New Roman" w:eastAsia="Times New Roman" w:hAnsi="Times New Roman" w:cs="Times New Roman"/>
      <w:b/>
      <w:sz w:val="32"/>
      <w:szCs w:val="20"/>
      <w:lang w:eastAsia="en-US"/>
    </w:rPr>
  </w:style>
  <w:style w:type="paragraph" w:styleId="BodyText">
    <w:name w:val="Body Text"/>
    <w:basedOn w:val="Normal"/>
    <w:link w:val="BodyTextChar"/>
    <w:rsid w:val="00C439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3924"/>
    <w:rPr>
      <w:rFonts w:ascii="Times New Roman" w:eastAsia="Times New Roman" w:hAnsi="Times New Roman" w:cs="Times New Roman"/>
      <w:sz w:val="24"/>
      <w:lang w:eastAsia="en-US"/>
    </w:rPr>
  </w:style>
  <w:style w:type="paragraph" w:styleId="Footer">
    <w:name w:val="footer"/>
    <w:basedOn w:val="Normal"/>
    <w:link w:val="FooterChar"/>
    <w:rsid w:val="00C439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924"/>
    <w:rPr>
      <w:rFonts w:ascii="Times New Roman" w:eastAsia="Times New Roman" w:hAnsi="Times New Roman" w:cs="Times New Roman"/>
      <w:sz w:val="16"/>
      <w:lang w:eastAsia="en-US"/>
    </w:rPr>
  </w:style>
  <w:style w:type="paragraph" w:styleId="List">
    <w:name w:val="List"/>
    <w:basedOn w:val="BodyText"/>
    <w:next w:val="BodyText"/>
    <w:rsid w:val="00C43924"/>
    <w:pPr>
      <w:tabs>
        <w:tab w:val="left" w:pos="340"/>
      </w:tabs>
      <w:spacing w:before="60" w:after="60"/>
      <w:ind w:left="340" w:hanging="340"/>
    </w:pPr>
  </w:style>
  <w:style w:type="paragraph" w:styleId="ListBullet">
    <w:name w:val="List Bullet"/>
    <w:basedOn w:val="List"/>
    <w:rsid w:val="00C43924"/>
    <w:pPr>
      <w:numPr>
        <w:numId w:val="13"/>
      </w:numPr>
      <w:tabs>
        <w:tab w:val="clear" w:pos="340"/>
      </w:tabs>
      <w:spacing w:before="40" w:after="40"/>
    </w:pPr>
  </w:style>
  <w:style w:type="character" w:customStyle="1" w:styleId="SpecialBold">
    <w:name w:val="Special Bold"/>
    <w:basedOn w:val="DefaultParagraphFont"/>
    <w:rsid w:val="00C43924"/>
    <w:rPr>
      <w:b/>
      <w:spacing w:val="0"/>
    </w:rPr>
  </w:style>
  <w:style w:type="paragraph" w:styleId="ListBullet2">
    <w:name w:val="List Bullet 2"/>
    <w:basedOn w:val="List2"/>
    <w:rsid w:val="00C43924"/>
    <w:pPr>
      <w:numPr>
        <w:numId w:val="14"/>
      </w:numPr>
      <w:tabs>
        <w:tab w:val="clear" w:pos="680"/>
      </w:tabs>
    </w:pPr>
  </w:style>
  <w:style w:type="paragraph" w:customStyle="1" w:styleId="SuperHeading">
    <w:name w:val="SuperHeading"/>
    <w:basedOn w:val="Normal"/>
    <w:rsid w:val="00C43924"/>
    <w:pPr>
      <w:spacing w:before="240" w:after="120"/>
      <w:outlineLvl w:val="0"/>
    </w:pPr>
    <w:rPr>
      <w:rFonts w:ascii="Times New Roman" w:hAnsi="Times New Roman"/>
      <w:b/>
      <w:sz w:val="28"/>
    </w:rPr>
  </w:style>
  <w:style w:type="paragraph" w:customStyle="1" w:styleId="AllowPageBreak">
    <w:name w:val="AllowPageBreak"/>
    <w:rsid w:val="00C439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3924"/>
    <w:pPr>
      <w:tabs>
        <w:tab w:val="left" w:pos="680"/>
      </w:tabs>
      <w:spacing w:before="60" w:after="60"/>
      <w:ind w:left="680" w:hanging="340"/>
    </w:pPr>
  </w:style>
  <w:style w:type="character" w:customStyle="1" w:styleId="BoldandItalics">
    <w:name w:val="Bold and Italics"/>
    <w:qFormat/>
    <w:rsid w:val="00C43924"/>
    <w:rPr>
      <w:b/>
      <w:i/>
      <w:u w:val="none"/>
    </w:rPr>
  </w:style>
  <w:style w:type="character" w:customStyle="1" w:styleId="Heading2Char">
    <w:name w:val="Heading 2 Char"/>
    <w:basedOn w:val="DefaultParagraphFont"/>
    <w:link w:val="Heading2"/>
    <w:rsid w:val="00C439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9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9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9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9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9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9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924"/>
    <w:rPr>
      <w:rFonts w:ascii="Courier New" w:eastAsia="Times New Roman" w:hAnsi="Courier New" w:cs="Times New Roman"/>
      <w:i/>
      <w:szCs w:val="20"/>
      <w:lang w:eastAsia="en-US"/>
    </w:rPr>
  </w:style>
  <w:style w:type="paragraph" w:customStyle="1" w:styleId="HeadingBase">
    <w:name w:val="Heading Base"/>
    <w:rsid w:val="00C439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924"/>
    <w:pPr>
      <w:tabs>
        <w:tab w:val="right" w:leader="dot" w:pos="9072"/>
      </w:tabs>
      <w:ind w:left="567"/>
    </w:pPr>
    <w:rPr>
      <w:szCs w:val="22"/>
    </w:rPr>
  </w:style>
  <w:style w:type="paragraph" w:customStyle="1" w:styleId="TOCBase">
    <w:name w:val="TOC Base"/>
    <w:rsid w:val="00C439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924"/>
    <w:pPr>
      <w:tabs>
        <w:tab w:val="right" w:leader="dot" w:pos="9072"/>
      </w:tabs>
      <w:spacing w:before="40" w:after="40"/>
      <w:ind w:left="284"/>
    </w:pPr>
    <w:rPr>
      <w:rFonts w:ascii="Times New Roman" w:hAnsi="Times New Roman"/>
    </w:rPr>
  </w:style>
  <w:style w:type="paragraph" w:styleId="TOC1">
    <w:name w:val="toc 1"/>
    <w:basedOn w:val="TOCBase"/>
    <w:next w:val="Normal"/>
    <w:rsid w:val="00C439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3924"/>
    <w:pPr>
      <w:spacing w:before="5040"/>
      <w:jc w:val="center"/>
    </w:pPr>
    <w:rPr>
      <w:sz w:val="48"/>
      <w:szCs w:val="72"/>
      <w:lang w:val="en-US"/>
    </w:rPr>
  </w:style>
  <w:style w:type="character" w:customStyle="1" w:styleId="TitleChar">
    <w:name w:val="Title Char"/>
    <w:basedOn w:val="DefaultParagraphFont"/>
    <w:link w:val="Title"/>
    <w:rsid w:val="00C439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924"/>
    <w:pPr>
      <w:tabs>
        <w:tab w:val="left" w:pos="3600"/>
        <w:tab w:val="left" w:pos="3958"/>
      </w:tabs>
    </w:pPr>
  </w:style>
  <w:style w:type="paragraph" w:customStyle="1" w:styleId="Note">
    <w:name w:val="Note"/>
    <w:basedOn w:val="BodyText"/>
    <w:rsid w:val="00C439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924"/>
    <w:pPr>
      <w:framePr w:wrap="auto" w:hAnchor="text" w:y="6049"/>
    </w:pPr>
    <w:rPr>
      <w:color w:val="000000"/>
      <w:sz w:val="40"/>
    </w:rPr>
  </w:style>
  <w:style w:type="paragraph" w:customStyle="1" w:styleId="TOCTitle">
    <w:name w:val="TOCTitle"/>
    <w:basedOn w:val="Heading1"/>
    <w:rsid w:val="00C43924"/>
    <w:pPr>
      <w:spacing w:after="240"/>
      <w:jc w:val="center"/>
      <w:outlineLvl w:val="9"/>
    </w:pPr>
    <w:rPr>
      <w:caps/>
    </w:rPr>
  </w:style>
  <w:style w:type="paragraph" w:customStyle="1" w:styleId="Version">
    <w:name w:val="Version"/>
    <w:rsid w:val="00C439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924"/>
    <w:pPr>
      <w:keepNext w:val="0"/>
      <w:tabs>
        <w:tab w:val="right" w:pos="4176"/>
      </w:tabs>
      <w:ind w:left="198" w:hanging="198"/>
    </w:pPr>
    <w:rPr>
      <w:rFonts w:ascii="Garamond" w:hAnsi="Garamond"/>
    </w:rPr>
  </w:style>
  <w:style w:type="paragraph" w:styleId="IndexHeading">
    <w:name w:val="index heading"/>
    <w:basedOn w:val="Normal"/>
    <w:next w:val="Index1"/>
    <w:semiHidden/>
    <w:rsid w:val="00C43924"/>
    <w:pPr>
      <w:spacing w:before="120" w:after="120"/>
    </w:pPr>
    <w:rPr>
      <w:rFonts w:ascii="Arial" w:hAnsi="Arial"/>
      <w:b/>
      <w:color w:val="918585"/>
      <w:sz w:val="24"/>
    </w:rPr>
  </w:style>
  <w:style w:type="paragraph" w:styleId="Header">
    <w:name w:val="header"/>
    <w:basedOn w:val="Normal"/>
    <w:link w:val="HeaderChar"/>
    <w:rsid w:val="00C439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924"/>
    <w:rPr>
      <w:rFonts w:ascii="Times New Roman" w:eastAsia="Times New Roman" w:hAnsi="Times New Roman" w:cs="Times New Roman"/>
      <w:sz w:val="16"/>
      <w:szCs w:val="20"/>
      <w:lang w:val="en-GB" w:eastAsia="en-US"/>
    </w:rPr>
  </w:style>
  <w:style w:type="paragraph" w:customStyle="1" w:styleId="Chapter">
    <w:name w:val="Chapter"/>
    <w:basedOn w:val="Normal"/>
    <w:rsid w:val="00C43924"/>
    <w:pPr>
      <w:spacing w:before="240"/>
    </w:pPr>
    <w:rPr>
      <w:rFonts w:ascii="Times New Roman" w:hAnsi="Times New Roman"/>
      <w:smallCaps/>
      <w:spacing w:val="80"/>
      <w:sz w:val="28"/>
    </w:rPr>
  </w:style>
  <w:style w:type="paragraph" w:customStyle="1" w:styleId="InChapter">
    <w:name w:val="InChapter"/>
    <w:basedOn w:val="Heading3"/>
    <w:rsid w:val="00C43924"/>
    <w:pPr>
      <w:spacing w:after="240"/>
      <w:outlineLvl w:val="9"/>
    </w:pPr>
    <w:rPr>
      <w:noProof/>
    </w:rPr>
  </w:style>
  <w:style w:type="paragraph" w:styleId="Index2">
    <w:name w:val="index 2"/>
    <w:basedOn w:val="Normal"/>
    <w:next w:val="Normal"/>
    <w:semiHidden/>
    <w:rsid w:val="00C43924"/>
    <w:pPr>
      <w:tabs>
        <w:tab w:val="right" w:pos="4176"/>
      </w:tabs>
      <w:ind w:left="568" w:hanging="284"/>
    </w:pPr>
    <w:rPr>
      <w:rFonts w:ascii="Garamond" w:hAnsi="Garamond"/>
    </w:rPr>
  </w:style>
  <w:style w:type="paragraph" w:customStyle="1" w:styleId="Byline">
    <w:name w:val="Byline"/>
    <w:rsid w:val="00C439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924"/>
    <w:pPr>
      <w:tabs>
        <w:tab w:val="clear" w:pos="3600"/>
        <w:tab w:val="clear" w:pos="3958"/>
      </w:tabs>
      <w:jc w:val="right"/>
    </w:pPr>
  </w:style>
  <w:style w:type="character" w:styleId="Emphasis">
    <w:name w:val="Emphasis"/>
    <w:basedOn w:val="DefaultParagraphFont"/>
    <w:qFormat/>
    <w:rsid w:val="00C43924"/>
    <w:rPr>
      <w:i/>
    </w:rPr>
  </w:style>
  <w:style w:type="paragraph" w:styleId="Caption">
    <w:name w:val="caption"/>
    <w:basedOn w:val="BodyText"/>
    <w:next w:val="Normal"/>
    <w:qFormat/>
    <w:rsid w:val="00C43924"/>
    <w:pPr>
      <w:framePr w:w="2268" w:hSpace="181" w:vSpace="181" w:wrap="around" w:vAnchor="text" w:hAnchor="page" w:x="1135" w:y="285" w:anchorLock="1"/>
    </w:pPr>
    <w:rPr>
      <w:i/>
    </w:rPr>
  </w:style>
  <w:style w:type="paragraph" w:customStyle="1" w:styleId="MiniTOCTitle">
    <w:name w:val="MiniTOCTitle"/>
    <w:basedOn w:val="Heading4"/>
    <w:rsid w:val="00C43924"/>
    <w:pPr>
      <w:spacing w:before="240"/>
      <w:outlineLvl w:val="9"/>
    </w:pPr>
    <w:rPr>
      <w:noProof/>
      <w:sz w:val="24"/>
    </w:rPr>
  </w:style>
  <w:style w:type="paragraph" w:customStyle="1" w:styleId="MiniTOCItem">
    <w:name w:val="MiniTOCItem"/>
    <w:basedOn w:val="ListBullet"/>
    <w:rsid w:val="00C43924"/>
    <w:pPr>
      <w:numPr>
        <w:numId w:val="0"/>
      </w:numPr>
      <w:tabs>
        <w:tab w:val="right" w:leader="dot" w:pos="6521"/>
      </w:tabs>
      <w:spacing w:before="0" w:after="0"/>
    </w:pPr>
  </w:style>
  <w:style w:type="paragraph" w:customStyle="1" w:styleId="TOFTitle">
    <w:name w:val="TOFTitle"/>
    <w:basedOn w:val="TOCTitle"/>
    <w:rsid w:val="00C43924"/>
  </w:style>
  <w:style w:type="paragraph" w:styleId="TableofFigures">
    <w:name w:val="table of figures"/>
    <w:basedOn w:val="Normal"/>
    <w:next w:val="Normal"/>
    <w:semiHidden/>
    <w:rsid w:val="00C43924"/>
    <w:pPr>
      <w:tabs>
        <w:tab w:val="right" w:leader="dot" w:pos="9072"/>
      </w:tabs>
      <w:ind w:left="970" w:hanging="403"/>
    </w:pPr>
    <w:rPr>
      <w:rFonts w:ascii="Times New Roman" w:hAnsi="Times New Roman"/>
      <w:b/>
    </w:rPr>
  </w:style>
  <w:style w:type="paragraph" w:styleId="ListNumber">
    <w:name w:val="List Number"/>
    <w:basedOn w:val="List"/>
    <w:rsid w:val="00C43924"/>
    <w:pPr>
      <w:numPr>
        <w:numId w:val="11"/>
      </w:numPr>
    </w:pPr>
  </w:style>
  <w:style w:type="character" w:customStyle="1" w:styleId="WingdingSymbols">
    <w:name w:val="Wingding Symbols"/>
    <w:rsid w:val="00C43924"/>
    <w:rPr>
      <w:rFonts w:ascii="Wingdings" w:hAnsi="Wingdings"/>
    </w:rPr>
  </w:style>
  <w:style w:type="paragraph" w:customStyle="1" w:styleId="TableHeading">
    <w:name w:val="Table Heading"/>
    <w:basedOn w:val="HeadingBase"/>
    <w:rsid w:val="00C43924"/>
    <w:pPr>
      <w:keepLines/>
      <w:pBdr>
        <w:bottom w:val="single" w:sz="6" w:space="1" w:color="918585"/>
      </w:pBdr>
      <w:spacing w:before="240"/>
    </w:pPr>
  </w:style>
  <w:style w:type="character" w:customStyle="1" w:styleId="HotSpot">
    <w:name w:val="HotSpot"/>
    <w:rsid w:val="00C43924"/>
    <w:rPr>
      <w:color w:val="0033CC"/>
      <w:u w:val="none"/>
    </w:rPr>
  </w:style>
  <w:style w:type="paragraph" w:customStyle="1" w:styleId="BodyTextRight">
    <w:name w:val="Body Text Right"/>
    <w:basedOn w:val="BodyText"/>
    <w:rsid w:val="00C43924"/>
    <w:pPr>
      <w:spacing w:before="0" w:after="0"/>
      <w:jc w:val="right"/>
    </w:pPr>
  </w:style>
  <w:style w:type="paragraph" w:styleId="Index3">
    <w:name w:val="index 3"/>
    <w:basedOn w:val="ListNumber2"/>
    <w:next w:val="Normal"/>
    <w:semiHidden/>
    <w:rsid w:val="00C43924"/>
    <w:pPr>
      <w:numPr>
        <w:numId w:val="0"/>
      </w:numPr>
      <w:tabs>
        <w:tab w:val="right" w:leader="dot" w:pos="4176"/>
      </w:tabs>
    </w:pPr>
  </w:style>
  <w:style w:type="paragraph" w:styleId="ListNumber2">
    <w:name w:val="List Number 2"/>
    <w:basedOn w:val="List2"/>
    <w:rsid w:val="00C43924"/>
    <w:pPr>
      <w:numPr>
        <w:numId w:val="10"/>
      </w:numPr>
      <w:tabs>
        <w:tab w:val="clear" w:pos="1060"/>
      </w:tabs>
    </w:pPr>
  </w:style>
  <w:style w:type="paragraph" w:customStyle="1" w:styleId="MarginNote">
    <w:name w:val="Margin Note"/>
    <w:basedOn w:val="BodyText"/>
    <w:rsid w:val="00C439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9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9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924"/>
    <w:rPr>
      <w:sz w:val="32"/>
    </w:rPr>
  </w:style>
  <w:style w:type="paragraph" w:customStyle="1" w:styleId="HeadingProcedure">
    <w:name w:val="Heading Procedure"/>
    <w:basedOn w:val="HeadingBase"/>
    <w:next w:val="Normal"/>
    <w:rsid w:val="00C43924"/>
    <w:pPr>
      <w:tabs>
        <w:tab w:val="left" w:pos="0"/>
      </w:tabs>
      <w:spacing w:before="120" w:after="60"/>
    </w:pPr>
    <w:rPr>
      <w:i/>
      <w:color w:val="918585"/>
      <w:sz w:val="22"/>
    </w:rPr>
  </w:style>
  <w:style w:type="paragraph" w:customStyle="1" w:styleId="TableBodyText">
    <w:name w:val="Table Body Text"/>
    <w:basedOn w:val="BodyText"/>
    <w:rsid w:val="00C43924"/>
    <w:pPr>
      <w:spacing w:before="60" w:after="60"/>
    </w:pPr>
  </w:style>
  <w:style w:type="paragraph" w:styleId="ListContinue">
    <w:name w:val="List Continue"/>
    <w:basedOn w:val="List"/>
    <w:rsid w:val="00C43924"/>
    <w:pPr>
      <w:ind w:firstLine="0"/>
    </w:pPr>
  </w:style>
  <w:style w:type="paragraph" w:customStyle="1" w:styleId="ListNote">
    <w:name w:val="List Note"/>
    <w:basedOn w:val="List"/>
    <w:rsid w:val="00C43924"/>
    <w:pPr>
      <w:pBdr>
        <w:top w:val="single" w:sz="6" w:space="2" w:color="918585"/>
        <w:bottom w:val="single" w:sz="6" w:space="2" w:color="918585"/>
      </w:pBdr>
      <w:tabs>
        <w:tab w:val="left" w:pos="1021"/>
      </w:tabs>
      <w:ind w:firstLine="0"/>
    </w:pPr>
  </w:style>
  <w:style w:type="paragraph" w:customStyle="1" w:styleId="Warning">
    <w:name w:val="Warning"/>
    <w:basedOn w:val="BodyText"/>
    <w:rsid w:val="00C43924"/>
    <w:pPr>
      <w:shd w:val="clear" w:color="auto" w:fill="D9D9D9"/>
      <w:tabs>
        <w:tab w:val="left" w:pos="992"/>
      </w:tabs>
      <w:ind w:left="119" w:right="119"/>
    </w:pPr>
    <w:rPr>
      <w:sz w:val="20"/>
    </w:rPr>
  </w:style>
  <w:style w:type="paragraph" w:customStyle="1" w:styleId="MarginIcons">
    <w:name w:val="Margin Icons"/>
    <w:basedOn w:val="BodyText"/>
    <w:rsid w:val="00C439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924"/>
    <w:rPr>
      <w:rFonts w:ascii="Courier New" w:hAnsi="Courier New"/>
    </w:rPr>
  </w:style>
  <w:style w:type="paragraph" w:customStyle="1" w:styleId="NoteBullet">
    <w:name w:val="Note Bullet"/>
    <w:basedOn w:val="Note"/>
    <w:rsid w:val="00C43924"/>
    <w:pPr>
      <w:tabs>
        <w:tab w:val="clear" w:pos="680"/>
      </w:tabs>
      <w:spacing w:before="60" w:after="60"/>
    </w:pPr>
  </w:style>
  <w:style w:type="paragraph" w:customStyle="1" w:styleId="SubHeading2">
    <w:name w:val="SubHeading2"/>
    <w:basedOn w:val="HeadingBase"/>
    <w:rsid w:val="00C43924"/>
    <w:pPr>
      <w:spacing w:before="240" w:after="60"/>
    </w:pPr>
    <w:rPr>
      <w:sz w:val="20"/>
    </w:rPr>
  </w:style>
  <w:style w:type="paragraph" w:customStyle="1" w:styleId="SubHeading1">
    <w:name w:val="SubHeading1"/>
    <w:basedOn w:val="HeadingBase"/>
    <w:rsid w:val="00C43924"/>
    <w:pPr>
      <w:spacing w:before="240" w:after="60"/>
    </w:pPr>
    <w:rPr>
      <w:color w:val="918585"/>
      <w:sz w:val="22"/>
    </w:rPr>
  </w:style>
  <w:style w:type="paragraph" w:customStyle="1" w:styleId="SideHeading">
    <w:name w:val="Side Heading"/>
    <w:basedOn w:val="HeadingBase"/>
    <w:rsid w:val="00C439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924"/>
    <w:pPr>
      <w:numPr>
        <w:numId w:val="12"/>
      </w:numPr>
    </w:pPr>
  </w:style>
  <w:style w:type="paragraph" w:styleId="PlainText">
    <w:name w:val="Plain Text"/>
    <w:basedOn w:val="Normal"/>
    <w:link w:val="PlainTextChar"/>
    <w:rsid w:val="00C43924"/>
    <w:rPr>
      <w:sz w:val="20"/>
    </w:rPr>
  </w:style>
  <w:style w:type="character" w:customStyle="1" w:styleId="PlainTextChar">
    <w:name w:val="Plain Text Char"/>
    <w:basedOn w:val="DefaultParagraphFont"/>
    <w:link w:val="PlainText"/>
    <w:rsid w:val="00C43924"/>
    <w:rPr>
      <w:rFonts w:ascii="Courier New" w:eastAsia="Times New Roman" w:hAnsi="Courier New" w:cs="Times New Roman"/>
      <w:sz w:val="20"/>
      <w:szCs w:val="20"/>
      <w:lang w:eastAsia="en-US"/>
    </w:rPr>
  </w:style>
  <w:style w:type="character" w:customStyle="1" w:styleId="MenuOption">
    <w:name w:val="Menu Option"/>
    <w:basedOn w:val="DefaultParagraphFont"/>
    <w:rsid w:val="00C43924"/>
    <w:rPr>
      <w:b/>
      <w:smallCaps/>
    </w:rPr>
  </w:style>
  <w:style w:type="paragraph" w:customStyle="1" w:styleId="TableListNumber">
    <w:name w:val="Table List Number"/>
    <w:basedOn w:val="ListNumber"/>
    <w:rsid w:val="00C43924"/>
    <w:pPr>
      <w:numPr>
        <w:numId w:val="0"/>
      </w:numPr>
    </w:pPr>
  </w:style>
  <w:style w:type="paragraph" w:styleId="TOC4">
    <w:name w:val="toc 4"/>
    <w:basedOn w:val="TOCBase"/>
    <w:next w:val="Normal"/>
    <w:semiHidden/>
    <w:rsid w:val="00C43924"/>
    <w:pPr>
      <w:tabs>
        <w:tab w:val="right" w:leader="dot" w:pos="9071"/>
      </w:tabs>
      <w:ind w:left="1701"/>
    </w:pPr>
  </w:style>
  <w:style w:type="paragraph" w:customStyle="1" w:styleId="ListAlpha">
    <w:name w:val="List Alpha"/>
    <w:basedOn w:val="List"/>
    <w:rsid w:val="00C43924"/>
    <w:pPr>
      <w:numPr>
        <w:numId w:val="9"/>
      </w:numPr>
    </w:pPr>
  </w:style>
  <w:style w:type="paragraph" w:customStyle="1" w:styleId="ListAlpha2">
    <w:name w:val="List Alpha 2"/>
    <w:basedOn w:val="List2"/>
    <w:rsid w:val="00C43924"/>
    <w:pPr>
      <w:numPr>
        <w:numId w:val="8"/>
      </w:numPr>
    </w:pPr>
  </w:style>
  <w:style w:type="paragraph" w:styleId="List3">
    <w:name w:val="List 3"/>
    <w:basedOn w:val="BodyText"/>
    <w:rsid w:val="00C43924"/>
    <w:pPr>
      <w:tabs>
        <w:tab w:val="left" w:pos="1021"/>
      </w:tabs>
      <w:spacing w:before="60" w:after="60"/>
      <w:ind w:left="1020" w:hanging="340"/>
    </w:pPr>
  </w:style>
  <w:style w:type="paragraph" w:styleId="List4">
    <w:name w:val="List 4"/>
    <w:basedOn w:val="BodyText"/>
    <w:rsid w:val="00C43924"/>
    <w:pPr>
      <w:tabs>
        <w:tab w:val="left" w:pos="1361"/>
      </w:tabs>
      <w:spacing w:before="60" w:after="60"/>
      <w:ind w:left="1361" w:hanging="340"/>
    </w:pPr>
  </w:style>
  <w:style w:type="paragraph" w:styleId="List5">
    <w:name w:val="List 5"/>
    <w:basedOn w:val="BodyText"/>
    <w:rsid w:val="00C43924"/>
    <w:pPr>
      <w:tabs>
        <w:tab w:val="left" w:pos="1701"/>
      </w:tabs>
      <w:spacing w:before="60" w:after="60"/>
      <w:ind w:left="1701" w:hanging="340"/>
    </w:pPr>
  </w:style>
  <w:style w:type="paragraph" w:styleId="ListBullet3">
    <w:name w:val="List Bullet 3"/>
    <w:basedOn w:val="List3"/>
    <w:rsid w:val="00C43924"/>
    <w:pPr>
      <w:numPr>
        <w:numId w:val="15"/>
      </w:numPr>
      <w:tabs>
        <w:tab w:val="clear" w:pos="1021"/>
      </w:tabs>
      <w:ind w:left="1037" w:hanging="357"/>
    </w:pPr>
  </w:style>
  <w:style w:type="paragraph" w:styleId="ListBullet4">
    <w:name w:val="List Bullet 4"/>
    <w:basedOn w:val="List4"/>
    <w:rsid w:val="00C43924"/>
    <w:pPr>
      <w:numPr>
        <w:numId w:val="3"/>
      </w:numPr>
    </w:pPr>
  </w:style>
  <w:style w:type="paragraph" w:styleId="ListBullet5">
    <w:name w:val="List Bullet 5"/>
    <w:basedOn w:val="List5"/>
    <w:rsid w:val="00C43924"/>
    <w:pPr>
      <w:numPr>
        <w:numId w:val="4"/>
      </w:numPr>
    </w:pPr>
  </w:style>
  <w:style w:type="paragraph" w:styleId="ListContinue2">
    <w:name w:val="List Continue 2"/>
    <w:basedOn w:val="List2"/>
    <w:rsid w:val="00C43924"/>
    <w:pPr>
      <w:ind w:firstLine="0"/>
    </w:pPr>
  </w:style>
  <w:style w:type="paragraph" w:styleId="ListContinue3">
    <w:name w:val="List Continue 3"/>
    <w:basedOn w:val="List3"/>
    <w:rsid w:val="00C43924"/>
    <w:pPr>
      <w:ind w:left="1021" w:firstLine="0"/>
    </w:pPr>
  </w:style>
  <w:style w:type="paragraph" w:styleId="ListContinue4">
    <w:name w:val="List Continue 4"/>
    <w:basedOn w:val="List4"/>
    <w:rsid w:val="00C43924"/>
    <w:pPr>
      <w:ind w:firstLine="0"/>
    </w:pPr>
  </w:style>
  <w:style w:type="paragraph" w:styleId="ListContinue5">
    <w:name w:val="List Continue 5"/>
    <w:basedOn w:val="List5"/>
    <w:rsid w:val="00C43924"/>
    <w:pPr>
      <w:ind w:firstLine="0"/>
    </w:pPr>
  </w:style>
  <w:style w:type="paragraph" w:styleId="ListNumber3">
    <w:name w:val="List Number 3"/>
    <w:basedOn w:val="List3"/>
    <w:rsid w:val="00C43924"/>
    <w:pPr>
      <w:numPr>
        <w:numId w:val="5"/>
      </w:numPr>
    </w:pPr>
  </w:style>
  <w:style w:type="paragraph" w:styleId="ListNumber4">
    <w:name w:val="List Number 4"/>
    <w:basedOn w:val="List4"/>
    <w:rsid w:val="00C43924"/>
    <w:pPr>
      <w:numPr>
        <w:numId w:val="6"/>
      </w:numPr>
    </w:pPr>
  </w:style>
  <w:style w:type="paragraph" w:styleId="ListNumber5">
    <w:name w:val="List Number 5"/>
    <w:basedOn w:val="List5"/>
    <w:rsid w:val="00C43924"/>
    <w:pPr>
      <w:numPr>
        <w:numId w:val="7"/>
      </w:numPr>
    </w:pPr>
  </w:style>
  <w:style w:type="paragraph" w:styleId="BlockText">
    <w:name w:val="Block Text"/>
    <w:basedOn w:val="Normal"/>
    <w:rsid w:val="00C43924"/>
    <w:pPr>
      <w:spacing w:after="120"/>
      <w:ind w:left="1440" w:right="1440"/>
    </w:pPr>
  </w:style>
  <w:style w:type="character" w:customStyle="1" w:styleId="Subscript">
    <w:name w:val="Subscript"/>
    <w:basedOn w:val="DefaultParagraphFont"/>
    <w:rsid w:val="00C43924"/>
    <w:rPr>
      <w:sz w:val="16"/>
      <w:vertAlign w:val="subscript"/>
    </w:rPr>
  </w:style>
  <w:style w:type="character" w:customStyle="1" w:styleId="Superscript">
    <w:name w:val="Superscript"/>
    <w:basedOn w:val="DefaultParagraphFont"/>
    <w:rsid w:val="00C43924"/>
    <w:rPr>
      <w:sz w:val="16"/>
      <w:vertAlign w:val="superscript"/>
    </w:rPr>
  </w:style>
  <w:style w:type="character" w:customStyle="1" w:styleId="Symbols">
    <w:name w:val="Symbols"/>
    <w:basedOn w:val="DefaultParagraphFont"/>
    <w:rsid w:val="00C43924"/>
    <w:rPr>
      <w:rFonts w:ascii="Symbol" w:hAnsi="Symbol"/>
    </w:rPr>
  </w:style>
  <w:style w:type="character" w:customStyle="1" w:styleId="MenuOptions">
    <w:name w:val="Menu Options"/>
    <w:basedOn w:val="DefaultParagraphFont"/>
    <w:rsid w:val="00C43924"/>
    <w:rPr>
      <w:rFonts w:ascii="Arial Narrow" w:hAnsi="Arial Narrow"/>
      <w:smallCaps/>
    </w:rPr>
  </w:style>
  <w:style w:type="character" w:customStyle="1" w:styleId="Buttons">
    <w:name w:val="Buttons"/>
    <w:basedOn w:val="DefaultParagraphFont"/>
    <w:rsid w:val="00C43924"/>
    <w:rPr>
      <w:b/>
    </w:rPr>
  </w:style>
  <w:style w:type="character" w:customStyle="1" w:styleId="Underlined">
    <w:name w:val="Underlined"/>
    <w:basedOn w:val="DefaultParagraphFont"/>
    <w:rsid w:val="00C43924"/>
    <w:rPr>
      <w:u w:val="single"/>
    </w:rPr>
  </w:style>
  <w:style w:type="paragraph" w:customStyle="1" w:styleId="TableBodyTextRight">
    <w:name w:val="Table Body Text Right"/>
    <w:basedOn w:val="TableBodyText"/>
    <w:rsid w:val="00C43924"/>
    <w:pPr>
      <w:widowControl w:val="0"/>
      <w:autoSpaceDE w:val="0"/>
      <w:autoSpaceDN w:val="0"/>
      <w:adjustRightInd w:val="0"/>
      <w:jc w:val="right"/>
    </w:pPr>
    <w:rPr>
      <w:rFonts w:cs="Arial"/>
      <w:szCs w:val="18"/>
    </w:rPr>
  </w:style>
  <w:style w:type="paragraph" w:customStyle="1" w:styleId="CopyrightText">
    <w:name w:val="Copyright Text"/>
    <w:basedOn w:val="BodyText"/>
    <w:rsid w:val="00C43924"/>
    <w:rPr>
      <w:sz w:val="18"/>
    </w:rPr>
  </w:style>
  <w:style w:type="paragraph" w:customStyle="1" w:styleId="BodySmallRight">
    <w:name w:val="Body Small Right"/>
    <w:basedOn w:val="BodyTextRight"/>
    <w:rsid w:val="00C43924"/>
    <w:rPr>
      <w:sz w:val="18"/>
      <w:szCs w:val="18"/>
    </w:rPr>
  </w:style>
  <w:style w:type="paragraph" w:customStyle="1" w:styleId="MarginEdition">
    <w:name w:val="Margin Edition"/>
    <w:basedOn w:val="MarginNote"/>
    <w:rsid w:val="00C43924"/>
    <w:pPr>
      <w:spacing w:before="0" w:after="0"/>
    </w:pPr>
    <w:rPr>
      <w:rFonts w:ascii="Times New Roman" w:hAnsi="Times New Roman"/>
      <w:color w:val="999999"/>
    </w:rPr>
  </w:style>
  <w:style w:type="paragraph" w:customStyle="1" w:styleId="Spacer">
    <w:name w:val="Spacer"/>
    <w:basedOn w:val="Normal"/>
    <w:rsid w:val="00C43924"/>
    <w:rPr>
      <w:sz w:val="2"/>
      <w:szCs w:val="2"/>
    </w:rPr>
  </w:style>
  <w:style w:type="character" w:customStyle="1" w:styleId="Small">
    <w:name w:val="Small"/>
    <w:basedOn w:val="DefaultParagraphFont"/>
    <w:rsid w:val="00C43924"/>
    <w:rPr>
      <w:sz w:val="16"/>
    </w:rPr>
  </w:style>
  <w:style w:type="paragraph" w:customStyle="1" w:styleId="WideTable">
    <w:name w:val="Wide Table"/>
    <w:basedOn w:val="Normal"/>
    <w:rsid w:val="00C43924"/>
    <w:pPr>
      <w:ind w:left="-1418"/>
    </w:pPr>
    <w:rPr>
      <w:sz w:val="2"/>
      <w:szCs w:val="2"/>
    </w:rPr>
  </w:style>
  <w:style w:type="character" w:styleId="PageNumber">
    <w:name w:val="page number"/>
    <w:basedOn w:val="DefaultParagraphFont"/>
    <w:rsid w:val="00C43924"/>
  </w:style>
  <w:style w:type="paragraph" w:styleId="Quote">
    <w:name w:val="Quote"/>
    <w:basedOn w:val="Heading1"/>
    <w:link w:val="QuoteChar"/>
    <w:qFormat/>
    <w:rsid w:val="00C43924"/>
    <w:rPr>
      <w:b w:val="0"/>
      <w:sz w:val="72"/>
      <w:szCs w:val="72"/>
      <w:lang w:val="en-NZ"/>
    </w:rPr>
  </w:style>
  <w:style w:type="character" w:customStyle="1" w:styleId="QuoteChar">
    <w:name w:val="Quote Char"/>
    <w:basedOn w:val="DefaultParagraphFont"/>
    <w:link w:val="Quote"/>
    <w:rsid w:val="00C439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924"/>
    <w:pPr>
      <w:pageBreakBefore/>
    </w:pPr>
  </w:style>
  <w:style w:type="paragraph" w:customStyle="1" w:styleId="Border">
    <w:name w:val="Border"/>
    <w:basedOn w:val="Normal"/>
    <w:qFormat/>
    <w:rsid w:val="00C439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924"/>
    <w:rPr>
      <w:b/>
      <w:bCs/>
      <w:i/>
      <w:iCs/>
      <w:color w:val="auto"/>
    </w:rPr>
  </w:style>
  <w:style w:type="paragraph" w:styleId="IntenseQuote">
    <w:name w:val="Intense Quote"/>
    <w:basedOn w:val="Normal"/>
    <w:next w:val="Normal"/>
    <w:link w:val="IntenseQuoteChar"/>
    <w:uiPriority w:val="30"/>
    <w:qFormat/>
    <w:rsid w:val="00C439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9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924"/>
    <w:rPr>
      <w:smallCaps/>
      <w:color w:val="auto"/>
      <w:u w:val="single"/>
    </w:rPr>
  </w:style>
  <w:style w:type="character" w:styleId="IntenseReference">
    <w:name w:val="Intense Reference"/>
    <w:basedOn w:val="DefaultParagraphFont"/>
    <w:uiPriority w:val="32"/>
    <w:qFormat/>
    <w:rsid w:val="00C43924"/>
    <w:rPr>
      <w:b/>
      <w:bCs/>
      <w:smallCaps/>
      <w:color w:val="auto"/>
      <w:spacing w:val="5"/>
      <w:u w:val="single"/>
    </w:rPr>
  </w:style>
  <w:style w:type="paragraph" w:customStyle="1" w:styleId="2ColumnHeading">
    <w:name w:val="2Column Heading"/>
    <w:basedOn w:val="BodyText"/>
    <w:qFormat/>
    <w:rsid w:val="00C43924"/>
    <w:pPr>
      <w:spacing w:after="60"/>
      <w:ind w:left="-2268"/>
    </w:pPr>
    <w:rPr>
      <w:b/>
    </w:rPr>
  </w:style>
  <w:style w:type="paragraph" w:customStyle="1" w:styleId="Heading1TOC">
    <w:name w:val="Heading1 TOC"/>
    <w:basedOn w:val="Normal"/>
    <w:qFormat/>
    <w:rsid w:val="00C43924"/>
    <w:pPr>
      <w:spacing w:before="240" w:after="120"/>
    </w:pPr>
    <w:rPr>
      <w:rFonts w:ascii="Times New Roman" w:hAnsi="Times New Roman"/>
      <w:b/>
      <w:sz w:val="32"/>
    </w:rPr>
  </w:style>
  <w:style w:type="paragraph" w:customStyle="1" w:styleId="Heading2TOC">
    <w:name w:val="Heading2 TOC"/>
    <w:basedOn w:val="Normal"/>
    <w:qFormat/>
    <w:rsid w:val="00C43924"/>
    <w:pPr>
      <w:spacing w:before="240" w:after="60"/>
    </w:pPr>
    <w:rPr>
      <w:rFonts w:ascii="Times New Roman" w:hAnsi="Times New Roman"/>
      <w:b/>
      <w:sz w:val="28"/>
    </w:rPr>
  </w:style>
  <w:style w:type="character" w:customStyle="1" w:styleId="Underline">
    <w:name w:val="Underline"/>
    <w:basedOn w:val="DefaultParagraphFont"/>
    <w:qFormat/>
    <w:rsid w:val="00C43924"/>
    <w:rPr>
      <w:u w:val="single"/>
    </w:rPr>
  </w:style>
  <w:style w:type="paragraph" w:styleId="BalloonText">
    <w:name w:val="Balloon Text"/>
    <w:basedOn w:val="Normal"/>
    <w:link w:val="BalloonTextChar"/>
    <w:rsid w:val="00C43924"/>
    <w:rPr>
      <w:rFonts w:ascii="Tahoma" w:hAnsi="Tahoma" w:cs="Tahoma"/>
      <w:sz w:val="16"/>
      <w:szCs w:val="16"/>
    </w:rPr>
  </w:style>
  <w:style w:type="character" w:customStyle="1" w:styleId="BalloonTextChar">
    <w:name w:val="Balloon Text Char"/>
    <w:basedOn w:val="DefaultParagraphFont"/>
    <w:link w:val="BalloonText"/>
    <w:rsid w:val="00C439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9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39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924"/>
    <w:rPr>
      <w:b/>
      <w:color w:val="660033"/>
      <w:spacing w:val="0"/>
    </w:rPr>
  </w:style>
  <w:style w:type="paragraph" w:customStyle="1" w:styleId="Nameditemlist">
    <w:name w:val="Named item list"/>
    <w:basedOn w:val="BodyText"/>
    <w:qFormat/>
    <w:rsid w:val="00C439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1347</Words>
  <Characters>9270</Characters>
  <Application>Microsoft Office Word</Application>
  <DocSecurity>0</DocSecurity>
  <Lines>360</Lines>
  <Paragraphs>195</Paragraphs>
  <ScaleCrop>false</ScaleCrop>
  <Company>Author-it Software Corporation Ltd.</Company>
  <LinksUpToDate>false</LinksUpToDate>
  <CharactersWithSpaces>10560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SFIPROC609C Monitor the seafood business environment to determine threats and opportunities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2012-10-11T21:37:00Z</dcterms:created>
  <dcterms:modified xsi:type="dcterms:W3CDTF">2012-10-11T21:37:00Z</dcterms:modified>
</cp:coreProperties>
</file>