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3F0" w:rsidP="00DD13F0">
      <w:pPr>
        <w:pStyle w:val="Title"/>
      </w:pPr>
      <w:bookmarkStart w:id="0" w:name="_GoBack"/>
      <w:bookmarkEnd w:id="0"/>
      <w:r>
        <w:fldChar w:fldCharType="begin"/>
      </w:r>
      <w:r>
        <w:instrText xml:space="preserve"> TITLE   \* MERGEFORMAT </w:instrText>
      </w:r>
      <w:r>
        <w:fldChar w:fldCharType="separate"/>
      </w:r>
      <w:r>
        <w:t>SFIPROC606C Develop and implement energy control systems in seafood processing environments</w:t>
      </w:r>
      <w:r>
        <w:fldChar w:fldCharType="end"/>
      </w:r>
    </w:p>
    <w:p w:rsidR="00DD13F0" w:rsidP="00DD13F0">
      <w:pPr>
        <w:pStyle w:val="Version"/>
        <w:sectPr w:rsidSect="00DC4C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CEF" w:rsidP="00DC4CEF">
      <w:pPr>
        <w:pStyle w:val="SuperHeading"/>
      </w:pPr>
      <w:r w:rsidRPr="00DC4CEF">
        <w:t>SFIPROC606C Develop and implement energy control systems in seafood processing environments</w:t>
      </w:r>
    </w:p>
    <w:p w:rsidR="00000000" w:rsidRPr="00DC4CEF" w:rsidP="00DC4CEF">
      <w:pPr>
        <w:pStyle w:val="Heading1"/>
      </w:pPr>
      <w:bookmarkStart w:id="1" w:name="O_273307"/>
      <w:bookmarkEnd w:id="1"/>
      <w:r w:rsidRPr="00DC4CEF">
        <w:t>Modification History</w:t>
      </w:r>
    </w:p>
    <w:p w:rsidR="00000000" w:rsidRPr="00DC4CEF" w:rsidP="00DC4CEF">
      <w:pPr>
        <w:pStyle w:val="BodyText"/>
      </w:pPr>
      <w:r w:rsidRPr="00DC4CEF">
        <w:t>Not Applicable</w:t>
      </w:r>
    </w:p>
    <w:p w:rsidR="00000000" w:rsidRPr="00DC4CEF" w:rsidP="00DC4CEF">
      <w:pPr>
        <w:pStyle w:val="AllowPageBreak"/>
      </w:pPr>
    </w:p>
    <w:p w:rsidR="00000000" w:rsidRPr="00DC4CEF" w:rsidP="00DC4CEF">
      <w:pPr>
        <w:pStyle w:val="Heading1"/>
      </w:pPr>
      <w:bookmarkStart w:id="2" w:name="O_218640"/>
      <w:bookmarkEnd w:id="2"/>
      <w:r w:rsidRPr="00DC4CEF">
        <w:t xml:space="preserve">Unit </w:t>
      </w:r>
      <w:r w:rsidRPr="00DC4CEF">
        <w:t>Descriptor</w:t>
      </w:r>
    </w:p>
    <w:tbl>
      <w:tblPr>
        <w:tblW w:w="0" w:type="auto"/>
        <w:tblLayout w:type="fixed"/>
        <w:tblCellMar>
          <w:left w:w="62" w:type="dxa"/>
          <w:right w:w="62" w:type="dxa"/>
        </w:tblCellMar>
        <w:tblLook w:val="0000"/>
      </w:tblPr>
      <w:tblGrid>
        <w:gridCol w:w="2657"/>
        <w:gridCol w:w="5865"/>
      </w:tblGrid>
      <w:tr w:rsidTr="00DD13F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BodyText"/>
            </w:pPr>
            <w:r w:rsidRPr="00DC4CEF">
              <w:t>This unit of competency involves monitoring of energy systems utilised in seafood processing and the processes by which improvements in energy efficiency might be identified and implemented.</w:t>
            </w:r>
          </w:p>
          <w:p w:rsidR="00000000" w:rsidRPr="00DC4CEF" w:rsidP="00DC4CEF">
            <w:pPr>
              <w:pStyle w:val="BodyText"/>
            </w:pPr>
            <w:r w:rsidRPr="00DC4CEF">
              <w:t xml:space="preserve">No licensing, legislative, regulatory </w:t>
            </w:r>
            <w:r w:rsidRPr="00DC4CEF">
              <w:t>or certification requirements apply to this unit at the time of publication.</w:t>
            </w:r>
          </w:p>
        </w:tc>
      </w:tr>
    </w:tbl>
    <w:p w:rsidR="00DD13F0" w:rsidP="00DC4CEF">
      <w:pPr>
        <w:pStyle w:val="BodyText"/>
      </w:pPr>
    </w:p>
    <w:p w:rsidR="00DD13F0" w:rsidP="00DC4CEF">
      <w:pPr>
        <w:pStyle w:val="BodyText"/>
      </w:pPr>
    </w:p>
    <w:p w:rsidR="00000000" w:rsidRPr="00DC4CEF" w:rsidP="00DC4CEF">
      <w:pPr>
        <w:pStyle w:val="Heading1"/>
      </w:pPr>
      <w:bookmarkStart w:id="3" w:name="O_218644"/>
      <w:bookmarkEnd w:id="3"/>
      <w:r w:rsidRPr="00DC4CEF">
        <w:t>Application of the Unit</w:t>
      </w:r>
    </w:p>
    <w:tbl>
      <w:tblPr>
        <w:tblW w:w="0" w:type="auto"/>
        <w:tblLayout w:type="fixed"/>
        <w:tblCellMar>
          <w:left w:w="62" w:type="dxa"/>
          <w:right w:w="62" w:type="dxa"/>
        </w:tblCellMar>
        <w:tblLook w:val="0000"/>
      </w:tblPr>
      <w:tblGrid>
        <w:gridCol w:w="2727"/>
        <w:gridCol w:w="5795"/>
      </w:tblGrid>
      <w:tr w:rsidTr="00DD13F0">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Application of the unit</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BodyText"/>
            </w:pPr>
            <w:r w:rsidRPr="00DC4CEF">
              <w:t xml:space="preserve">All enterprise or workplace procedures and activities are carried out according to </w:t>
            </w:r>
            <w:r w:rsidRPr="00DC4CEF">
              <w:rPr>
                <w:rStyle w:val="BoldandItalics"/>
              </w:rPr>
              <w:t xml:space="preserve">relevant government </w:t>
            </w:r>
            <w:r w:rsidRPr="00DC4CEF">
              <w:rPr>
                <w:rStyle w:val="BoldandItalics"/>
              </w:rPr>
              <w:t>regulations</w:t>
            </w:r>
            <w:r w:rsidRPr="00DC4CEF">
              <w:t xml:space="preserve">, </w:t>
            </w:r>
            <w:r w:rsidRPr="00DC4CEF">
              <w:rPr>
                <w:rStyle w:val="BoldandItalics"/>
              </w:rPr>
              <w:t>licensing and other compliance requirements</w:t>
            </w:r>
            <w:r w:rsidRPr="00DC4CEF">
              <w:t xml:space="preserve">, including </w:t>
            </w:r>
            <w:r w:rsidRPr="00DC4CEF">
              <w:rPr>
                <w:rStyle w:val="BoldandItalics"/>
              </w:rPr>
              <w:t>food safety and hygiene regulations and procedures</w:t>
            </w:r>
            <w:r w:rsidRPr="00DC4CEF">
              <w:t xml:space="preserve"> and </w:t>
            </w:r>
            <w:r w:rsidRPr="00DC4CEF">
              <w:rPr>
                <w:rStyle w:val="BoldandItalics"/>
              </w:rPr>
              <w:t>ecologically sustainable development</w:t>
            </w:r>
            <w:r w:rsidRPr="00DC4CEF">
              <w:t xml:space="preserve"> (</w:t>
            </w:r>
            <w:r w:rsidRPr="00DC4CEF">
              <w:rPr>
                <w:rStyle w:val="BoldandItalics"/>
              </w:rPr>
              <w:t>ESD</w:t>
            </w:r>
            <w:r w:rsidRPr="00DC4CEF">
              <w:t xml:space="preserve">) </w:t>
            </w:r>
            <w:r w:rsidRPr="00DC4CEF">
              <w:rPr>
                <w:rStyle w:val="BoldandItalics"/>
              </w:rPr>
              <w:t>principles</w:t>
            </w:r>
            <w:r w:rsidRPr="00DC4CEF">
              <w:t>.</w:t>
            </w:r>
          </w:p>
          <w:p w:rsidR="00000000" w:rsidRPr="00DC4CEF" w:rsidP="00DC4CEF">
            <w:pPr>
              <w:pStyle w:val="BodyText"/>
            </w:pPr>
            <w:r w:rsidRPr="00DC4CEF">
              <w:t>Equipment operation, maintenance, repairs and calibrations are undertaken in a safe manner that conforms to manufacturer instructions.</w:t>
            </w:r>
          </w:p>
        </w:tc>
      </w:tr>
    </w:tbl>
    <w:p w:rsidR="00DD13F0" w:rsidP="00DC4CEF">
      <w:pPr>
        <w:pStyle w:val="BodyText"/>
      </w:pPr>
    </w:p>
    <w:p w:rsidR="00DD13F0" w:rsidP="00DC4CEF">
      <w:pPr>
        <w:pStyle w:val="BodyText"/>
      </w:pPr>
    </w:p>
    <w:p w:rsidR="00000000" w:rsidRPr="00DC4CEF" w:rsidP="00DC4CEF">
      <w:pPr>
        <w:pStyle w:val="Heading1"/>
      </w:pPr>
      <w:bookmarkStart w:id="4" w:name="O_281567"/>
      <w:bookmarkEnd w:id="4"/>
      <w:r w:rsidRPr="00DC4CEF">
        <w:t>Licensing/Regulatory Information</w:t>
      </w:r>
    </w:p>
    <w:p w:rsidR="00000000" w:rsidRPr="00DC4CEF" w:rsidP="00DC4CEF">
      <w:pPr>
        <w:pStyle w:val="BodyText"/>
      </w:pPr>
      <w:r w:rsidRPr="00DC4CEF">
        <w:t>Refer to Unit Descriptor</w:t>
      </w:r>
    </w:p>
    <w:p w:rsidR="00000000" w:rsidRPr="00DC4CEF" w:rsidP="00DC4CEF">
      <w:pPr>
        <w:pStyle w:val="AllowPageBreak"/>
      </w:pPr>
    </w:p>
    <w:p w:rsidR="00000000" w:rsidRPr="00DC4CEF" w:rsidP="00DC4CEF">
      <w:pPr>
        <w:pStyle w:val="Heading1"/>
      </w:pPr>
      <w:bookmarkStart w:id="5" w:name="O_218642"/>
      <w:bookmarkEnd w:id="5"/>
      <w:r w:rsidRPr="00DC4CEF">
        <w:t>Pre-Requisites</w:t>
      </w:r>
    </w:p>
    <w:tbl>
      <w:tblPr>
        <w:tblW w:w="0" w:type="auto"/>
        <w:tblLayout w:type="fixed"/>
        <w:tblCellMar>
          <w:left w:w="62" w:type="dxa"/>
          <w:right w:w="62" w:type="dxa"/>
        </w:tblCellMar>
        <w:tblLook w:val="0000"/>
      </w:tblPr>
      <w:tblGrid>
        <w:gridCol w:w="2775"/>
        <w:gridCol w:w="1295"/>
        <w:gridCol w:w="4452"/>
      </w:tblGrid>
      <w:tr w:rsidTr="00DD13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Prerequisit</w:t>
            </w:r>
            <w:r w:rsidRPr="00DC4CEF">
              <w:rPr>
                <w:rStyle w:val="SpecialBold"/>
              </w:rPr>
              <w: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p>
        </w:tc>
      </w:tr>
      <w:tr w:rsidTr="00DD13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p>
        </w:tc>
      </w:tr>
      <w:tr w:rsidTr="00DD13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BodyText"/>
            </w:pPr>
          </w:p>
        </w:tc>
      </w:tr>
    </w:tbl>
    <w:p w:rsidR="00DD13F0" w:rsidP="00DC4CEF">
      <w:pPr>
        <w:pStyle w:val="BodyText"/>
      </w:pPr>
    </w:p>
    <w:p w:rsidR="00DD13F0" w:rsidP="00DC4CEF">
      <w:pPr>
        <w:pStyle w:val="BodyText"/>
      </w:pPr>
    </w:p>
    <w:p w:rsidR="00000000" w:rsidRPr="00DC4CEF" w:rsidP="00DC4CEF">
      <w:pPr>
        <w:pStyle w:val="Heading1"/>
      </w:pPr>
      <w:bookmarkStart w:id="6" w:name="O_218641"/>
      <w:bookmarkEnd w:id="6"/>
      <w:r w:rsidRPr="00DC4CEF">
        <w:t>Employability Skills Information</w:t>
      </w:r>
    </w:p>
    <w:tbl>
      <w:tblPr>
        <w:tblW w:w="0" w:type="auto"/>
        <w:tblLayout w:type="fixed"/>
        <w:tblCellMar>
          <w:left w:w="62" w:type="dxa"/>
          <w:right w:w="62" w:type="dxa"/>
        </w:tblCellMar>
        <w:tblLook w:val="0000"/>
      </w:tblPr>
      <w:tblGrid>
        <w:gridCol w:w="2802"/>
        <w:gridCol w:w="5720"/>
      </w:tblGrid>
      <w:tr w:rsidTr="00DD13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BodyText"/>
            </w:pPr>
            <w:r w:rsidRPr="00DC4CEF">
              <w:t xml:space="preserve">This unit contains employability skills. </w:t>
            </w:r>
          </w:p>
        </w:tc>
      </w:tr>
    </w:tbl>
    <w:p w:rsidR="00DD13F0" w:rsidP="00DC4CEF">
      <w:pPr>
        <w:pStyle w:val="BodyText"/>
      </w:pPr>
    </w:p>
    <w:p w:rsidR="00DD13F0" w:rsidP="00DC4CEF">
      <w:pPr>
        <w:pStyle w:val="BodyText"/>
      </w:pPr>
    </w:p>
    <w:p w:rsidR="00000000" w:rsidRPr="00DC4CEF" w:rsidP="00DC4CEF">
      <w:pPr>
        <w:pStyle w:val="Heading1"/>
      </w:pPr>
      <w:bookmarkStart w:id="7" w:name="O_291353"/>
      <w:bookmarkEnd w:id="7"/>
      <w:r w:rsidRPr="00DC4CEF">
        <w:t>Elements and Performance Criteria Pre-Content</w:t>
      </w:r>
    </w:p>
    <w:tbl>
      <w:tblPr>
        <w:tblW w:w="0" w:type="auto"/>
        <w:tblLayout w:type="fixed"/>
        <w:tblCellMar>
          <w:left w:w="62" w:type="dxa"/>
          <w:right w:w="62" w:type="dxa"/>
        </w:tblCellMar>
        <w:tblLook w:val="0000"/>
      </w:tblPr>
      <w:tblGrid>
        <w:gridCol w:w="2585"/>
        <w:gridCol w:w="5937"/>
      </w:tblGrid>
      <w:tr w:rsidTr="00DD13F0">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BodyText"/>
            </w:pPr>
            <w:r w:rsidRPr="00DC4CEF">
              <w:t>Performance criteria describe the performance needed to demonstrate achievement of the element. Where bold italicised text is used, further information is detailed in the required skills and</w:t>
            </w:r>
            <w:r w:rsidRPr="00DC4CEF">
              <w:t xml:space="preserve"> knowledge section and the range statement. Assessment of performance is to be consistent with the evidence guide.</w:t>
            </w:r>
          </w:p>
        </w:tc>
      </w:tr>
    </w:tbl>
    <w:p w:rsidR="00000000" w:rsidRPr="00DC4CEF" w:rsidP="00DC4CEF">
      <w:pPr>
        <w:pStyle w:val="BodyText"/>
      </w:pPr>
    </w:p>
    <w:p w:rsidR="00000000" w:rsidRPr="00DC4CEF" w:rsidP="00DC4CEF">
      <w:pPr>
        <w:pStyle w:val="AllowPageBreak"/>
      </w:pPr>
    </w:p>
    <w:p w:rsidR="00000000" w:rsidRPr="00DC4CEF" w:rsidP="00DC4CEF">
      <w:pPr>
        <w:pStyle w:val="Heading1"/>
      </w:pPr>
      <w:bookmarkStart w:id="8" w:name="O_238021"/>
      <w:bookmarkEnd w:id="8"/>
      <w:r w:rsidRPr="00DC4CEF">
        <w:t>Elements and Performance Criteria</w:t>
      </w:r>
    </w:p>
    <w:tbl>
      <w:tblPr>
        <w:tblW w:w="0" w:type="auto"/>
        <w:tblLayout w:type="fixed"/>
        <w:tblCellMar>
          <w:left w:w="62" w:type="dxa"/>
          <w:right w:w="62" w:type="dxa"/>
        </w:tblCellMar>
        <w:tblLook w:val="0000"/>
      </w:tblPr>
      <w:tblGrid>
        <w:gridCol w:w="2585"/>
        <w:gridCol w:w="5937"/>
      </w:tblGrid>
      <w:tr w:rsidTr="00DD13F0">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BodyText"/>
            </w:pPr>
            <w:r w:rsidRPr="00DC4CEF">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PERFORMANCE CRITERIA</w:t>
            </w:r>
          </w:p>
        </w:tc>
      </w:tr>
      <w:tr w:rsidTr="00DD13F0">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List"/>
              <w:rPr>
                <w:lang w:val="en-NZ"/>
              </w:rPr>
            </w:pPr>
            <w:r w:rsidRPr="00DC4CEF">
              <w:t>1.</w:t>
            </w:r>
            <w:r w:rsidRPr="00DC4CEF">
              <w:tab/>
              <w:t xml:space="preserve">Develop </w:t>
            </w:r>
            <w:r w:rsidRPr="00DC4CEF">
              <w:rPr>
                <w:rStyle w:val="BoldandItalics"/>
              </w:rPr>
              <w:t>criteria for control of energy</w:t>
            </w:r>
            <w:r w:rsidRPr="00DC4CEF">
              <w:t xml:space="preserve"> to be used </w:t>
            </w:r>
            <w:r w:rsidRPr="00DC4CEF">
              <w:t>in the production process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List2"/>
            </w:pPr>
            <w:r w:rsidRPr="00DC4CEF">
              <w:t>1.1.</w:t>
            </w:r>
            <w:r w:rsidRPr="00DC4CEF">
              <w:tab/>
              <w:t>Information regarding current energy usage is compiled and analysed to identify opportunities to achieve savings.</w:t>
            </w:r>
          </w:p>
          <w:p w:rsidR="00000000" w:rsidRPr="00DC4CEF" w:rsidP="00DC4CEF">
            <w:pPr>
              <w:pStyle w:val="List2"/>
            </w:pPr>
            <w:r w:rsidRPr="00DC4CEF">
              <w:t>1.2.</w:t>
            </w:r>
            <w:r w:rsidRPr="00DC4CEF">
              <w:tab/>
              <w:t>Suggestions for the control of energy usage are canvassed and collated.</w:t>
            </w:r>
          </w:p>
          <w:p w:rsidR="00000000" w:rsidRPr="00DC4CEF" w:rsidP="00DC4CEF">
            <w:pPr>
              <w:pStyle w:val="List2"/>
            </w:pPr>
            <w:r w:rsidRPr="00DC4CEF">
              <w:t>1.3.</w:t>
            </w:r>
            <w:r w:rsidRPr="00DC4CEF">
              <w:tab/>
            </w:r>
            <w:r w:rsidRPr="00DC4CEF">
              <w:rPr>
                <w:rStyle w:val="BoldandItalics"/>
              </w:rPr>
              <w:t>Potential benefits</w:t>
            </w:r>
            <w:r w:rsidRPr="00DC4CEF">
              <w:t xml:space="preserve"> to the ent</w:t>
            </w:r>
            <w:r w:rsidRPr="00DC4CEF">
              <w:t xml:space="preserve">erprise are assessed and data collated in an agreed format. </w:t>
            </w:r>
          </w:p>
          <w:p w:rsidR="00000000" w:rsidP="00DC4CEF">
            <w:pPr>
              <w:pStyle w:val="List2"/>
              <w:rPr>
                <w:lang w:val="en-NZ"/>
              </w:rPr>
            </w:pPr>
            <w:r w:rsidRPr="00DC4CEF">
              <w:t>1.4.</w:t>
            </w:r>
            <w:r w:rsidRPr="00DC4CEF">
              <w:tab/>
              <w:t>Energy control criteria are developed to achieve energy efficiency and communicated to affected personnel.</w:t>
            </w:r>
          </w:p>
        </w:tc>
      </w:tr>
      <w:tr w:rsidTr="00DD13F0">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List"/>
              <w:rPr>
                <w:lang w:val="en-NZ"/>
              </w:rPr>
            </w:pPr>
            <w:r w:rsidRPr="00DC4CEF">
              <w:t>2.</w:t>
            </w:r>
            <w:r w:rsidRPr="00DC4CEF">
              <w:tab/>
            </w:r>
            <w:r w:rsidRPr="00DC4CEF">
              <w:rPr>
                <w:rStyle w:val="BoldandItalics"/>
              </w:rPr>
              <w:t>Implement and maintain energy control systems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List2"/>
            </w:pPr>
            <w:r w:rsidRPr="00DC4CEF">
              <w:t>2.1.</w:t>
            </w:r>
            <w:r w:rsidRPr="00DC4CEF">
              <w:tab/>
              <w:t>Energy control system is imp</w:t>
            </w:r>
            <w:r w:rsidRPr="00DC4CEF">
              <w:t>lemented to achieve maximum energy savings.</w:t>
            </w:r>
          </w:p>
          <w:p w:rsidR="00000000" w:rsidRPr="00DC4CEF" w:rsidP="00DC4CEF">
            <w:pPr>
              <w:pStyle w:val="List2"/>
            </w:pPr>
            <w:r w:rsidRPr="00DC4CEF">
              <w:t>2.2.</w:t>
            </w:r>
            <w:r w:rsidRPr="00DC4CEF">
              <w:tab/>
              <w:t>Data relating to energy usage is gathered and collated in a format which enables interpretation.</w:t>
            </w:r>
          </w:p>
          <w:p w:rsidR="00000000" w:rsidRPr="00DC4CEF" w:rsidP="00DC4CEF">
            <w:pPr>
              <w:pStyle w:val="List2"/>
            </w:pPr>
            <w:r w:rsidRPr="00DC4CEF">
              <w:t>2.3.</w:t>
            </w:r>
            <w:r w:rsidRPr="00DC4CEF">
              <w:tab/>
              <w:t>Energy system is monitored to ensure continuing effectiveness of control systems.</w:t>
            </w:r>
          </w:p>
        </w:tc>
      </w:tr>
    </w:tbl>
    <w:p w:rsidR="00DD13F0" w:rsidP="00DC4CEF">
      <w:pPr>
        <w:pStyle w:val="BodyText"/>
      </w:pPr>
    </w:p>
    <w:p w:rsidR="00DD13F0" w:rsidP="00DC4CEF">
      <w:pPr>
        <w:pStyle w:val="BodyText"/>
      </w:pPr>
    </w:p>
    <w:p w:rsidR="00DD13F0" w:rsidP="00DC4CEF">
      <w:pPr>
        <w:pStyle w:val="BodyText"/>
      </w:pPr>
    </w:p>
    <w:p w:rsidR="00000000" w:rsidRPr="00DC4CEF" w:rsidP="00DC4CEF">
      <w:pPr>
        <w:pStyle w:val="Heading1"/>
      </w:pPr>
      <w:bookmarkStart w:id="9" w:name="O_261812"/>
      <w:bookmarkEnd w:id="9"/>
      <w:r w:rsidRPr="00DC4CEF">
        <w:t>Required Skills and Knowledge</w:t>
      </w:r>
    </w:p>
    <w:tbl>
      <w:tblPr>
        <w:tblW w:w="0" w:type="auto"/>
        <w:tblLayout w:type="fixed"/>
        <w:tblCellMar>
          <w:left w:w="62" w:type="dxa"/>
          <w:right w:w="62" w:type="dxa"/>
        </w:tblCellMar>
        <w:tblLook w:val="0000"/>
      </w:tblPr>
      <w:tblGrid>
        <w:gridCol w:w="8522"/>
      </w:tblGrid>
      <w:tr w:rsidTr="00DD13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REQUIRED SKILLS AND KNOWLEDGE</w:t>
            </w:r>
          </w:p>
        </w:tc>
      </w:tr>
      <w:tr w:rsidTr="00DD13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t>This section describes the skills and knowledge required for this unit.</w:t>
            </w:r>
          </w:p>
        </w:tc>
      </w:tr>
      <w:tr w:rsidTr="00DD13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Required skills</w:t>
            </w:r>
          </w:p>
        </w:tc>
      </w:tr>
      <w:tr w:rsidTr="00DD13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ListBullet"/>
            </w:pPr>
            <w:r w:rsidRPr="00DC4CEF">
              <w:t>applying cost-benefit analysis</w:t>
            </w:r>
          </w:p>
          <w:p w:rsidR="00000000" w:rsidRPr="00DC4CEF" w:rsidP="00DC4CEF">
            <w:pPr>
              <w:pStyle w:val="ListBullet"/>
            </w:pPr>
            <w:r w:rsidRPr="00DC4CEF">
              <w:t>collecting and analysing data and reporting on energy efficiency</w:t>
            </w:r>
          </w:p>
          <w:p w:rsidR="00000000" w:rsidRPr="00DC4CEF" w:rsidP="00DC4CEF">
            <w:pPr>
              <w:pStyle w:val="ListBullet"/>
            </w:pPr>
            <w:r w:rsidRPr="00DC4CEF">
              <w:t>communicating with work teams and managers</w:t>
            </w:r>
          </w:p>
          <w:p w:rsidR="00000000" w:rsidRPr="00DC4CEF" w:rsidP="00DC4CEF">
            <w:pPr>
              <w:pStyle w:val="ListBullet"/>
            </w:pPr>
            <w:r w:rsidRPr="00DC4CEF">
              <w:t>monitoring, recording and reporting on use of energy in the production process</w:t>
            </w:r>
          </w:p>
          <w:p w:rsidR="00000000" w:rsidRPr="00DC4CEF" w:rsidP="00DC4CEF">
            <w:pPr>
              <w:pStyle w:val="ListBullet"/>
            </w:pPr>
            <w:r w:rsidRPr="00DC4CEF">
              <w:t>prioritising tasks and giving appropriate attention to detail</w:t>
            </w:r>
          </w:p>
          <w:p w:rsidR="00000000" w:rsidRPr="00DC4CEF" w:rsidP="00DC4CEF">
            <w:pPr>
              <w:pStyle w:val="ListBullet"/>
            </w:pPr>
            <w:r w:rsidRPr="00DC4CEF">
              <w:t>solving</w:t>
            </w:r>
            <w:r w:rsidRPr="00DC4CEF">
              <w:t xml:space="preserve"> problems.</w:t>
            </w:r>
          </w:p>
          <w:p w:rsidR="00000000" w:rsidRPr="00DC4CEF" w:rsidP="00DC4CEF">
            <w:pPr>
              <w:pStyle w:val="BodyText"/>
            </w:pPr>
          </w:p>
          <w:p w:rsidR="00000000" w:rsidRPr="00DC4CEF" w:rsidP="00DC4CEF">
            <w:pPr>
              <w:pStyle w:val="BodyText"/>
            </w:pPr>
            <w:r w:rsidRPr="00DC4CEF">
              <w:rPr>
                <w:rStyle w:val="SpecialBold"/>
              </w:rPr>
              <w:t>Literacy skills used for</w:t>
            </w:r>
            <w:r w:rsidRPr="00DC4CEF">
              <w:t>:</w:t>
            </w:r>
          </w:p>
          <w:p w:rsidR="00000000" w:rsidRPr="00DC4CEF" w:rsidP="00DC4CEF">
            <w:pPr>
              <w:pStyle w:val="ListBullet"/>
            </w:pPr>
            <w:r w:rsidRPr="00DC4CEF">
              <w:t>compiling reports</w:t>
            </w:r>
          </w:p>
          <w:p w:rsidR="00000000" w:rsidRPr="00DC4CEF" w:rsidP="00DC4CEF">
            <w:pPr>
              <w:pStyle w:val="ListBullet"/>
            </w:pPr>
            <w:r w:rsidRPr="00DC4CEF">
              <w:t>interpreting complex technical information</w:t>
            </w:r>
          </w:p>
          <w:p w:rsidR="00000000" w:rsidRPr="00DC4CEF" w:rsidP="00DC4CEF">
            <w:pPr>
              <w:pStyle w:val="ListBullet"/>
            </w:pPr>
            <w:r w:rsidRPr="00DC4CEF">
              <w:t>preparing detailed procedures, specifications and/or contracts</w:t>
            </w:r>
          </w:p>
          <w:p w:rsidR="00000000" w:rsidRPr="00DC4CEF" w:rsidP="00DC4CEF">
            <w:pPr>
              <w:pStyle w:val="ListBullet"/>
            </w:pPr>
            <w:r w:rsidRPr="00DC4CEF">
              <w:t>preparing detailed technical reports</w:t>
            </w:r>
          </w:p>
          <w:p w:rsidR="00000000" w:rsidRPr="00DC4CEF" w:rsidP="00DC4CEF">
            <w:pPr>
              <w:pStyle w:val="ListBullet"/>
            </w:pPr>
            <w:r w:rsidRPr="00DC4CEF">
              <w:t>recording data.</w:t>
            </w:r>
          </w:p>
          <w:p w:rsidR="00000000" w:rsidRPr="00DC4CEF" w:rsidP="00DC4CEF">
            <w:pPr>
              <w:pStyle w:val="BodyText"/>
            </w:pPr>
          </w:p>
          <w:p w:rsidR="00000000" w:rsidRPr="00DC4CEF" w:rsidP="00DC4CEF">
            <w:pPr>
              <w:pStyle w:val="BodyText"/>
            </w:pPr>
            <w:r w:rsidRPr="00DC4CEF">
              <w:rPr>
                <w:rStyle w:val="SpecialBold"/>
              </w:rPr>
              <w:t>Numeracy skills used for</w:t>
            </w:r>
            <w:r w:rsidRPr="00DC4CEF">
              <w:t>:</w:t>
            </w:r>
          </w:p>
          <w:p w:rsidR="00000000" w:rsidRPr="00DC4CEF" w:rsidP="00DC4CEF">
            <w:pPr>
              <w:pStyle w:val="ListBullet"/>
            </w:pPr>
            <w:r w:rsidRPr="00DC4CEF">
              <w:t>calculating energy usage</w:t>
            </w:r>
          </w:p>
          <w:p w:rsidR="00000000" w:rsidRPr="00DC4CEF" w:rsidP="00DC4CEF">
            <w:pPr>
              <w:pStyle w:val="ListBullet"/>
            </w:pPr>
            <w:r w:rsidRPr="00DC4CEF">
              <w:t>estimating costs</w:t>
            </w:r>
          </w:p>
          <w:p w:rsidR="00000000" w:rsidRPr="00DC4CEF" w:rsidP="00DC4CEF">
            <w:pPr>
              <w:pStyle w:val="ListBullet"/>
            </w:pPr>
            <w:r w:rsidRPr="00DC4CEF">
              <w:t>formulae for design criteria (e.g. flows, temperature and pressure)</w:t>
            </w:r>
          </w:p>
          <w:p w:rsidR="00000000" w:rsidP="00DC4CEF">
            <w:pPr>
              <w:pStyle w:val="ListBullet"/>
              <w:rPr>
                <w:lang w:val="en-NZ"/>
              </w:rPr>
            </w:pPr>
            <w:r w:rsidRPr="00DC4CEF">
              <w:t>reading and interpreting data recording devices.</w:t>
            </w:r>
          </w:p>
        </w:tc>
      </w:tr>
      <w:tr w:rsidTr="00DD13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Required knowledge</w:t>
            </w:r>
          </w:p>
        </w:tc>
      </w:tr>
      <w:tr w:rsidTr="00DD13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ListBullet"/>
            </w:pPr>
            <w:r w:rsidRPr="00DC4CEF">
              <w:t>cost-benefit analysis principles</w:t>
            </w:r>
          </w:p>
          <w:p w:rsidR="00000000" w:rsidRPr="00DC4CEF" w:rsidP="00DC4CEF">
            <w:pPr>
              <w:pStyle w:val="ListBullet"/>
            </w:pPr>
            <w:r w:rsidRPr="00DC4CEF">
              <w:t>energy management and control systems</w:t>
            </w:r>
          </w:p>
          <w:p w:rsidR="00000000" w:rsidRPr="00DC4CEF" w:rsidP="00DC4CEF">
            <w:pPr>
              <w:pStyle w:val="ListBullet"/>
            </w:pPr>
            <w:r w:rsidRPr="00DC4CEF">
              <w:t>metho</w:t>
            </w:r>
            <w:r w:rsidRPr="00DC4CEF">
              <w:t>ds and principles of energy generation.</w:t>
            </w:r>
          </w:p>
        </w:tc>
      </w:tr>
    </w:tbl>
    <w:p w:rsidR="00DD13F0" w:rsidP="00DC4CEF">
      <w:pPr>
        <w:pStyle w:val="BodyText"/>
      </w:pPr>
    </w:p>
    <w:p w:rsidR="00DD13F0" w:rsidP="00DC4CEF">
      <w:pPr>
        <w:pStyle w:val="BodyText"/>
      </w:pPr>
    </w:p>
    <w:p w:rsidR="00000000" w:rsidRPr="00DC4CEF" w:rsidP="00DC4CEF">
      <w:pPr>
        <w:pStyle w:val="AllowPageBreak"/>
      </w:pPr>
    </w:p>
    <w:p w:rsidR="00000000" w:rsidRPr="00DC4CEF" w:rsidP="00DC4CEF">
      <w:pPr>
        <w:pStyle w:val="Heading1"/>
      </w:pPr>
      <w:bookmarkStart w:id="10" w:name="O_246005"/>
      <w:bookmarkEnd w:id="10"/>
      <w:r w:rsidRPr="00DC4CEF">
        <w:t>Evidence Guide</w:t>
      </w:r>
    </w:p>
    <w:tbl>
      <w:tblPr>
        <w:tblW w:w="9570" w:type="dxa"/>
        <w:tblLayout w:type="fixed"/>
        <w:tblCellMar>
          <w:left w:w="62" w:type="dxa"/>
          <w:right w:w="62" w:type="dxa"/>
        </w:tblCellMar>
        <w:tblLook w:val="0000"/>
      </w:tblPr>
      <w:tblGrid>
        <w:gridCol w:w="3908"/>
        <w:gridCol w:w="5662"/>
      </w:tblGrid>
      <w:tr w:rsidTr="00DD13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EVIDENCE GUIDE</w:t>
            </w:r>
          </w:p>
        </w:tc>
      </w:tr>
      <w:tr w:rsidTr="00DD13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t xml:space="preserve">The evidence guide provides advice on assessment and must be read in conjunction with the performance criteria, required skills and knowledge, </w:t>
            </w:r>
            <w:r w:rsidRPr="00DC4CEF">
              <w:t>range statement and the Assessment Guidelines for the Training Package.</w:t>
            </w:r>
          </w:p>
        </w:tc>
      </w:tr>
      <w:tr w:rsidTr="00DD1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p>
        </w:tc>
      </w:tr>
      <w:tr w:rsidTr="00DD1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BodyText"/>
            </w:pPr>
            <w:r w:rsidRPr="00DC4CEF">
              <w:t xml:space="preserve">Assessment must confirm the ability to: </w:t>
            </w:r>
          </w:p>
          <w:p w:rsidR="00000000" w:rsidRPr="00DC4CEF" w:rsidP="00DC4CEF">
            <w:pPr>
              <w:pStyle w:val="ListBullet"/>
            </w:pPr>
            <w:r w:rsidRPr="00DC4CEF">
              <w:t xml:space="preserve">perform tasks necessary to </w:t>
            </w:r>
            <w:r w:rsidRPr="00DC4CEF">
              <w:t>optimise the use of all forms of energy in the processing or production activities of the enterprise, and to monitor developments with a view to achieving energy efficiency.</w:t>
            </w:r>
          </w:p>
          <w:p w:rsidR="00000000" w:rsidRPr="00DC4CEF" w:rsidP="00DC4CEF">
            <w:pPr>
              <w:pStyle w:val="BodyText"/>
            </w:pPr>
          </w:p>
          <w:p w:rsidR="00000000" w:rsidRPr="00DC4CEF" w:rsidP="00DC4CEF">
            <w:pPr>
              <w:pStyle w:val="BodyText"/>
            </w:pPr>
            <w:r w:rsidRPr="00DC4CEF">
              <w:t xml:space="preserve">Assessment must confirm knowledge of: </w:t>
            </w:r>
          </w:p>
          <w:p w:rsidR="00000000" w:rsidRPr="00DC4CEF" w:rsidP="00DC4CEF">
            <w:pPr>
              <w:pStyle w:val="ListBullet"/>
            </w:pPr>
            <w:r w:rsidRPr="00DC4CEF">
              <w:t>corrective actions to maintain temperature control in energy emergency</w:t>
            </w:r>
          </w:p>
          <w:p w:rsidR="00000000" w:rsidRPr="00DC4CEF" w:rsidP="00DC4CEF">
            <w:pPr>
              <w:pStyle w:val="ListBullet"/>
            </w:pPr>
            <w:r w:rsidRPr="00DC4CEF">
              <w:t>cost-benefit analysis methods to review alternative energy systems</w:t>
            </w:r>
          </w:p>
          <w:p w:rsidR="00000000" w:rsidRPr="00DC4CEF" w:rsidP="00DC4CEF">
            <w:pPr>
              <w:pStyle w:val="ListBullet"/>
            </w:pPr>
            <w:r w:rsidRPr="00DC4CEF">
              <w:t>energy management and control systems development</w:t>
            </w:r>
          </w:p>
          <w:p w:rsidR="00000000" w:rsidRPr="00DC4CEF" w:rsidP="00DC4CEF">
            <w:pPr>
              <w:pStyle w:val="ListBullet"/>
            </w:pPr>
            <w:r w:rsidRPr="00DC4CEF">
              <w:t>in-process tests to monitor energy performance</w:t>
            </w:r>
          </w:p>
          <w:p w:rsidR="00000000" w:rsidRPr="00DC4CEF" w:rsidP="00DC4CEF">
            <w:pPr>
              <w:pStyle w:val="ListBullet"/>
            </w:pPr>
            <w:r w:rsidRPr="00DC4CEF">
              <w:t>plant, process and pe</w:t>
            </w:r>
            <w:r w:rsidRPr="00DC4CEF">
              <w:t>rsonal safety requirements</w:t>
            </w:r>
          </w:p>
          <w:p w:rsidR="00000000" w:rsidRPr="00DC4CEF" w:rsidP="00DC4CEF">
            <w:pPr>
              <w:pStyle w:val="ListBullet"/>
            </w:pPr>
            <w:r w:rsidRPr="00DC4CEF">
              <w:t>preventative maintenance requirements to maximise energy performance</w:t>
            </w:r>
          </w:p>
          <w:p w:rsidR="00000000" w:rsidRPr="00DC4CEF" w:rsidP="00DC4CEF">
            <w:pPr>
              <w:pStyle w:val="ListBullet"/>
            </w:pPr>
            <w:r w:rsidRPr="00DC4CEF">
              <w:t>set-up, start-up and operating parameters for energy generation and/or ancillary plant used in the production process</w:t>
            </w:r>
          </w:p>
          <w:p w:rsidR="00000000" w:rsidRPr="00DC4CEF" w:rsidP="00DC4CEF">
            <w:pPr>
              <w:pStyle w:val="ListBullet"/>
            </w:pPr>
            <w:r w:rsidRPr="00DC4CEF">
              <w:t>start-up, shutdown and emergency procedure</w:t>
            </w:r>
            <w:r w:rsidRPr="00DC4CEF">
              <w:t>s</w:t>
            </w:r>
          </w:p>
          <w:p w:rsidR="00000000" w:rsidP="00DC4CEF">
            <w:pPr>
              <w:pStyle w:val="ListBullet"/>
              <w:rPr>
                <w:lang w:val="en-NZ"/>
              </w:rPr>
            </w:pPr>
            <w:r w:rsidRPr="00DC4CEF">
              <w:t>the generation of workplace data to identify energy use and/or requirements.</w:t>
            </w:r>
          </w:p>
        </w:tc>
      </w:tr>
      <w:tr w:rsidTr="00DD1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BodyText"/>
            </w:pPr>
            <w:r w:rsidRPr="00DC4CEF">
              <w:t>Assessment may be conducted in the workplace or in a simulated work environment.</w:t>
            </w:r>
          </w:p>
          <w:p w:rsidR="00000000" w:rsidRPr="00DC4CEF" w:rsidP="00DC4CEF">
            <w:pPr>
              <w:pStyle w:val="BodyText"/>
            </w:pPr>
          </w:p>
          <w:p w:rsidR="00000000" w:rsidRPr="00DC4CEF" w:rsidP="00DC4CEF">
            <w:pPr>
              <w:pStyle w:val="BodyText"/>
            </w:pPr>
            <w:r w:rsidRPr="00DC4CEF">
              <w:t>Resources may include:</w:t>
            </w:r>
          </w:p>
          <w:p w:rsidR="00000000" w:rsidRPr="00DC4CEF" w:rsidP="00DC4CEF">
            <w:pPr>
              <w:pStyle w:val="ListBullet"/>
            </w:pPr>
            <w:r w:rsidRPr="00DC4CEF">
              <w:t>access to enterprise e</w:t>
            </w:r>
            <w:r w:rsidRPr="00DC4CEF">
              <w:t>xpertise in production, processing, engineering and cost control</w:t>
            </w:r>
          </w:p>
          <w:p w:rsidR="00000000" w:rsidRPr="00DC4CEF" w:rsidP="00DC4CEF">
            <w:pPr>
              <w:pStyle w:val="ListBullet"/>
            </w:pPr>
            <w:r w:rsidRPr="00DC4CEF">
              <w:t>data recording devices</w:t>
            </w:r>
          </w:p>
          <w:p w:rsidR="00000000" w:rsidRPr="00DC4CEF" w:rsidP="00DC4CEF">
            <w:pPr>
              <w:pStyle w:val="ListBullet"/>
            </w:pPr>
            <w:r w:rsidRPr="00DC4CEF">
              <w:t>enterprise standard operating procedures (SOPs), work instructions and relevant specifications</w:t>
            </w:r>
          </w:p>
          <w:p w:rsidR="00000000" w:rsidRPr="00DC4CEF" w:rsidP="00DC4CEF">
            <w:pPr>
              <w:pStyle w:val="ListBullet"/>
            </w:pPr>
            <w:r w:rsidRPr="00DC4CEF">
              <w:t>equipment and facilities suitable for the monitoring or measurement of energy usage</w:t>
            </w:r>
          </w:p>
          <w:p w:rsidR="00000000" w:rsidRPr="00DC4CEF" w:rsidP="00DC4CEF">
            <w:pPr>
              <w:pStyle w:val="ListBullet"/>
            </w:pPr>
            <w:r w:rsidRPr="00DC4CEF">
              <w:t>equipment set-up, start-up and shutdown procedures</w:t>
            </w:r>
          </w:p>
          <w:p w:rsidR="00000000" w:rsidRPr="00DC4CEF" w:rsidP="00DC4CEF">
            <w:pPr>
              <w:pStyle w:val="ListBullet"/>
            </w:pPr>
            <w:r w:rsidRPr="00DC4CEF">
              <w:t>food safety, HACCP and other standards relevant to temperature control and/or process requirements</w:t>
            </w:r>
          </w:p>
          <w:p w:rsidR="00000000" w:rsidP="00DC4CEF">
            <w:pPr>
              <w:pStyle w:val="ListBullet"/>
              <w:rPr>
                <w:lang w:val="en-NZ"/>
              </w:rPr>
            </w:pPr>
            <w:r w:rsidRPr="00DC4CEF">
              <w:t>historical data relati</w:t>
            </w:r>
            <w:r w:rsidRPr="00DC4CEF">
              <w:t>ng to enterprise energy use.</w:t>
            </w:r>
          </w:p>
        </w:tc>
      </w:tr>
      <w:tr w:rsidTr="00DD1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BodyText"/>
            </w:pPr>
            <w:r w:rsidRPr="00DC4CEF">
              <w:t xml:space="preserve">The following assessment methods are suggested: </w:t>
            </w:r>
          </w:p>
          <w:p w:rsidR="00000000" w:rsidRPr="00DC4CEF" w:rsidP="00DC4CEF">
            <w:pPr>
              <w:pStyle w:val="ListBullet"/>
            </w:pPr>
            <w:r w:rsidRPr="00DC4CEF">
              <w:t>project (work or scenario based)</w:t>
            </w:r>
          </w:p>
          <w:p w:rsidR="00000000" w:rsidRPr="00DC4CEF" w:rsidP="00DC4CEF">
            <w:pPr>
              <w:pStyle w:val="ListBullet"/>
            </w:pPr>
            <w:r w:rsidRPr="00DC4CEF">
              <w:t>workplace data</w:t>
            </w:r>
          </w:p>
          <w:p w:rsidR="00000000" w:rsidP="00DC4CEF">
            <w:pPr>
              <w:pStyle w:val="ListBullet"/>
              <w:rPr>
                <w:lang w:val="en-NZ"/>
              </w:rPr>
            </w:pPr>
            <w:r w:rsidRPr="00DC4CEF">
              <w:t>written or oral questions.</w:t>
            </w:r>
          </w:p>
        </w:tc>
      </w:tr>
      <w:tr w:rsidTr="00DD13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BodyText"/>
            </w:pPr>
            <w:r w:rsidRPr="00DC4CEF">
              <w:t xml:space="preserve">This unit may be assessed holistically with </w:t>
            </w:r>
            <w:r w:rsidRPr="00DC4CEF">
              <w:t>other units within a qualification.</w:t>
            </w:r>
          </w:p>
        </w:tc>
      </w:tr>
    </w:tbl>
    <w:p w:rsidR="00DD13F0" w:rsidP="00DC4CEF">
      <w:pPr>
        <w:pStyle w:val="BodyText"/>
      </w:pPr>
    </w:p>
    <w:p w:rsidR="00DD13F0" w:rsidP="00DC4CEF">
      <w:pPr>
        <w:pStyle w:val="BodyText"/>
      </w:pPr>
    </w:p>
    <w:p w:rsidR="00000000" w:rsidRPr="00DC4CEF" w:rsidP="00DC4CEF">
      <w:pPr>
        <w:pStyle w:val="Heading1"/>
      </w:pPr>
      <w:bookmarkStart w:id="11" w:name="O_253988"/>
      <w:bookmarkEnd w:id="11"/>
      <w:r w:rsidRPr="00DC4CEF">
        <w:t>Range Statement</w:t>
      </w:r>
    </w:p>
    <w:tbl>
      <w:tblPr>
        <w:tblW w:w="0" w:type="auto"/>
        <w:tblLayout w:type="fixed"/>
        <w:tblCellMar>
          <w:left w:w="62" w:type="dxa"/>
          <w:right w:w="62" w:type="dxa"/>
        </w:tblCellMar>
        <w:tblLook w:val="0000"/>
      </w:tblPr>
      <w:tblGrid>
        <w:gridCol w:w="3440"/>
        <w:gridCol w:w="5082"/>
      </w:tblGrid>
      <w:tr w:rsidTr="00DD13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RANGE STATEMENT</w:t>
            </w:r>
          </w:p>
        </w:tc>
      </w:tr>
      <w:tr w:rsidTr="00DD13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t xml:space="preserve">The range statement relates to the unit of competency as a whole. It allows for different work environments and situations that may affect </w:t>
            </w:r>
            <w:r w:rsidRPr="00DC4CEF">
              <w:t>performance. Bold italicised wording, if used in the performance criteria, is detailed below. Essential operating conditions that may be present with training and assessment (depending on the work situation, needs of the candidate, accessibility of the ite</w:t>
            </w:r>
            <w:r w:rsidRPr="00DC4CEF">
              <w:t>m, and local industry and regional contexts) may also be included.</w:t>
            </w:r>
          </w:p>
        </w:tc>
      </w:tr>
      <w:tr w:rsidTr="00DD13F0">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BoldandItalics"/>
              </w:rPr>
              <w:t>Relevant government regulations</w:t>
            </w:r>
            <w:r w:rsidRPr="00DC4CEF">
              <w:t xml:space="preserve">, </w:t>
            </w:r>
            <w:r w:rsidRPr="00DC4CEF">
              <w:rPr>
                <w:rStyle w:val="BoldandItalics"/>
              </w:rPr>
              <w:t>licensing and other compliance requirements</w:t>
            </w:r>
            <w:r w:rsidRPr="00DC4CEF">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ListBullet"/>
            </w:pPr>
            <w:r w:rsidRPr="00DC4CEF">
              <w:t>ESD principles, environmental hazard identification, risk assessment and control</w:t>
            </w:r>
          </w:p>
          <w:p w:rsidR="00000000" w:rsidRPr="00DC4CEF" w:rsidP="00DC4CEF">
            <w:pPr>
              <w:pStyle w:val="ListBullet"/>
            </w:pPr>
            <w:r w:rsidRPr="00DC4CEF">
              <w:t>food safety, Hazard Analysis Critical Control Point (HACCP), hygiene and temperature control along chain of custody</w:t>
            </w:r>
          </w:p>
          <w:p w:rsidR="00000000" w:rsidRPr="00DC4CEF" w:rsidP="00DC4CEF">
            <w:pPr>
              <w:pStyle w:val="ListBullet"/>
            </w:pPr>
            <w:r w:rsidRPr="00DC4CEF">
              <w:t>imports quarantine and inspection, and importing approved arrangements for Australian Quarantine Inspection Service (AQIS), Australian Custo</w:t>
            </w:r>
            <w:r w:rsidRPr="00DC4CEF">
              <w:t>ms Service (ACS) and Biosecurity Australia (BA)</w:t>
            </w:r>
          </w:p>
          <w:p w:rsidR="00000000" w:rsidRPr="00DC4CEF" w:rsidP="00DC4CEF">
            <w:pPr>
              <w:pStyle w:val="ListBullet"/>
            </w:pPr>
            <w:r w:rsidRPr="00DC4CEF">
              <w:t>land, buildings and vehicles:</w:t>
            </w:r>
          </w:p>
          <w:p w:rsidR="00000000" w:rsidRPr="00DC4CEF" w:rsidP="00DC4CEF">
            <w:pPr>
              <w:pStyle w:val="ListBullet2"/>
            </w:pPr>
            <w:r w:rsidRPr="00DC4CEF">
              <w:t>buildings and structures design and appearance, constructions and additions</w:t>
            </w:r>
          </w:p>
          <w:p w:rsidR="00000000" w:rsidRPr="00DC4CEF" w:rsidP="00DC4CEF">
            <w:pPr>
              <w:pStyle w:val="ListBullet2"/>
            </w:pPr>
            <w:r w:rsidRPr="00DC4CEF">
              <w:t>use of utilities, including water, natural gas, electricity and sewage</w:t>
            </w:r>
          </w:p>
          <w:p w:rsidR="00000000" w:rsidRPr="00DC4CEF" w:rsidP="00DC4CEF">
            <w:pPr>
              <w:pStyle w:val="ListBullet2"/>
            </w:pPr>
            <w:r w:rsidRPr="00DC4CEF">
              <w:t xml:space="preserve">land lease, tenure or ownership and use </w:t>
            </w:r>
          </w:p>
          <w:p w:rsidR="00000000" w:rsidRPr="00DC4CEF" w:rsidP="00DC4CEF">
            <w:pPr>
              <w:pStyle w:val="ListBullet"/>
            </w:pPr>
            <w:r w:rsidRPr="00DC4CEF">
              <w:t>business or workplace operations, policies and practices:</w:t>
            </w:r>
          </w:p>
          <w:p w:rsidR="00000000" w:rsidRPr="00DC4CEF" w:rsidP="00DC4CEF">
            <w:pPr>
              <w:pStyle w:val="ListBullet2"/>
            </w:pPr>
            <w:r w:rsidRPr="00DC4CEF">
              <w:t xml:space="preserve">commercial law, including fair trading and trade practices </w:t>
            </w:r>
          </w:p>
          <w:p w:rsidR="00000000" w:rsidRPr="00DC4CEF" w:rsidP="00DC4CEF">
            <w:pPr>
              <w:pStyle w:val="ListBullet2"/>
            </w:pPr>
            <w:r w:rsidRPr="00DC4CEF">
              <w:t>consumer law</w:t>
            </w:r>
          </w:p>
          <w:p w:rsidR="00000000" w:rsidRPr="00DC4CEF" w:rsidP="00DC4CEF">
            <w:pPr>
              <w:pStyle w:val="ListBullet2"/>
            </w:pPr>
            <w:r w:rsidRPr="00DC4CEF">
              <w:t xml:space="preserve">corporate law, including registration, licensing and financial reporting </w:t>
            </w:r>
          </w:p>
          <w:p w:rsidR="00000000" w:rsidRPr="00DC4CEF" w:rsidP="00DC4CEF">
            <w:pPr>
              <w:pStyle w:val="ListBullet2"/>
            </w:pPr>
            <w:r w:rsidRPr="00DC4CEF">
              <w:t>disabilit</w:t>
            </w:r>
            <w:r w:rsidRPr="00DC4CEF">
              <w:t>y policies and practices</w:t>
            </w:r>
          </w:p>
          <w:p w:rsidR="00000000" w:rsidRPr="00DC4CEF" w:rsidP="00DC4CEF">
            <w:pPr>
              <w:pStyle w:val="ListBullet2"/>
            </w:pPr>
            <w:r w:rsidRPr="00DC4CEF">
              <w:t xml:space="preserve">equal opportunity, anti-discrimination and sexual harassment </w:t>
            </w:r>
          </w:p>
          <w:p w:rsidR="00000000" w:rsidRPr="00DC4CEF" w:rsidP="00DC4CEF">
            <w:pPr>
              <w:pStyle w:val="ListBullet2"/>
            </w:pPr>
            <w:r w:rsidRPr="00DC4CEF">
              <w:t>industrial relations and awards, individual employment contracts and share of catch agreements</w:t>
            </w:r>
          </w:p>
          <w:p w:rsidR="00000000" w:rsidRPr="00DC4CEF" w:rsidP="00DC4CEF">
            <w:pPr>
              <w:pStyle w:val="ListBullet2"/>
            </w:pPr>
            <w:r w:rsidRPr="00DC4CEF">
              <w:t>jurisdictional variations</w:t>
            </w:r>
          </w:p>
          <w:p w:rsidR="00000000" w:rsidRPr="00DC4CEF" w:rsidP="00DC4CEF">
            <w:pPr>
              <w:pStyle w:val="ListBullet2"/>
            </w:pPr>
            <w:r w:rsidRPr="00DC4CEF">
              <w:t>superannuation</w:t>
            </w:r>
          </w:p>
          <w:p w:rsidR="00000000" w:rsidRPr="00DC4CEF" w:rsidP="00DC4CEF">
            <w:pPr>
              <w:pStyle w:val="ListBullet2"/>
            </w:pPr>
            <w:r w:rsidRPr="00DC4CEF">
              <w:t>taxation</w:t>
            </w:r>
          </w:p>
          <w:p w:rsidR="00000000" w:rsidRPr="00DC4CEF" w:rsidP="00DC4CEF">
            <w:pPr>
              <w:pStyle w:val="ListBullet2"/>
            </w:pPr>
            <w:r w:rsidRPr="00DC4CEF">
              <w:t xml:space="preserve">trade practices </w:t>
            </w:r>
          </w:p>
          <w:p w:rsidR="00000000" w:rsidRPr="00DC4CEF" w:rsidP="00DC4CEF">
            <w:pPr>
              <w:pStyle w:val="ListBullet2"/>
            </w:pPr>
            <w:r w:rsidRPr="00DC4CEF">
              <w:t>warning</w:t>
            </w:r>
            <w:r w:rsidRPr="00DC4CEF">
              <w:t>s and dismissals</w:t>
            </w:r>
          </w:p>
          <w:p w:rsidR="00000000" w:rsidRPr="00DC4CEF" w:rsidP="00DC4CEF">
            <w:pPr>
              <w:pStyle w:val="ListBullet2"/>
            </w:pPr>
            <w:r w:rsidRPr="00DC4CEF">
              <w:t>worker's compensation</w:t>
            </w:r>
          </w:p>
          <w:p w:rsidR="00000000" w:rsidRPr="00DC4CEF" w:rsidP="00DC4CEF">
            <w:pPr>
              <w:pStyle w:val="ListBullet"/>
            </w:pPr>
            <w:r w:rsidRPr="00DC4CEF">
              <w:t>occupational health and safety (OHS) hazard identification, risk assessment and control</w:t>
            </w:r>
          </w:p>
          <w:p w:rsidR="00000000" w:rsidRPr="00DC4CEF" w:rsidP="00DC4CEF">
            <w:pPr>
              <w:pStyle w:val="ListBullet"/>
            </w:pPr>
            <w:r w:rsidRPr="00DC4CEF">
              <w:t>product quality assurance:</w:t>
            </w:r>
          </w:p>
          <w:p w:rsidR="00000000" w:rsidRPr="00DC4CEF" w:rsidP="00DC4CEF">
            <w:pPr>
              <w:pStyle w:val="ListBullet2"/>
            </w:pPr>
            <w:r w:rsidRPr="00DC4CEF">
              <w:t xml:space="preserve">correct naming and labelling (e.g. country of origin, Australian Fish Names Standard and </w:t>
            </w:r>
            <w:r w:rsidRPr="00DC4CEF">
              <w:t>eco-labelling)</w:t>
            </w:r>
          </w:p>
          <w:p w:rsidR="00000000" w:rsidRPr="00DC4CEF" w:rsidP="00DC4CEF">
            <w:pPr>
              <w:pStyle w:val="ListBullet2"/>
            </w:pPr>
            <w:r w:rsidRPr="00DC4CEF">
              <w:t>correct quantities, sizes and other customer requirements</w:t>
            </w:r>
          </w:p>
          <w:p w:rsidR="00000000" w:rsidP="00DC4CEF">
            <w:pPr>
              <w:pStyle w:val="ListBullet2"/>
              <w:rPr>
                <w:lang w:val="en-NZ"/>
              </w:rPr>
            </w:pPr>
            <w:r w:rsidRPr="00DC4CEF">
              <w:t>third-party certification (e.g. Australian Grown and ISO 14001:2004 Environmental management systems).</w:t>
            </w:r>
          </w:p>
        </w:tc>
      </w:tr>
      <w:tr w:rsidTr="00DD13F0">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BoldandItalics"/>
              </w:rPr>
              <w:t>Food safety and hygiene regulations and procedures</w:t>
            </w:r>
            <w:r w:rsidRPr="00DC4CEF">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ListBullet"/>
            </w:pPr>
            <w:r w:rsidRPr="00DC4CEF">
              <w:t>Australian Shel</w:t>
            </w:r>
            <w:r w:rsidRPr="00DC4CEF">
              <w:t>lfish Sanitation program</w:t>
            </w:r>
          </w:p>
          <w:p w:rsidR="00000000" w:rsidRPr="00DC4CEF" w:rsidP="00DC4CEF">
            <w:pPr>
              <w:pStyle w:val="ListBullet"/>
            </w:pPr>
            <w:r w:rsidRPr="00DC4CEF">
              <w:t>display, packaging and sale of food, including seafood and aquatic products</w:t>
            </w:r>
          </w:p>
          <w:p w:rsidR="00000000" w:rsidRPr="00DC4CEF" w:rsidP="00DC4CEF">
            <w:pPr>
              <w:pStyle w:val="ListBullet"/>
            </w:pPr>
            <w:r w:rsidRPr="00DC4CEF">
              <w:t xml:space="preserve">equipment design, use, cleaning and maintenance </w:t>
            </w:r>
          </w:p>
          <w:p w:rsidR="00000000" w:rsidRPr="00DC4CEF" w:rsidP="00DC4CEF">
            <w:pPr>
              <w:pStyle w:val="ListBullet"/>
            </w:pPr>
            <w:r w:rsidRPr="00DC4CEF">
              <w:t>exporting requirements, including AQIS Export Control (Fish) orders</w:t>
            </w:r>
          </w:p>
          <w:p w:rsidR="00000000" w:rsidRPr="00DC4CEF" w:rsidP="00DC4CEF">
            <w:pPr>
              <w:pStyle w:val="ListBullet"/>
            </w:pPr>
            <w:r w:rsidRPr="00DC4CEF">
              <w:t xml:space="preserve">handling and disposal of condemned or </w:t>
            </w:r>
            <w:r w:rsidRPr="00DC4CEF">
              <w:t>recalled seafood products</w:t>
            </w:r>
          </w:p>
          <w:p w:rsidR="00000000" w:rsidRPr="00DC4CEF" w:rsidP="00DC4CEF">
            <w:pPr>
              <w:pStyle w:val="ListBullet"/>
            </w:pPr>
            <w:r w:rsidRPr="00DC4CEF">
              <w:t>HACCP, food safety program, and other risk minimisation and quality assurance systems</w:t>
            </w:r>
          </w:p>
          <w:p w:rsidR="00000000" w:rsidRPr="00DC4CEF" w:rsidP="00DC4CEF">
            <w:pPr>
              <w:pStyle w:val="ListBullet"/>
            </w:pPr>
            <w:r w:rsidRPr="00DC4CEF">
              <w:t xml:space="preserve">location, construction and servicing of seafood premises </w:t>
            </w:r>
          </w:p>
          <w:p w:rsidR="00000000" w:rsidRPr="00DC4CEF" w:rsidP="00DC4CEF">
            <w:pPr>
              <w:pStyle w:val="ListBullet"/>
            </w:pPr>
            <w:r w:rsidRPr="00DC4CEF">
              <w:t>people, product and place hygiene and sanitation requirements</w:t>
            </w:r>
          </w:p>
          <w:p w:rsidR="00000000" w:rsidRPr="00DC4CEF" w:rsidP="00DC4CEF">
            <w:pPr>
              <w:pStyle w:val="ListBullet"/>
            </w:pPr>
            <w:r w:rsidRPr="00DC4CEF">
              <w:t xml:space="preserve">Primary Products Standard and the Australian Seafood Standard (voluntary) </w:t>
            </w:r>
          </w:p>
          <w:p w:rsidR="00000000" w:rsidRPr="00DC4CEF" w:rsidP="00DC4CEF">
            <w:pPr>
              <w:pStyle w:val="ListBullet"/>
            </w:pPr>
            <w:r w:rsidRPr="00DC4CEF">
              <w:t xml:space="preserve">processing, further processing and preparation of food, including seafood and aquatic products </w:t>
            </w:r>
          </w:p>
          <w:p w:rsidR="00000000" w:rsidRPr="00DC4CEF" w:rsidP="00DC4CEF">
            <w:pPr>
              <w:pStyle w:val="ListBullet"/>
            </w:pPr>
            <w:r w:rsidRPr="00DC4CEF">
              <w:t>product labelling, tracing and recall</w:t>
            </w:r>
          </w:p>
          <w:p w:rsidR="00000000" w:rsidRPr="00DC4CEF" w:rsidP="00DC4CEF">
            <w:pPr>
              <w:pStyle w:val="ListBullet"/>
            </w:pPr>
            <w:r w:rsidRPr="00DC4CEF">
              <w:t>receipt, storage and transportation of food, in</w:t>
            </w:r>
            <w:r w:rsidRPr="00DC4CEF">
              <w:t>cluding seafood and aquatic products</w:t>
            </w:r>
          </w:p>
          <w:p w:rsidR="00000000" w:rsidRPr="00DC4CEF" w:rsidP="00DC4CEF">
            <w:pPr>
              <w:pStyle w:val="ListBullet"/>
            </w:pPr>
            <w:r w:rsidRPr="00DC4CEF">
              <w:t>requirements set out in Australian and New Zealand Food Authority (ANZFA) Food Standards Code and state and territory food regulations</w:t>
            </w:r>
          </w:p>
          <w:p w:rsidR="00000000" w:rsidP="00DC4CEF">
            <w:pPr>
              <w:pStyle w:val="ListBullet"/>
              <w:rPr>
                <w:lang w:val="en-NZ"/>
              </w:rPr>
            </w:pPr>
            <w:r w:rsidRPr="00DC4CEF">
              <w:t>temperature and contamination control along chain of custody.</w:t>
            </w:r>
          </w:p>
        </w:tc>
      </w:tr>
      <w:tr w:rsidTr="00DD13F0">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BoldandItalics"/>
              </w:rPr>
              <w:t>ESD principles</w:t>
            </w:r>
            <w:r w:rsidRPr="00DC4CEF">
              <w:t xml:space="preserve"> may in</w:t>
            </w:r>
            <w:r w:rsidRPr="00DC4CEF">
              <w:t>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ListBullet"/>
            </w:pPr>
            <w:r w:rsidRPr="00DC4CEF">
              <w:t>increasing use of renewable, recyclable and recoverable resources</w:t>
            </w:r>
          </w:p>
          <w:p w:rsidR="00000000" w:rsidRPr="00DC4CEF" w:rsidP="00DC4CEF">
            <w:pPr>
              <w:pStyle w:val="ListBullet"/>
            </w:pPr>
            <w:r w:rsidRPr="00DC4CEF">
              <w:t>managing environmental hazard identification, risk assessment and control</w:t>
            </w:r>
          </w:p>
          <w:p w:rsidR="00000000" w:rsidRPr="00DC4CEF" w:rsidP="00DC4CEF">
            <w:pPr>
              <w:pStyle w:val="ListBullet"/>
            </w:pPr>
            <w:r w:rsidRPr="00DC4CEF">
              <w:t xml:space="preserve">managing, controlling and treating effluents, chemical residues, contaminants, wastes and pollution </w:t>
            </w:r>
          </w:p>
          <w:p w:rsidR="00000000" w:rsidRPr="00DC4CEF" w:rsidP="00DC4CEF">
            <w:pPr>
              <w:pStyle w:val="ListBullet"/>
            </w:pPr>
            <w:r w:rsidRPr="00DC4CEF">
              <w:t>minimisi</w:t>
            </w:r>
            <w:r w:rsidRPr="00DC4CEF">
              <w:t>ng noise, dust, light or odour emissions</w:t>
            </w:r>
          </w:p>
          <w:p w:rsidR="00000000" w:rsidRPr="00DC4CEF" w:rsidP="00DC4CEF">
            <w:pPr>
              <w:pStyle w:val="ListBullet"/>
            </w:pPr>
            <w:r w:rsidRPr="00DC4CEF">
              <w:t>planning environmental and resource efficiency improvements</w:t>
            </w:r>
          </w:p>
          <w:p w:rsidR="00000000" w:rsidRPr="00DC4CEF" w:rsidP="00DC4CEF">
            <w:pPr>
              <w:pStyle w:val="ListBullet"/>
            </w:pPr>
            <w:r w:rsidRPr="00DC4CEF">
              <w:t>reducing emissions of greenhouse gases</w:t>
            </w:r>
          </w:p>
          <w:p w:rsidR="00000000" w:rsidRPr="00DC4CEF" w:rsidP="00DC4CEF">
            <w:pPr>
              <w:pStyle w:val="ListBullet"/>
            </w:pPr>
            <w:r w:rsidRPr="00DC4CEF">
              <w:t>reducing use of non-renewable resources</w:t>
            </w:r>
          </w:p>
          <w:p w:rsidR="00000000" w:rsidP="00DC4CEF">
            <w:pPr>
              <w:pStyle w:val="ListBullet"/>
              <w:rPr>
                <w:lang w:val="en-NZ"/>
              </w:rPr>
            </w:pPr>
            <w:r w:rsidRPr="00DC4CEF">
              <w:t>reducing energy use and introducing alternative energy sources.</w:t>
            </w:r>
          </w:p>
        </w:tc>
      </w:tr>
      <w:tr w:rsidTr="00DD13F0">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BoldandItalics"/>
              </w:rPr>
              <w:t>Criteria for control of energy</w:t>
            </w:r>
            <w:r w:rsidRPr="00DC4CEF">
              <w:t xml:space="preserve"> may include consideration of:</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ListBullet"/>
            </w:pPr>
            <w:r w:rsidRPr="00DC4CEF">
              <w:t>cooling or freezing</w:t>
            </w:r>
          </w:p>
          <w:p w:rsidR="00000000" w:rsidRPr="00DC4CEF" w:rsidP="00DC4CEF">
            <w:pPr>
              <w:pStyle w:val="ListBullet"/>
            </w:pPr>
            <w:r w:rsidRPr="00DC4CEF">
              <w:t>electricity</w:t>
            </w:r>
          </w:p>
          <w:p w:rsidR="00000000" w:rsidRPr="00DC4CEF" w:rsidP="00DC4CEF">
            <w:pPr>
              <w:pStyle w:val="ListBullet"/>
            </w:pPr>
            <w:r w:rsidRPr="00DC4CEF">
              <w:t>emergency procedures</w:t>
            </w:r>
          </w:p>
          <w:p w:rsidR="00000000" w:rsidRPr="00DC4CEF" w:rsidP="00DC4CEF">
            <w:pPr>
              <w:pStyle w:val="ListBullet"/>
            </w:pPr>
            <w:r w:rsidRPr="00DC4CEF">
              <w:t>gas</w:t>
            </w:r>
          </w:p>
          <w:p w:rsidR="00000000" w:rsidRPr="00DC4CEF" w:rsidP="00DC4CEF">
            <w:pPr>
              <w:pStyle w:val="ListBullet"/>
            </w:pPr>
            <w:r w:rsidRPr="00DC4CEF">
              <w:t>heat or steam generation</w:t>
            </w:r>
          </w:p>
          <w:p w:rsidR="00000000" w:rsidRPr="00DC4CEF" w:rsidP="00DC4CEF">
            <w:pPr>
              <w:pStyle w:val="ListBullet"/>
            </w:pPr>
            <w:r w:rsidRPr="00DC4CEF">
              <w:t>set-up, start-up and shutdown procedures to maximise energy efficiency</w:t>
            </w:r>
          </w:p>
          <w:p w:rsidR="00000000" w:rsidRPr="00DC4CEF" w:rsidP="00DC4CEF">
            <w:pPr>
              <w:pStyle w:val="ListBullet"/>
            </w:pPr>
            <w:r w:rsidRPr="00DC4CEF">
              <w:t>solar</w:t>
            </w:r>
          </w:p>
          <w:p w:rsidR="00000000" w:rsidP="00DC4CEF">
            <w:pPr>
              <w:pStyle w:val="ListBullet"/>
              <w:rPr>
                <w:lang w:val="en-NZ"/>
              </w:rPr>
            </w:pPr>
            <w:r w:rsidRPr="00DC4CEF">
              <w:t>water.</w:t>
            </w:r>
          </w:p>
        </w:tc>
      </w:tr>
      <w:tr w:rsidTr="00DD13F0">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BoldandItalics"/>
              </w:rPr>
              <w:t>Potential benefits</w:t>
            </w:r>
            <w:r w:rsidRPr="00DC4CEF">
              <w:t xml:space="preserve"> may inclu</w:t>
            </w:r>
            <w:r w:rsidRPr="00DC4CEF">
              <w:t>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ListBullet"/>
            </w:pPr>
            <w:r w:rsidRPr="00DC4CEF">
              <w:t>decreased costs</w:t>
            </w:r>
          </w:p>
          <w:p w:rsidR="00000000" w:rsidRPr="00DC4CEF" w:rsidP="00DC4CEF">
            <w:pPr>
              <w:pStyle w:val="ListBullet"/>
            </w:pPr>
            <w:r w:rsidRPr="00DC4CEF">
              <w:t>effective utilisation of equipment</w:t>
            </w:r>
          </w:p>
          <w:p w:rsidR="00000000" w:rsidRPr="00DC4CEF" w:rsidP="00DC4CEF">
            <w:pPr>
              <w:pStyle w:val="ListBullet"/>
            </w:pPr>
            <w:r w:rsidRPr="00DC4CEF">
              <w:t>equipment efficiency</w:t>
            </w:r>
          </w:p>
          <w:p w:rsidR="00000000" w:rsidRPr="00DC4CEF" w:rsidP="00DC4CEF">
            <w:pPr>
              <w:pStyle w:val="ListBullet"/>
            </w:pPr>
            <w:r w:rsidRPr="00DC4CEF">
              <w:t>increased performance:</w:t>
            </w:r>
          </w:p>
          <w:p w:rsidR="00000000" w:rsidP="00DC4CEF">
            <w:pPr>
              <w:pStyle w:val="ListBullet"/>
              <w:rPr>
                <w:lang w:val="en-NZ"/>
              </w:rPr>
            </w:pPr>
            <w:r w:rsidRPr="00DC4CEF">
              <w:t>performance levels of personnel.</w:t>
            </w:r>
          </w:p>
        </w:tc>
      </w:tr>
      <w:tr w:rsidTr="00DD13F0">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BoldandItalics"/>
              </w:rPr>
              <w:t>Implement and maintain energy control systems</w:t>
            </w:r>
            <w:r w:rsidRPr="00DC4CEF">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ListBullet"/>
            </w:pPr>
            <w:r w:rsidRPr="00DC4CEF">
              <w:t>manuals</w:t>
            </w:r>
          </w:p>
          <w:p w:rsidR="00000000" w:rsidRPr="00DC4CEF" w:rsidP="00DC4CEF">
            <w:pPr>
              <w:pStyle w:val="ListBullet"/>
            </w:pPr>
            <w:r w:rsidRPr="00DC4CEF">
              <w:t>operating procedures</w:t>
            </w:r>
          </w:p>
          <w:p w:rsidR="00000000" w:rsidRPr="00DC4CEF" w:rsidP="00DC4CEF">
            <w:pPr>
              <w:pStyle w:val="ListBullet"/>
            </w:pPr>
            <w:r w:rsidRPr="00DC4CEF">
              <w:t>policies and procedures</w:t>
            </w:r>
          </w:p>
          <w:p w:rsidR="00000000" w:rsidRPr="00DC4CEF" w:rsidP="00DC4CEF">
            <w:pPr>
              <w:pStyle w:val="ListBullet"/>
            </w:pPr>
            <w:r w:rsidRPr="00DC4CEF">
              <w:t>quality standards</w:t>
            </w:r>
          </w:p>
          <w:p w:rsidR="00000000" w:rsidRPr="00DC4CEF" w:rsidP="00DC4CEF">
            <w:pPr>
              <w:pStyle w:val="ListBullet"/>
            </w:pPr>
            <w:r w:rsidRPr="00DC4CEF">
              <w:t>work instructions.</w:t>
            </w:r>
          </w:p>
        </w:tc>
      </w:tr>
    </w:tbl>
    <w:p w:rsidR="00DD13F0" w:rsidP="00DC4CEF">
      <w:pPr>
        <w:pStyle w:val="BodyText"/>
      </w:pPr>
    </w:p>
    <w:p w:rsidR="00DD13F0" w:rsidP="00DC4CEF">
      <w:pPr>
        <w:pStyle w:val="BodyText"/>
      </w:pPr>
    </w:p>
    <w:p w:rsidR="00000000" w:rsidRPr="00DC4CEF" w:rsidP="00DC4CEF">
      <w:pPr>
        <w:pStyle w:val="Heading1"/>
      </w:pPr>
      <w:bookmarkStart w:id="12" w:name="O_218646"/>
      <w:bookmarkEnd w:id="12"/>
      <w:r w:rsidRPr="00DC4CEF">
        <w:t>Unit Sector(s)</w:t>
      </w:r>
    </w:p>
    <w:tbl>
      <w:tblPr>
        <w:tblW w:w="0" w:type="auto"/>
        <w:tblLayout w:type="fixed"/>
        <w:tblCellMar>
          <w:left w:w="62" w:type="dxa"/>
          <w:right w:w="62" w:type="dxa"/>
        </w:tblCellMar>
        <w:tblLook w:val="0000"/>
      </w:tblPr>
      <w:tblGrid>
        <w:gridCol w:w="2615"/>
        <w:gridCol w:w="5907"/>
      </w:tblGrid>
      <w:tr w:rsidTr="00DD13F0">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BodyText"/>
            </w:pPr>
            <w:r w:rsidRPr="00DC4CEF">
              <w:t>Seafood processing</w:t>
            </w:r>
          </w:p>
        </w:tc>
      </w:tr>
    </w:tbl>
    <w:p w:rsidR="00DD13F0" w:rsidP="00DC4CEF">
      <w:pPr>
        <w:pStyle w:val="BodyText"/>
      </w:pPr>
    </w:p>
    <w:p w:rsidR="00DD13F0" w:rsidP="00DC4CEF">
      <w:pPr>
        <w:pStyle w:val="BodyText"/>
      </w:pPr>
    </w:p>
    <w:p w:rsidR="00000000" w:rsidRPr="00DC4CEF" w:rsidP="00DC4CEF">
      <w:pPr>
        <w:pStyle w:val="Heading1"/>
      </w:pPr>
      <w:bookmarkStart w:id="13" w:name="O_218643"/>
      <w:bookmarkEnd w:id="13"/>
      <w:r w:rsidRPr="00DC4CEF">
        <w:t>Co-requisite units</w:t>
      </w:r>
    </w:p>
    <w:tbl>
      <w:tblPr>
        <w:tblW w:w="0" w:type="auto"/>
        <w:tblLayout w:type="fixed"/>
        <w:tblCellMar>
          <w:left w:w="62" w:type="dxa"/>
          <w:right w:w="62" w:type="dxa"/>
        </w:tblCellMar>
        <w:tblLook w:val="0000"/>
      </w:tblPr>
      <w:tblGrid>
        <w:gridCol w:w="2641"/>
        <w:gridCol w:w="1322"/>
        <w:gridCol w:w="4559"/>
      </w:tblGrid>
      <w:tr w:rsidTr="00DD13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p>
        </w:tc>
      </w:tr>
      <w:tr w:rsidTr="00DD13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p>
        </w:tc>
      </w:tr>
      <w:tr w:rsidTr="00DD13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BodyText"/>
            </w:pPr>
          </w:p>
        </w:tc>
      </w:tr>
    </w:tbl>
    <w:p w:rsidR="00DD13F0" w:rsidP="00DC4CEF">
      <w:pPr>
        <w:pStyle w:val="BodyText"/>
      </w:pPr>
    </w:p>
    <w:p w:rsidR="00DD13F0" w:rsidP="00DC4CEF">
      <w:pPr>
        <w:pStyle w:val="BodyText"/>
      </w:pPr>
    </w:p>
    <w:p w:rsidR="00000000" w:rsidRPr="00DC4CEF" w:rsidP="00DC4CEF">
      <w:pPr>
        <w:pStyle w:val="Heading1"/>
      </w:pPr>
      <w:bookmarkStart w:id="14" w:name="O_218645"/>
      <w:bookmarkEnd w:id="14"/>
      <w:r w:rsidRPr="00DC4CEF">
        <w:t>Competency field</w:t>
      </w:r>
    </w:p>
    <w:tbl>
      <w:tblPr>
        <w:tblW w:w="0" w:type="auto"/>
        <w:tblLayout w:type="fixed"/>
        <w:tblCellMar>
          <w:left w:w="62" w:type="dxa"/>
          <w:right w:w="62" w:type="dxa"/>
        </w:tblCellMar>
        <w:tblLook w:val="0000"/>
      </w:tblPr>
      <w:tblGrid>
        <w:gridCol w:w="2784"/>
        <w:gridCol w:w="5738"/>
      </w:tblGrid>
      <w:tr w:rsidTr="00DD13F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F">
            <w:pPr>
              <w:pStyle w:val="BodyText"/>
              <w:rPr>
                <w:lang w:val="en-NZ"/>
              </w:rPr>
            </w:pPr>
            <w:r w:rsidRPr="00DC4C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F" w:rsidP="00DC4CEF">
            <w:pPr>
              <w:pStyle w:val="BodyText"/>
            </w:pPr>
          </w:p>
        </w:tc>
      </w:tr>
    </w:tbl>
    <w:p w:rsidR="00DD13F0" w:rsidP="00DC4CEF">
      <w:pPr>
        <w:pStyle w:val="BodyText"/>
      </w:pPr>
    </w:p>
    <w:p w:rsidR="00DD13F0" w:rsidP="00DC4CEF">
      <w:pPr>
        <w:pStyle w:val="BodyText"/>
      </w:pPr>
    </w:p>
    <w:p w:rsidR="00000000" w:rsidRPr="00DC4CEF" w:rsidP="00DC4CEF"/>
    <w:sectPr w:rsidSect="00DC4C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3F0" w:rsidP="00DD13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3F0" w:rsidP="00DC4C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D13F0" w:rsidP="00DC4C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D13F0" w:rsidP="00DC4C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EF" w:rsidRPr="00DD13F0" w:rsidP="00DD13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3F0" w:rsidRPr="002D2AF8" w:rsidP="00DC4CEF">
    <w:pPr>
      <w:pStyle w:val="Header"/>
      <w:framePr w:wrap="around"/>
    </w:pPr>
    <w:r>
      <w:fldChar w:fldCharType="begin"/>
    </w:r>
    <w:r>
      <w:instrText xml:space="preserve"> TITLE   \* MERGEFORMAT </w:instrText>
    </w:r>
    <w:r>
      <w:fldChar w:fldCharType="separate"/>
    </w:r>
    <w:r>
      <w:t>SFIPROC606C Develop and implement energy control systems in seafood processing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D13F0" w:rsidP="00DC4C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30F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386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249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C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CEF"/>
    <w:pPr>
      <w:spacing w:before="360" w:after="60"/>
      <w:outlineLvl w:val="0"/>
    </w:pPr>
    <w:rPr>
      <w:sz w:val="32"/>
    </w:rPr>
  </w:style>
  <w:style w:type="paragraph" w:styleId="Heading2">
    <w:name w:val="heading 2"/>
    <w:basedOn w:val="HeadingBase"/>
    <w:next w:val="BodyText"/>
    <w:link w:val="Heading2Char"/>
    <w:qFormat/>
    <w:rsid w:val="00DC4CEF"/>
    <w:pPr>
      <w:keepLines/>
      <w:spacing w:before="240" w:after="120"/>
      <w:outlineLvl w:val="1"/>
    </w:pPr>
    <w:rPr>
      <w:sz w:val="28"/>
      <w:szCs w:val="40"/>
    </w:rPr>
  </w:style>
  <w:style w:type="paragraph" w:styleId="Heading3">
    <w:name w:val="heading 3"/>
    <w:basedOn w:val="HeadingBase"/>
    <w:next w:val="BodyText"/>
    <w:link w:val="Heading3Char"/>
    <w:qFormat/>
    <w:rsid w:val="00DC4CEF"/>
    <w:pPr>
      <w:spacing w:before="180" w:after="120"/>
      <w:outlineLvl w:val="2"/>
    </w:pPr>
    <w:rPr>
      <w:spacing w:val="-10"/>
      <w:kern w:val="32"/>
    </w:rPr>
  </w:style>
  <w:style w:type="paragraph" w:styleId="Heading4">
    <w:name w:val="heading 4"/>
    <w:basedOn w:val="HeadingBase"/>
    <w:next w:val="BodyText"/>
    <w:link w:val="Heading4Char"/>
    <w:qFormat/>
    <w:rsid w:val="00DC4CEF"/>
    <w:pPr>
      <w:spacing w:before="160" w:after="120"/>
      <w:outlineLvl w:val="3"/>
    </w:pPr>
    <w:rPr>
      <w:sz w:val="22"/>
    </w:rPr>
  </w:style>
  <w:style w:type="paragraph" w:styleId="Heading5">
    <w:name w:val="heading 5"/>
    <w:basedOn w:val="HeadingBase"/>
    <w:next w:val="Normal"/>
    <w:link w:val="Heading5Char"/>
    <w:qFormat/>
    <w:rsid w:val="00DC4CEF"/>
    <w:pPr>
      <w:spacing w:before="80"/>
      <w:outlineLvl w:val="4"/>
    </w:pPr>
    <w:rPr>
      <w:color w:val="918585"/>
      <w:sz w:val="20"/>
    </w:rPr>
  </w:style>
  <w:style w:type="paragraph" w:styleId="Heading6">
    <w:name w:val="heading 6"/>
    <w:basedOn w:val="HeadingBase"/>
    <w:next w:val="Normal"/>
    <w:link w:val="Heading6Char"/>
    <w:qFormat/>
    <w:rsid w:val="00DC4CEF"/>
    <w:pPr>
      <w:spacing w:before="60"/>
      <w:outlineLvl w:val="5"/>
    </w:pPr>
    <w:rPr>
      <w:color w:val="918585"/>
      <w:sz w:val="20"/>
    </w:rPr>
  </w:style>
  <w:style w:type="paragraph" w:styleId="Heading7">
    <w:name w:val="heading 7"/>
    <w:basedOn w:val="Normal"/>
    <w:next w:val="Normal"/>
    <w:link w:val="Heading7Char"/>
    <w:qFormat/>
    <w:rsid w:val="00DC4CEF"/>
    <w:pPr>
      <w:ind w:left="720"/>
      <w:outlineLvl w:val="6"/>
    </w:pPr>
    <w:rPr>
      <w:i/>
    </w:rPr>
  </w:style>
  <w:style w:type="paragraph" w:styleId="Heading8">
    <w:name w:val="heading 8"/>
    <w:basedOn w:val="Normal"/>
    <w:next w:val="Normal"/>
    <w:link w:val="Heading8Char"/>
    <w:qFormat/>
    <w:rsid w:val="00DC4CEF"/>
    <w:pPr>
      <w:ind w:left="720"/>
      <w:outlineLvl w:val="7"/>
    </w:pPr>
    <w:rPr>
      <w:i/>
    </w:rPr>
  </w:style>
  <w:style w:type="paragraph" w:styleId="Heading9">
    <w:name w:val="heading 9"/>
    <w:basedOn w:val="Normal"/>
    <w:next w:val="Normal"/>
    <w:link w:val="Heading9Char"/>
    <w:qFormat/>
    <w:rsid w:val="00DC4CEF"/>
    <w:pPr>
      <w:ind w:left="720"/>
      <w:outlineLvl w:val="8"/>
    </w:pPr>
    <w:rPr>
      <w:i/>
    </w:rPr>
  </w:style>
  <w:style w:type="character" w:default="1" w:styleId="DefaultParagraphFont">
    <w:name w:val="Default Paragraph Font"/>
    <w:uiPriority w:val="1"/>
    <w:unhideWhenUsed/>
    <w:rsid w:val="00DC4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CEF"/>
  </w:style>
  <w:style w:type="character" w:customStyle="1" w:styleId="Heading1Char">
    <w:name w:val="Heading 1 Char"/>
    <w:basedOn w:val="DefaultParagraphFont"/>
    <w:link w:val="Heading1"/>
    <w:rsid w:val="00DC4CEF"/>
    <w:rPr>
      <w:rFonts w:ascii="Times New Roman" w:eastAsia="Times New Roman" w:hAnsi="Times New Roman" w:cs="Times New Roman"/>
      <w:b/>
      <w:sz w:val="32"/>
      <w:szCs w:val="20"/>
      <w:lang w:eastAsia="en-US"/>
    </w:rPr>
  </w:style>
  <w:style w:type="paragraph" w:styleId="BodyText">
    <w:name w:val="Body Text"/>
    <w:basedOn w:val="Normal"/>
    <w:link w:val="BodyTextChar"/>
    <w:rsid w:val="00DC4C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CEF"/>
    <w:rPr>
      <w:rFonts w:ascii="Times New Roman" w:eastAsia="Times New Roman" w:hAnsi="Times New Roman" w:cs="Times New Roman"/>
      <w:sz w:val="24"/>
      <w:lang w:eastAsia="en-US"/>
    </w:rPr>
  </w:style>
  <w:style w:type="paragraph" w:styleId="Footer">
    <w:name w:val="footer"/>
    <w:basedOn w:val="Normal"/>
    <w:link w:val="FooterChar"/>
    <w:rsid w:val="00DC4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CEF"/>
    <w:rPr>
      <w:rFonts w:ascii="Times New Roman" w:eastAsia="Times New Roman" w:hAnsi="Times New Roman" w:cs="Times New Roman"/>
      <w:sz w:val="16"/>
      <w:lang w:eastAsia="en-US"/>
    </w:rPr>
  </w:style>
  <w:style w:type="paragraph" w:styleId="List">
    <w:name w:val="List"/>
    <w:basedOn w:val="BodyText"/>
    <w:next w:val="BodyText"/>
    <w:rsid w:val="00DC4CEF"/>
    <w:pPr>
      <w:tabs>
        <w:tab w:val="left" w:pos="340"/>
      </w:tabs>
      <w:spacing w:before="60" w:after="60"/>
      <w:ind w:left="340" w:hanging="340"/>
    </w:pPr>
  </w:style>
  <w:style w:type="paragraph" w:styleId="ListBullet">
    <w:name w:val="List Bullet"/>
    <w:basedOn w:val="List"/>
    <w:rsid w:val="00DC4CEF"/>
    <w:pPr>
      <w:numPr>
        <w:numId w:val="13"/>
      </w:numPr>
      <w:tabs>
        <w:tab w:val="clear" w:pos="340"/>
      </w:tabs>
      <w:spacing w:before="40" w:after="40"/>
    </w:pPr>
  </w:style>
  <w:style w:type="character" w:customStyle="1" w:styleId="SpecialBold">
    <w:name w:val="Special Bold"/>
    <w:basedOn w:val="DefaultParagraphFont"/>
    <w:rsid w:val="00DC4CEF"/>
    <w:rPr>
      <w:b/>
      <w:spacing w:val="0"/>
    </w:rPr>
  </w:style>
  <w:style w:type="paragraph" w:styleId="ListBullet2">
    <w:name w:val="List Bullet 2"/>
    <w:basedOn w:val="List2"/>
    <w:rsid w:val="00DC4CEF"/>
    <w:pPr>
      <w:numPr>
        <w:numId w:val="14"/>
      </w:numPr>
      <w:tabs>
        <w:tab w:val="clear" w:pos="680"/>
      </w:tabs>
    </w:pPr>
  </w:style>
  <w:style w:type="paragraph" w:customStyle="1" w:styleId="SuperHeading">
    <w:name w:val="SuperHeading"/>
    <w:basedOn w:val="Normal"/>
    <w:rsid w:val="00DC4CEF"/>
    <w:pPr>
      <w:spacing w:before="240" w:after="120"/>
      <w:outlineLvl w:val="0"/>
    </w:pPr>
    <w:rPr>
      <w:rFonts w:ascii="Times New Roman" w:hAnsi="Times New Roman"/>
      <w:b/>
      <w:sz w:val="28"/>
    </w:rPr>
  </w:style>
  <w:style w:type="paragraph" w:customStyle="1" w:styleId="AllowPageBreak">
    <w:name w:val="AllowPageBreak"/>
    <w:rsid w:val="00DC4C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4CEF"/>
    <w:pPr>
      <w:tabs>
        <w:tab w:val="left" w:pos="680"/>
      </w:tabs>
      <w:spacing w:before="60" w:after="60"/>
      <w:ind w:left="680" w:hanging="340"/>
    </w:pPr>
  </w:style>
  <w:style w:type="character" w:customStyle="1" w:styleId="BoldandItalics">
    <w:name w:val="Bold and Italics"/>
    <w:qFormat/>
    <w:rsid w:val="00DC4CEF"/>
    <w:rPr>
      <w:b/>
      <w:i/>
      <w:u w:val="none"/>
    </w:rPr>
  </w:style>
  <w:style w:type="character" w:customStyle="1" w:styleId="Heading2Char">
    <w:name w:val="Heading 2 Char"/>
    <w:basedOn w:val="DefaultParagraphFont"/>
    <w:link w:val="Heading2"/>
    <w:rsid w:val="00DC4C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C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C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C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C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C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CEF"/>
    <w:rPr>
      <w:rFonts w:ascii="Courier New" w:eastAsia="Times New Roman" w:hAnsi="Courier New" w:cs="Times New Roman"/>
      <w:i/>
      <w:szCs w:val="20"/>
      <w:lang w:eastAsia="en-US"/>
    </w:rPr>
  </w:style>
  <w:style w:type="paragraph" w:customStyle="1" w:styleId="HeadingBase">
    <w:name w:val="Heading Base"/>
    <w:rsid w:val="00DC4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CEF"/>
    <w:pPr>
      <w:tabs>
        <w:tab w:val="right" w:leader="dot" w:pos="9072"/>
      </w:tabs>
      <w:ind w:left="567"/>
    </w:pPr>
    <w:rPr>
      <w:szCs w:val="22"/>
    </w:rPr>
  </w:style>
  <w:style w:type="paragraph" w:customStyle="1" w:styleId="TOCBase">
    <w:name w:val="TOC Base"/>
    <w:rsid w:val="00DC4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CEF"/>
    <w:pPr>
      <w:tabs>
        <w:tab w:val="right" w:leader="dot" w:pos="9072"/>
      </w:tabs>
      <w:spacing w:before="40" w:after="40"/>
      <w:ind w:left="284"/>
    </w:pPr>
    <w:rPr>
      <w:rFonts w:ascii="Times New Roman" w:hAnsi="Times New Roman"/>
    </w:rPr>
  </w:style>
  <w:style w:type="paragraph" w:styleId="TOC1">
    <w:name w:val="toc 1"/>
    <w:basedOn w:val="TOCBase"/>
    <w:next w:val="Normal"/>
    <w:rsid w:val="00DC4C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4CEF"/>
    <w:pPr>
      <w:spacing w:before="5040"/>
      <w:jc w:val="center"/>
    </w:pPr>
    <w:rPr>
      <w:sz w:val="48"/>
      <w:szCs w:val="72"/>
      <w:lang w:val="en-US"/>
    </w:rPr>
  </w:style>
  <w:style w:type="character" w:customStyle="1" w:styleId="TitleChar">
    <w:name w:val="Title Char"/>
    <w:basedOn w:val="DefaultParagraphFont"/>
    <w:link w:val="Title"/>
    <w:rsid w:val="00DC4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CEF"/>
    <w:pPr>
      <w:tabs>
        <w:tab w:val="left" w:pos="3600"/>
        <w:tab w:val="left" w:pos="3958"/>
      </w:tabs>
    </w:pPr>
  </w:style>
  <w:style w:type="paragraph" w:customStyle="1" w:styleId="Note">
    <w:name w:val="Note"/>
    <w:basedOn w:val="BodyText"/>
    <w:rsid w:val="00DC4C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CEF"/>
    <w:pPr>
      <w:framePr w:wrap="auto" w:hAnchor="text" w:y="6049"/>
    </w:pPr>
    <w:rPr>
      <w:color w:val="000000"/>
      <w:sz w:val="40"/>
    </w:rPr>
  </w:style>
  <w:style w:type="paragraph" w:customStyle="1" w:styleId="TOCTitle">
    <w:name w:val="TOCTitle"/>
    <w:basedOn w:val="Heading1"/>
    <w:rsid w:val="00DC4CEF"/>
    <w:pPr>
      <w:spacing w:after="240"/>
      <w:jc w:val="center"/>
      <w:outlineLvl w:val="9"/>
    </w:pPr>
    <w:rPr>
      <w:caps/>
    </w:rPr>
  </w:style>
  <w:style w:type="paragraph" w:customStyle="1" w:styleId="Version">
    <w:name w:val="Version"/>
    <w:rsid w:val="00DC4C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CEF"/>
    <w:pPr>
      <w:keepNext w:val="0"/>
      <w:tabs>
        <w:tab w:val="right" w:pos="4176"/>
      </w:tabs>
      <w:ind w:left="198" w:hanging="198"/>
    </w:pPr>
    <w:rPr>
      <w:rFonts w:ascii="Garamond" w:hAnsi="Garamond"/>
    </w:rPr>
  </w:style>
  <w:style w:type="paragraph" w:styleId="IndexHeading">
    <w:name w:val="index heading"/>
    <w:basedOn w:val="Normal"/>
    <w:next w:val="Index1"/>
    <w:semiHidden/>
    <w:rsid w:val="00DC4CEF"/>
    <w:pPr>
      <w:spacing w:before="120" w:after="120"/>
    </w:pPr>
    <w:rPr>
      <w:rFonts w:ascii="Arial" w:hAnsi="Arial"/>
      <w:b/>
      <w:color w:val="918585"/>
      <w:sz w:val="24"/>
    </w:rPr>
  </w:style>
  <w:style w:type="paragraph" w:styleId="Header">
    <w:name w:val="header"/>
    <w:basedOn w:val="Normal"/>
    <w:link w:val="HeaderChar"/>
    <w:rsid w:val="00DC4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CEF"/>
    <w:rPr>
      <w:rFonts w:ascii="Times New Roman" w:eastAsia="Times New Roman" w:hAnsi="Times New Roman" w:cs="Times New Roman"/>
      <w:sz w:val="16"/>
      <w:szCs w:val="20"/>
      <w:lang w:val="en-GB" w:eastAsia="en-US"/>
    </w:rPr>
  </w:style>
  <w:style w:type="paragraph" w:customStyle="1" w:styleId="Chapter">
    <w:name w:val="Chapter"/>
    <w:basedOn w:val="Normal"/>
    <w:rsid w:val="00DC4CEF"/>
    <w:pPr>
      <w:spacing w:before="240"/>
    </w:pPr>
    <w:rPr>
      <w:rFonts w:ascii="Times New Roman" w:hAnsi="Times New Roman"/>
      <w:smallCaps/>
      <w:spacing w:val="80"/>
      <w:sz w:val="28"/>
    </w:rPr>
  </w:style>
  <w:style w:type="paragraph" w:customStyle="1" w:styleId="InChapter">
    <w:name w:val="InChapter"/>
    <w:basedOn w:val="Heading3"/>
    <w:rsid w:val="00DC4CEF"/>
    <w:pPr>
      <w:spacing w:after="240"/>
      <w:outlineLvl w:val="9"/>
    </w:pPr>
    <w:rPr>
      <w:noProof/>
    </w:rPr>
  </w:style>
  <w:style w:type="paragraph" w:styleId="Index2">
    <w:name w:val="index 2"/>
    <w:basedOn w:val="Normal"/>
    <w:next w:val="Normal"/>
    <w:semiHidden/>
    <w:rsid w:val="00DC4CEF"/>
    <w:pPr>
      <w:tabs>
        <w:tab w:val="right" w:pos="4176"/>
      </w:tabs>
      <w:ind w:left="568" w:hanging="284"/>
    </w:pPr>
    <w:rPr>
      <w:rFonts w:ascii="Garamond" w:hAnsi="Garamond"/>
    </w:rPr>
  </w:style>
  <w:style w:type="paragraph" w:customStyle="1" w:styleId="Byline">
    <w:name w:val="Byline"/>
    <w:rsid w:val="00DC4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CEF"/>
    <w:pPr>
      <w:tabs>
        <w:tab w:val="clear" w:pos="3600"/>
        <w:tab w:val="clear" w:pos="3958"/>
      </w:tabs>
      <w:jc w:val="right"/>
    </w:pPr>
  </w:style>
  <w:style w:type="character" w:styleId="Emphasis">
    <w:name w:val="Emphasis"/>
    <w:basedOn w:val="DefaultParagraphFont"/>
    <w:qFormat/>
    <w:rsid w:val="00DC4CEF"/>
    <w:rPr>
      <w:i/>
    </w:rPr>
  </w:style>
  <w:style w:type="paragraph" w:styleId="Caption">
    <w:name w:val="caption"/>
    <w:basedOn w:val="BodyText"/>
    <w:next w:val="Normal"/>
    <w:qFormat/>
    <w:rsid w:val="00DC4CEF"/>
    <w:pPr>
      <w:framePr w:w="2268" w:hSpace="181" w:vSpace="181" w:wrap="around" w:vAnchor="text" w:hAnchor="page" w:x="1135" w:y="285" w:anchorLock="1"/>
    </w:pPr>
    <w:rPr>
      <w:i/>
    </w:rPr>
  </w:style>
  <w:style w:type="paragraph" w:customStyle="1" w:styleId="MiniTOCTitle">
    <w:name w:val="MiniTOCTitle"/>
    <w:basedOn w:val="Heading4"/>
    <w:rsid w:val="00DC4CEF"/>
    <w:pPr>
      <w:spacing w:before="240"/>
      <w:outlineLvl w:val="9"/>
    </w:pPr>
    <w:rPr>
      <w:noProof/>
      <w:sz w:val="24"/>
    </w:rPr>
  </w:style>
  <w:style w:type="paragraph" w:customStyle="1" w:styleId="MiniTOCItem">
    <w:name w:val="MiniTOCItem"/>
    <w:basedOn w:val="ListBullet"/>
    <w:rsid w:val="00DC4CEF"/>
    <w:pPr>
      <w:numPr>
        <w:numId w:val="0"/>
      </w:numPr>
      <w:tabs>
        <w:tab w:val="right" w:leader="dot" w:pos="6521"/>
      </w:tabs>
      <w:spacing w:before="0" w:after="0"/>
    </w:pPr>
  </w:style>
  <w:style w:type="paragraph" w:customStyle="1" w:styleId="TOFTitle">
    <w:name w:val="TOFTitle"/>
    <w:basedOn w:val="TOCTitle"/>
    <w:rsid w:val="00DC4CEF"/>
  </w:style>
  <w:style w:type="paragraph" w:styleId="TableofFigures">
    <w:name w:val="table of figures"/>
    <w:basedOn w:val="Normal"/>
    <w:next w:val="Normal"/>
    <w:semiHidden/>
    <w:rsid w:val="00DC4CEF"/>
    <w:pPr>
      <w:tabs>
        <w:tab w:val="right" w:leader="dot" w:pos="9072"/>
      </w:tabs>
      <w:ind w:left="970" w:hanging="403"/>
    </w:pPr>
    <w:rPr>
      <w:rFonts w:ascii="Times New Roman" w:hAnsi="Times New Roman"/>
      <w:b/>
    </w:rPr>
  </w:style>
  <w:style w:type="paragraph" w:styleId="ListNumber">
    <w:name w:val="List Number"/>
    <w:basedOn w:val="List"/>
    <w:rsid w:val="00DC4CEF"/>
    <w:pPr>
      <w:numPr>
        <w:numId w:val="11"/>
      </w:numPr>
    </w:pPr>
  </w:style>
  <w:style w:type="character" w:customStyle="1" w:styleId="WingdingSymbols">
    <w:name w:val="Wingding Symbols"/>
    <w:rsid w:val="00DC4CEF"/>
    <w:rPr>
      <w:rFonts w:ascii="Wingdings" w:hAnsi="Wingdings"/>
    </w:rPr>
  </w:style>
  <w:style w:type="paragraph" w:customStyle="1" w:styleId="TableHeading">
    <w:name w:val="Table Heading"/>
    <w:basedOn w:val="HeadingBase"/>
    <w:rsid w:val="00DC4CEF"/>
    <w:pPr>
      <w:keepLines/>
      <w:pBdr>
        <w:bottom w:val="single" w:sz="6" w:space="1" w:color="918585"/>
      </w:pBdr>
      <w:spacing w:before="240"/>
    </w:pPr>
  </w:style>
  <w:style w:type="character" w:customStyle="1" w:styleId="HotSpot">
    <w:name w:val="HotSpot"/>
    <w:rsid w:val="00DC4CEF"/>
    <w:rPr>
      <w:color w:val="0033CC"/>
      <w:u w:val="none"/>
    </w:rPr>
  </w:style>
  <w:style w:type="paragraph" w:customStyle="1" w:styleId="BodyTextRight">
    <w:name w:val="Body Text Right"/>
    <w:basedOn w:val="BodyText"/>
    <w:rsid w:val="00DC4CEF"/>
    <w:pPr>
      <w:spacing w:before="0" w:after="0"/>
      <w:jc w:val="right"/>
    </w:pPr>
  </w:style>
  <w:style w:type="paragraph" w:styleId="Index3">
    <w:name w:val="index 3"/>
    <w:basedOn w:val="ListNumber2"/>
    <w:next w:val="Normal"/>
    <w:semiHidden/>
    <w:rsid w:val="00DC4CEF"/>
    <w:pPr>
      <w:numPr>
        <w:numId w:val="0"/>
      </w:numPr>
      <w:tabs>
        <w:tab w:val="right" w:leader="dot" w:pos="4176"/>
      </w:tabs>
    </w:pPr>
  </w:style>
  <w:style w:type="paragraph" w:styleId="ListNumber2">
    <w:name w:val="List Number 2"/>
    <w:basedOn w:val="List2"/>
    <w:rsid w:val="00DC4CEF"/>
    <w:pPr>
      <w:numPr>
        <w:numId w:val="10"/>
      </w:numPr>
      <w:tabs>
        <w:tab w:val="clear" w:pos="1060"/>
      </w:tabs>
    </w:pPr>
  </w:style>
  <w:style w:type="paragraph" w:customStyle="1" w:styleId="MarginNote">
    <w:name w:val="Margin Note"/>
    <w:basedOn w:val="BodyText"/>
    <w:rsid w:val="00DC4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C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CEF"/>
    <w:rPr>
      <w:sz w:val="32"/>
    </w:rPr>
  </w:style>
  <w:style w:type="paragraph" w:customStyle="1" w:styleId="HeadingProcedure">
    <w:name w:val="Heading Procedure"/>
    <w:basedOn w:val="HeadingBase"/>
    <w:next w:val="Normal"/>
    <w:rsid w:val="00DC4CEF"/>
    <w:pPr>
      <w:tabs>
        <w:tab w:val="left" w:pos="0"/>
      </w:tabs>
      <w:spacing w:before="120" w:after="60"/>
    </w:pPr>
    <w:rPr>
      <w:i/>
      <w:color w:val="918585"/>
      <w:sz w:val="22"/>
    </w:rPr>
  </w:style>
  <w:style w:type="paragraph" w:customStyle="1" w:styleId="TableBodyText">
    <w:name w:val="Table Body Text"/>
    <w:basedOn w:val="BodyText"/>
    <w:rsid w:val="00DC4CEF"/>
    <w:pPr>
      <w:spacing w:before="60" w:after="60"/>
    </w:pPr>
  </w:style>
  <w:style w:type="paragraph" w:styleId="ListContinue">
    <w:name w:val="List Continue"/>
    <w:basedOn w:val="List"/>
    <w:rsid w:val="00DC4CEF"/>
    <w:pPr>
      <w:ind w:firstLine="0"/>
    </w:pPr>
  </w:style>
  <w:style w:type="paragraph" w:customStyle="1" w:styleId="ListNote">
    <w:name w:val="List Note"/>
    <w:basedOn w:val="List"/>
    <w:rsid w:val="00DC4CEF"/>
    <w:pPr>
      <w:pBdr>
        <w:top w:val="single" w:sz="6" w:space="2" w:color="918585"/>
        <w:bottom w:val="single" w:sz="6" w:space="2" w:color="918585"/>
      </w:pBdr>
      <w:tabs>
        <w:tab w:val="left" w:pos="1021"/>
      </w:tabs>
      <w:ind w:firstLine="0"/>
    </w:pPr>
  </w:style>
  <w:style w:type="paragraph" w:customStyle="1" w:styleId="Warning">
    <w:name w:val="Warning"/>
    <w:basedOn w:val="BodyText"/>
    <w:rsid w:val="00DC4CEF"/>
    <w:pPr>
      <w:shd w:val="clear" w:color="auto" w:fill="D9D9D9"/>
      <w:tabs>
        <w:tab w:val="left" w:pos="992"/>
      </w:tabs>
      <w:ind w:left="119" w:right="119"/>
    </w:pPr>
    <w:rPr>
      <w:sz w:val="20"/>
    </w:rPr>
  </w:style>
  <w:style w:type="paragraph" w:customStyle="1" w:styleId="MarginIcons">
    <w:name w:val="Margin Icons"/>
    <w:basedOn w:val="BodyText"/>
    <w:rsid w:val="00DC4C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CEF"/>
    <w:rPr>
      <w:rFonts w:ascii="Courier New" w:hAnsi="Courier New"/>
    </w:rPr>
  </w:style>
  <w:style w:type="paragraph" w:customStyle="1" w:styleId="NoteBullet">
    <w:name w:val="Note Bullet"/>
    <w:basedOn w:val="Note"/>
    <w:rsid w:val="00DC4CEF"/>
    <w:pPr>
      <w:tabs>
        <w:tab w:val="clear" w:pos="680"/>
      </w:tabs>
      <w:spacing w:before="60" w:after="60"/>
    </w:pPr>
  </w:style>
  <w:style w:type="paragraph" w:customStyle="1" w:styleId="SubHeading2">
    <w:name w:val="SubHeading2"/>
    <w:basedOn w:val="HeadingBase"/>
    <w:rsid w:val="00DC4CEF"/>
    <w:pPr>
      <w:spacing w:before="240" w:after="60"/>
    </w:pPr>
    <w:rPr>
      <w:sz w:val="20"/>
    </w:rPr>
  </w:style>
  <w:style w:type="paragraph" w:customStyle="1" w:styleId="SubHeading1">
    <w:name w:val="SubHeading1"/>
    <w:basedOn w:val="HeadingBase"/>
    <w:rsid w:val="00DC4CEF"/>
    <w:pPr>
      <w:spacing w:before="240" w:after="60"/>
    </w:pPr>
    <w:rPr>
      <w:color w:val="918585"/>
      <w:sz w:val="22"/>
    </w:rPr>
  </w:style>
  <w:style w:type="paragraph" w:customStyle="1" w:styleId="SideHeading">
    <w:name w:val="Side Heading"/>
    <w:basedOn w:val="HeadingBase"/>
    <w:rsid w:val="00DC4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CEF"/>
    <w:pPr>
      <w:numPr>
        <w:numId w:val="12"/>
      </w:numPr>
    </w:pPr>
  </w:style>
  <w:style w:type="paragraph" w:styleId="PlainText">
    <w:name w:val="Plain Text"/>
    <w:basedOn w:val="Normal"/>
    <w:link w:val="PlainTextChar"/>
    <w:rsid w:val="00DC4CEF"/>
    <w:rPr>
      <w:sz w:val="20"/>
    </w:rPr>
  </w:style>
  <w:style w:type="character" w:customStyle="1" w:styleId="PlainTextChar">
    <w:name w:val="Plain Text Char"/>
    <w:basedOn w:val="DefaultParagraphFont"/>
    <w:link w:val="PlainText"/>
    <w:rsid w:val="00DC4CEF"/>
    <w:rPr>
      <w:rFonts w:ascii="Courier New" w:eastAsia="Times New Roman" w:hAnsi="Courier New" w:cs="Times New Roman"/>
      <w:sz w:val="20"/>
      <w:szCs w:val="20"/>
      <w:lang w:eastAsia="en-US"/>
    </w:rPr>
  </w:style>
  <w:style w:type="character" w:customStyle="1" w:styleId="MenuOption">
    <w:name w:val="Menu Option"/>
    <w:basedOn w:val="DefaultParagraphFont"/>
    <w:rsid w:val="00DC4CEF"/>
    <w:rPr>
      <w:b/>
      <w:smallCaps/>
    </w:rPr>
  </w:style>
  <w:style w:type="paragraph" w:customStyle="1" w:styleId="TableListNumber">
    <w:name w:val="Table List Number"/>
    <w:basedOn w:val="ListNumber"/>
    <w:rsid w:val="00DC4CEF"/>
    <w:pPr>
      <w:numPr>
        <w:numId w:val="0"/>
      </w:numPr>
    </w:pPr>
  </w:style>
  <w:style w:type="paragraph" w:styleId="TOC4">
    <w:name w:val="toc 4"/>
    <w:basedOn w:val="TOCBase"/>
    <w:next w:val="Normal"/>
    <w:semiHidden/>
    <w:rsid w:val="00DC4CEF"/>
    <w:pPr>
      <w:tabs>
        <w:tab w:val="right" w:leader="dot" w:pos="9071"/>
      </w:tabs>
      <w:ind w:left="1701"/>
    </w:pPr>
  </w:style>
  <w:style w:type="paragraph" w:customStyle="1" w:styleId="ListAlpha">
    <w:name w:val="List Alpha"/>
    <w:basedOn w:val="List"/>
    <w:rsid w:val="00DC4CEF"/>
    <w:pPr>
      <w:numPr>
        <w:numId w:val="9"/>
      </w:numPr>
    </w:pPr>
  </w:style>
  <w:style w:type="paragraph" w:customStyle="1" w:styleId="ListAlpha2">
    <w:name w:val="List Alpha 2"/>
    <w:basedOn w:val="List2"/>
    <w:rsid w:val="00DC4CEF"/>
    <w:pPr>
      <w:numPr>
        <w:numId w:val="8"/>
      </w:numPr>
    </w:pPr>
  </w:style>
  <w:style w:type="paragraph" w:styleId="List3">
    <w:name w:val="List 3"/>
    <w:basedOn w:val="BodyText"/>
    <w:rsid w:val="00DC4CEF"/>
    <w:pPr>
      <w:tabs>
        <w:tab w:val="left" w:pos="1021"/>
      </w:tabs>
      <w:spacing w:before="60" w:after="60"/>
      <w:ind w:left="1020" w:hanging="340"/>
    </w:pPr>
  </w:style>
  <w:style w:type="paragraph" w:styleId="List4">
    <w:name w:val="List 4"/>
    <w:basedOn w:val="BodyText"/>
    <w:rsid w:val="00DC4CEF"/>
    <w:pPr>
      <w:tabs>
        <w:tab w:val="left" w:pos="1361"/>
      </w:tabs>
      <w:spacing w:before="60" w:after="60"/>
      <w:ind w:left="1361" w:hanging="340"/>
    </w:pPr>
  </w:style>
  <w:style w:type="paragraph" w:styleId="List5">
    <w:name w:val="List 5"/>
    <w:basedOn w:val="BodyText"/>
    <w:rsid w:val="00DC4CEF"/>
    <w:pPr>
      <w:tabs>
        <w:tab w:val="left" w:pos="1701"/>
      </w:tabs>
      <w:spacing w:before="60" w:after="60"/>
      <w:ind w:left="1701" w:hanging="340"/>
    </w:pPr>
  </w:style>
  <w:style w:type="paragraph" w:styleId="ListBullet3">
    <w:name w:val="List Bullet 3"/>
    <w:basedOn w:val="List3"/>
    <w:rsid w:val="00DC4CEF"/>
    <w:pPr>
      <w:numPr>
        <w:numId w:val="15"/>
      </w:numPr>
      <w:tabs>
        <w:tab w:val="clear" w:pos="1021"/>
      </w:tabs>
      <w:ind w:left="1037" w:hanging="357"/>
    </w:pPr>
  </w:style>
  <w:style w:type="paragraph" w:styleId="ListBullet4">
    <w:name w:val="List Bullet 4"/>
    <w:basedOn w:val="List4"/>
    <w:rsid w:val="00DC4CEF"/>
    <w:pPr>
      <w:numPr>
        <w:numId w:val="3"/>
      </w:numPr>
    </w:pPr>
  </w:style>
  <w:style w:type="paragraph" w:styleId="ListBullet5">
    <w:name w:val="List Bullet 5"/>
    <w:basedOn w:val="List5"/>
    <w:rsid w:val="00DC4CEF"/>
    <w:pPr>
      <w:numPr>
        <w:numId w:val="4"/>
      </w:numPr>
    </w:pPr>
  </w:style>
  <w:style w:type="paragraph" w:styleId="ListContinue2">
    <w:name w:val="List Continue 2"/>
    <w:basedOn w:val="List2"/>
    <w:rsid w:val="00DC4CEF"/>
    <w:pPr>
      <w:ind w:firstLine="0"/>
    </w:pPr>
  </w:style>
  <w:style w:type="paragraph" w:styleId="ListContinue3">
    <w:name w:val="List Continue 3"/>
    <w:basedOn w:val="List3"/>
    <w:rsid w:val="00DC4CEF"/>
    <w:pPr>
      <w:ind w:left="1021" w:firstLine="0"/>
    </w:pPr>
  </w:style>
  <w:style w:type="paragraph" w:styleId="ListContinue4">
    <w:name w:val="List Continue 4"/>
    <w:basedOn w:val="List4"/>
    <w:rsid w:val="00DC4CEF"/>
    <w:pPr>
      <w:ind w:firstLine="0"/>
    </w:pPr>
  </w:style>
  <w:style w:type="paragraph" w:styleId="ListContinue5">
    <w:name w:val="List Continue 5"/>
    <w:basedOn w:val="List5"/>
    <w:rsid w:val="00DC4CEF"/>
    <w:pPr>
      <w:ind w:firstLine="0"/>
    </w:pPr>
  </w:style>
  <w:style w:type="paragraph" w:styleId="ListNumber3">
    <w:name w:val="List Number 3"/>
    <w:basedOn w:val="List3"/>
    <w:rsid w:val="00DC4CEF"/>
    <w:pPr>
      <w:numPr>
        <w:numId w:val="5"/>
      </w:numPr>
    </w:pPr>
  </w:style>
  <w:style w:type="paragraph" w:styleId="ListNumber4">
    <w:name w:val="List Number 4"/>
    <w:basedOn w:val="List4"/>
    <w:rsid w:val="00DC4CEF"/>
    <w:pPr>
      <w:numPr>
        <w:numId w:val="6"/>
      </w:numPr>
    </w:pPr>
  </w:style>
  <w:style w:type="paragraph" w:styleId="ListNumber5">
    <w:name w:val="List Number 5"/>
    <w:basedOn w:val="List5"/>
    <w:rsid w:val="00DC4CEF"/>
    <w:pPr>
      <w:numPr>
        <w:numId w:val="7"/>
      </w:numPr>
    </w:pPr>
  </w:style>
  <w:style w:type="paragraph" w:styleId="BlockText">
    <w:name w:val="Block Text"/>
    <w:basedOn w:val="Normal"/>
    <w:rsid w:val="00DC4CEF"/>
    <w:pPr>
      <w:spacing w:after="120"/>
      <w:ind w:left="1440" w:right="1440"/>
    </w:pPr>
  </w:style>
  <w:style w:type="character" w:customStyle="1" w:styleId="Subscript">
    <w:name w:val="Subscript"/>
    <w:basedOn w:val="DefaultParagraphFont"/>
    <w:rsid w:val="00DC4CEF"/>
    <w:rPr>
      <w:sz w:val="16"/>
      <w:vertAlign w:val="subscript"/>
    </w:rPr>
  </w:style>
  <w:style w:type="character" w:customStyle="1" w:styleId="Superscript">
    <w:name w:val="Superscript"/>
    <w:basedOn w:val="DefaultParagraphFont"/>
    <w:rsid w:val="00DC4CEF"/>
    <w:rPr>
      <w:sz w:val="16"/>
      <w:vertAlign w:val="superscript"/>
    </w:rPr>
  </w:style>
  <w:style w:type="character" w:customStyle="1" w:styleId="Symbols">
    <w:name w:val="Symbols"/>
    <w:basedOn w:val="DefaultParagraphFont"/>
    <w:rsid w:val="00DC4CEF"/>
    <w:rPr>
      <w:rFonts w:ascii="Symbol" w:hAnsi="Symbol"/>
    </w:rPr>
  </w:style>
  <w:style w:type="character" w:customStyle="1" w:styleId="MenuOptions">
    <w:name w:val="Menu Options"/>
    <w:basedOn w:val="DefaultParagraphFont"/>
    <w:rsid w:val="00DC4CEF"/>
    <w:rPr>
      <w:rFonts w:ascii="Arial Narrow" w:hAnsi="Arial Narrow"/>
      <w:smallCaps/>
    </w:rPr>
  </w:style>
  <w:style w:type="character" w:customStyle="1" w:styleId="Buttons">
    <w:name w:val="Buttons"/>
    <w:basedOn w:val="DefaultParagraphFont"/>
    <w:rsid w:val="00DC4CEF"/>
    <w:rPr>
      <w:b/>
    </w:rPr>
  </w:style>
  <w:style w:type="character" w:customStyle="1" w:styleId="Underlined">
    <w:name w:val="Underlined"/>
    <w:basedOn w:val="DefaultParagraphFont"/>
    <w:rsid w:val="00DC4CEF"/>
    <w:rPr>
      <w:u w:val="single"/>
    </w:rPr>
  </w:style>
  <w:style w:type="paragraph" w:customStyle="1" w:styleId="TableBodyTextRight">
    <w:name w:val="Table Body Text Right"/>
    <w:basedOn w:val="TableBodyText"/>
    <w:rsid w:val="00DC4CEF"/>
    <w:pPr>
      <w:widowControl w:val="0"/>
      <w:autoSpaceDE w:val="0"/>
      <w:autoSpaceDN w:val="0"/>
      <w:adjustRightInd w:val="0"/>
      <w:jc w:val="right"/>
    </w:pPr>
    <w:rPr>
      <w:rFonts w:cs="Arial"/>
      <w:szCs w:val="18"/>
    </w:rPr>
  </w:style>
  <w:style w:type="paragraph" w:customStyle="1" w:styleId="CopyrightText">
    <w:name w:val="Copyright Text"/>
    <w:basedOn w:val="BodyText"/>
    <w:rsid w:val="00DC4CEF"/>
    <w:rPr>
      <w:sz w:val="18"/>
    </w:rPr>
  </w:style>
  <w:style w:type="paragraph" w:customStyle="1" w:styleId="BodySmallRight">
    <w:name w:val="Body Small Right"/>
    <w:basedOn w:val="BodyTextRight"/>
    <w:rsid w:val="00DC4CEF"/>
    <w:rPr>
      <w:sz w:val="18"/>
      <w:szCs w:val="18"/>
    </w:rPr>
  </w:style>
  <w:style w:type="paragraph" w:customStyle="1" w:styleId="MarginEdition">
    <w:name w:val="Margin Edition"/>
    <w:basedOn w:val="MarginNote"/>
    <w:rsid w:val="00DC4CEF"/>
    <w:pPr>
      <w:spacing w:before="0" w:after="0"/>
    </w:pPr>
    <w:rPr>
      <w:rFonts w:ascii="Times New Roman" w:hAnsi="Times New Roman"/>
      <w:color w:val="999999"/>
    </w:rPr>
  </w:style>
  <w:style w:type="paragraph" w:customStyle="1" w:styleId="Spacer">
    <w:name w:val="Spacer"/>
    <w:basedOn w:val="Normal"/>
    <w:rsid w:val="00DC4CEF"/>
    <w:rPr>
      <w:sz w:val="2"/>
      <w:szCs w:val="2"/>
    </w:rPr>
  </w:style>
  <w:style w:type="character" w:customStyle="1" w:styleId="Small">
    <w:name w:val="Small"/>
    <w:basedOn w:val="DefaultParagraphFont"/>
    <w:rsid w:val="00DC4CEF"/>
    <w:rPr>
      <w:sz w:val="16"/>
    </w:rPr>
  </w:style>
  <w:style w:type="paragraph" w:customStyle="1" w:styleId="WideTable">
    <w:name w:val="Wide Table"/>
    <w:basedOn w:val="Normal"/>
    <w:rsid w:val="00DC4CEF"/>
    <w:pPr>
      <w:ind w:left="-1418"/>
    </w:pPr>
    <w:rPr>
      <w:sz w:val="2"/>
      <w:szCs w:val="2"/>
    </w:rPr>
  </w:style>
  <w:style w:type="character" w:styleId="PageNumber">
    <w:name w:val="page number"/>
    <w:basedOn w:val="DefaultParagraphFont"/>
    <w:rsid w:val="00DC4CEF"/>
  </w:style>
  <w:style w:type="paragraph" w:styleId="Quote">
    <w:name w:val="Quote"/>
    <w:basedOn w:val="Heading1"/>
    <w:link w:val="QuoteChar"/>
    <w:qFormat/>
    <w:rsid w:val="00DC4CEF"/>
    <w:rPr>
      <w:b w:val="0"/>
      <w:sz w:val="72"/>
      <w:szCs w:val="72"/>
      <w:lang w:val="en-NZ"/>
    </w:rPr>
  </w:style>
  <w:style w:type="character" w:customStyle="1" w:styleId="QuoteChar">
    <w:name w:val="Quote Char"/>
    <w:basedOn w:val="DefaultParagraphFont"/>
    <w:link w:val="Quote"/>
    <w:rsid w:val="00DC4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CEF"/>
    <w:pPr>
      <w:pageBreakBefore/>
    </w:pPr>
  </w:style>
  <w:style w:type="paragraph" w:customStyle="1" w:styleId="Border">
    <w:name w:val="Border"/>
    <w:basedOn w:val="Normal"/>
    <w:qFormat/>
    <w:rsid w:val="00DC4C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CEF"/>
    <w:rPr>
      <w:b/>
      <w:bCs/>
      <w:i/>
      <w:iCs/>
      <w:color w:val="auto"/>
    </w:rPr>
  </w:style>
  <w:style w:type="paragraph" w:styleId="IntenseQuote">
    <w:name w:val="Intense Quote"/>
    <w:basedOn w:val="Normal"/>
    <w:next w:val="Normal"/>
    <w:link w:val="IntenseQuoteChar"/>
    <w:uiPriority w:val="30"/>
    <w:qFormat/>
    <w:rsid w:val="00DC4C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C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CEF"/>
    <w:rPr>
      <w:smallCaps/>
      <w:color w:val="auto"/>
      <w:u w:val="single"/>
    </w:rPr>
  </w:style>
  <w:style w:type="character" w:styleId="IntenseReference">
    <w:name w:val="Intense Reference"/>
    <w:basedOn w:val="DefaultParagraphFont"/>
    <w:uiPriority w:val="32"/>
    <w:qFormat/>
    <w:rsid w:val="00DC4CEF"/>
    <w:rPr>
      <w:b/>
      <w:bCs/>
      <w:smallCaps/>
      <w:color w:val="auto"/>
      <w:spacing w:val="5"/>
      <w:u w:val="single"/>
    </w:rPr>
  </w:style>
  <w:style w:type="paragraph" w:customStyle="1" w:styleId="2ColumnHeading">
    <w:name w:val="2Column Heading"/>
    <w:basedOn w:val="BodyText"/>
    <w:qFormat/>
    <w:rsid w:val="00DC4CEF"/>
    <w:pPr>
      <w:spacing w:after="60"/>
      <w:ind w:left="-2268"/>
    </w:pPr>
    <w:rPr>
      <w:b/>
    </w:rPr>
  </w:style>
  <w:style w:type="paragraph" w:customStyle="1" w:styleId="Heading1TOC">
    <w:name w:val="Heading1 TOC"/>
    <w:basedOn w:val="Normal"/>
    <w:qFormat/>
    <w:rsid w:val="00DC4CEF"/>
    <w:pPr>
      <w:spacing w:before="240" w:after="120"/>
    </w:pPr>
    <w:rPr>
      <w:rFonts w:ascii="Times New Roman" w:hAnsi="Times New Roman"/>
      <w:b/>
      <w:sz w:val="32"/>
    </w:rPr>
  </w:style>
  <w:style w:type="paragraph" w:customStyle="1" w:styleId="Heading2TOC">
    <w:name w:val="Heading2 TOC"/>
    <w:basedOn w:val="Normal"/>
    <w:qFormat/>
    <w:rsid w:val="00DC4CEF"/>
    <w:pPr>
      <w:spacing w:before="240" w:after="60"/>
    </w:pPr>
    <w:rPr>
      <w:rFonts w:ascii="Times New Roman" w:hAnsi="Times New Roman"/>
      <w:b/>
      <w:sz w:val="28"/>
    </w:rPr>
  </w:style>
  <w:style w:type="character" w:customStyle="1" w:styleId="Underline">
    <w:name w:val="Underline"/>
    <w:basedOn w:val="DefaultParagraphFont"/>
    <w:qFormat/>
    <w:rsid w:val="00DC4CEF"/>
    <w:rPr>
      <w:u w:val="single"/>
    </w:rPr>
  </w:style>
  <w:style w:type="paragraph" w:styleId="BalloonText">
    <w:name w:val="Balloon Text"/>
    <w:basedOn w:val="Normal"/>
    <w:link w:val="BalloonTextChar"/>
    <w:rsid w:val="00DC4CEF"/>
    <w:rPr>
      <w:rFonts w:ascii="Tahoma" w:hAnsi="Tahoma" w:cs="Tahoma"/>
      <w:sz w:val="16"/>
      <w:szCs w:val="16"/>
    </w:rPr>
  </w:style>
  <w:style w:type="character" w:customStyle="1" w:styleId="BalloonTextChar">
    <w:name w:val="Balloon Text Char"/>
    <w:basedOn w:val="DefaultParagraphFont"/>
    <w:link w:val="BalloonText"/>
    <w:rsid w:val="00DC4C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C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C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CEF"/>
    <w:rPr>
      <w:b/>
      <w:color w:val="660033"/>
      <w:spacing w:val="0"/>
    </w:rPr>
  </w:style>
  <w:style w:type="paragraph" w:customStyle="1" w:styleId="Nameditemlist">
    <w:name w:val="Named item list"/>
    <w:basedOn w:val="BodyText"/>
    <w:qFormat/>
    <w:rsid w:val="00DC4C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1295</Words>
  <Characters>8701</Characters>
  <Application>Microsoft Office Word</Application>
  <DocSecurity>0</DocSecurity>
  <Lines>336</Lines>
  <Paragraphs>175</Paragraphs>
  <ScaleCrop>false</ScaleCrop>
  <Company>Author-it Software Corporation Ltd.</Company>
  <LinksUpToDate>false</LinksUpToDate>
  <CharactersWithSpaces>9939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SFIPROC606C Develop and implement energy control systems in seafood processing environments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2012-10-11T22:02:00Z</dcterms:created>
  <dcterms:modified xsi:type="dcterms:W3CDTF">2012-10-11T22:02:00Z</dcterms:modified>
</cp:coreProperties>
</file>