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F15" w:rsidP="00CF1F15">
      <w:pPr>
        <w:pStyle w:val="Title"/>
      </w:pPr>
      <w:bookmarkStart w:id="0" w:name="_GoBack"/>
      <w:bookmarkEnd w:id="0"/>
      <w:r>
        <w:fldChar w:fldCharType="begin"/>
      </w:r>
      <w:r>
        <w:instrText xml:space="preserve"> TITLE   \* MERGEFORMAT </w:instrText>
      </w:r>
      <w:r>
        <w:fldChar w:fldCharType="separate"/>
      </w:r>
      <w:r>
        <w:t>SFIPROC603C Develop and manage seafood and related product production trials</w:t>
      </w:r>
      <w:r>
        <w:fldChar w:fldCharType="end"/>
      </w:r>
    </w:p>
    <w:p w:rsidR="00CF1F15" w:rsidP="00CF1F15">
      <w:pPr>
        <w:pStyle w:val="Version"/>
        <w:sectPr w:rsidSect="00FC0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298" w:rsidP="00FC0298">
      <w:pPr>
        <w:pStyle w:val="SuperHeading"/>
      </w:pPr>
      <w:r w:rsidRPr="00FC0298">
        <w:t>SFIPROC603C Develop and manage seafood and related product production trials</w:t>
      </w:r>
    </w:p>
    <w:p w:rsidR="00000000" w:rsidRPr="00FC0298" w:rsidP="00FC0298">
      <w:pPr>
        <w:pStyle w:val="Heading1"/>
      </w:pPr>
      <w:bookmarkStart w:id="1" w:name="O_273305"/>
      <w:bookmarkEnd w:id="1"/>
      <w:r w:rsidRPr="00FC0298">
        <w:t>Modification History</w:t>
      </w:r>
    </w:p>
    <w:p w:rsidR="00000000" w:rsidRPr="00FC0298" w:rsidP="00FC0298">
      <w:pPr>
        <w:pStyle w:val="BodyText"/>
      </w:pPr>
      <w:r w:rsidRPr="00FC0298">
        <w:t>Not Applicable</w:t>
      </w:r>
    </w:p>
    <w:p w:rsidR="00000000" w:rsidRPr="00FC0298" w:rsidP="00FC0298">
      <w:pPr>
        <w:pStyle w:val="AllowPageBreak"/>
      </w:pPr>
    </w:p>
    <w:p w:rsidR="00000000" w:rsidRPr="00FC0298" w:rsidP="00FC0298">
      <w:pPr>
        <w:pStyle w:val="Heading1"/>
      </w:pPr>
      <w:bookmarkStart w:id="2" w:name="O_218626"/>
      <w:bookmarkEnd w:id="2"/>
      <w:r w:rsidRPr="00FC0298">
        <w:t>Unit Descriptor</w:t>
      </w:r>
    </w:p>
    <w:tbl>
      <w:tblPr>
        <w:tblW w:w="0" w:type="auto"/>
        <w:tblLayout w:type="fixed"/>
        <w:tblCellMar>
          <w:left w:w="62" w:type="dxa"/>
          <w:right w:w="62" w:type="dxa"/>
        </w:tblCellMar>
        <w:tblLook w:val="0000"/>
      </w:tblPr>
      <w:tblGrid>
        <w:gridCol w:w="2658"/>
        <w:gridCol w:w="5864"/>
      </w:tblGrid>
      <w:tr w:rsidTr="00CF1F1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Unit</w:t>
            </w:r>
            <w:r w:rsidRPr="00FC0298">
              <w:rPr>
                <w:rStyle w:val="SpecialBold"/>
              </w:rPr>
              <w:t xml:space="preserve">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This unit of competency involves gathering material, equipment and personnel to ensure that production trials match realistic processing expectations.</w:t>
            </w:r>
          </w:p>
          <w:p w:rsidR="00000000" w:rsidRPr="00FC0298" w:rsidP="00FC0298">
            <w:pPr>
              <w:pStyle w:val="BodyText"/>
            </w:pPr>
            <w:r w:rsidRPr="00FC0298">
              <w:t>Licensing, legislative, regulatory or certification requirements may apply to this unit. Ther</w:t>
            </w:r>
            <w:r w:rsidRPr="00FC0298">
              <w:t>efore it will be necessary to check with the relevant state or territory regulators for current licensing, legislative or regulatory requirements before undertaking this unit.</w:t>
            </w:r>
          </w:p>
        </w:tc>
      </w:tr>
    </w:tbl>
    <w:p w:rsidR="00CF1F15" w:rsidP="00FC0298">
      <w:pPr>
        <w:pStyle w:val="BodyText"/>
      </w:pPr>
    </w:p>
    <w:p w:rsidR="00CF1F15" w:rsidP="00FC0298">
      <w:pPr>
        <w:pStyle w:val="BodyText"/>
      </w:pPr>
    </w:p>
    <w:p w:rsidR="00000000" w:rsidRPr="00FC0298" w:rsidP="00FC0298">
      <w:pPr>
        <w:pStyle w:val="Heading1"/>
      </w:pPr>
      <w:bookmarkStart w:id="3" w:name="O_218630"/>
      <w:bookmarkEnd w:id="3"/>
      <w:r w:rsidRPr="00FC0298">
        <w:t>Application of the Unit</w:t>
      </w:r>
    </w:p>
    <w:tbl>
      <w:tblPr>
        <w:tblW w:w="0" w:type="auto"/>
        <w:tblLayout w:type="fixed"/>
        <w:tblCellMar>
          <w:left w:w="62" w:type="dxa"/>
          <w:right w:w="62" w:type="dxa"/>
        </w:tblCellMar>
        <w:tblLook w:val="0000"/>
      </w:tblPr>
      <w:tblGrid>
        <w:gridCol w:w="2734"/>
        <w:gridCol w:w="5788"/>
      </w:tblGrid>
      <w:tr w:rsidTr="00CF1F15">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 xml:space="preserve">All enterprise or workplace procedures and activities are carried out according to </w:t>
            </w:r>
            <w:r w:rsidRPr="00FC0298">
              <w:rPr>
                <w:rStyle w:val="BoldandItalics"/>
              </w:rPr>
              <w:t>relevant government regulations</w:t>
            </w:r>
            <w:r w:rsidRPr="00FC0298">
              <w:t xml:space="preserve">, </w:t>
            </w:r>
            <w:r w:rsidRPr="00FC0298">
              <w:rPr>
                <w:rStyle w:val="BoldandItalics"/>
              </w:rPr>
              <w:t>licensing and other compliance requirements</w:t>
            </w:r>
            <w:r w:rsidRPr="00FC0298">
              <w:t xml:space="preserve">, including </w:t>
            </w:r>
            <w:r w:rsidRPr="00FC0298">
              <w:rPr>
                <w:rStyle w:val="BoldandItalics"/>
              </w:rPr>
              <w:t>food safety and hygiene regulations and procedures</w:t>
            </w:r>
            <w:r w:rsidRPr="00FC0298">
              <w:t xml:space="preserve"> and </w:t>
            </w:r>
            <w:r w:rsidRPr="00FC0298">
              <w:rPr>
                <w:rStyle w:val="BoldandItalics"/>
              </w:rPr>
              <w:t>ecologically sustainable devel</w:t>
            </w:r>
            <w:r w:rsidRPr="00FC0298">
              <w:rPr>
                <w:rStyle w:val="BoldandItalics"/>
              </w:rPr>
              <w:t>opment</w:t>
            </w:r>
            <w:r w:rsidRPr="00FC0298">
              <w:t xml:space="preserve"> (</w:t>
            </w:r>
            <w:r w:rsidRPr="00FC0298">
              <w:rPr>
                <w:rStyle w:val="BoldandItalics"/>
              </w:rPr>
              <w:t>ESD</w:t>
            </w:r>
            <w:r w:rsidRPr="00FC0298">
              <w:t xml:space="preserve">) </w:t>
            </w:r>
            <w:r w:rsidRPr="00FC0298">
              <w:rPr>
                <w:rStyle w:val="BoldandItalics"/>
              </w:rPr>
              <w:t>principles</w:t>
            </w:r>
            <w:r w:rsidRPr="00FC0298">
              <w:t xml:space="preserve">. </w:t>
            </w:r>
          </w:p>
        </w:tc>
      </w:tr>
    </w:tbl>
    <w:p w:rsidR="00CF1F15" w:rsidP="00FC0298">
      <w:pPr>
        <w:pStyle w:val="BodyText"/>
      </w:pPr>
    </w:p>
    <w:p w:rsidR="00CF1F15" w:rsidP="00FC0298">
      <w:pPr>
        <w:pStyle w:val="BodyText"/>
      </w:pPr>
    </w:p>
    <w:p w:rsidR="00000000" w:rsidRPr="00FC0298" w:rsidP="00FC0298">
      <w:pPr>
        <w:pStyle w:val="Heading1"/>
      </w:pPr>
      <w:bookmarkStart w:id="4" w:name="O_281565"/>
      <w:bookmarkEnd w:id="4"/>
      <w:r w:rsidRPr="00FC0298">
        <w:t>Licensing/Regulatory Information</w:t>
      </w:r>
    </w:p>
    <w:p w:rsidR="00000000" w:rsidRPr="00FC0298" w:rsidP="00FC0298">
      <w:pPr>
        <w:pStyle w:val="BodyText"/>
      </w:pPr>
      <w:r w:rsidRPr="00FC0298">
        <w:t>Refer to Unit Descriptor</w:t>
      </w:r>
    </w:p>
    <w:p w:rsidR="00000000" w:rsidRPr="00FC0298" w:rsidP="00FC0298">
      <w:pPr>
        <w:pStyle w:val="AllowPageBreak"/>
      </w:pPr>
    </w:p>
    <w:p w:rsidR="00000000" w:rsidRPr="00FC0298" w:rsidP="00FC0298">
      <w:pPr>
        <w:pStyle w:val="Heading1"/>
      </w:pPr>
      <w:bookmarkStart w:id="5" w:name="O_218628"/>
      <w:bookmarkEnd w:id="5"/>
      <w:r w:rsidRPr="00FC0298">
        <w:t>Pre-Requisites</w:t>
      </w:r>
    </w:p>
    <w:tbl>
      <w:tblPr>
        <w:tblW w:w="0" w:type="auto"/>
        <w:tblLayout w:type="fixed"/>
        <w:tblCellMar>
          <w:left w:w="62" w:type="dxa"/>
          <w:right w:w="62" w:type="dxa"/>
        </w:tblCellMar>
        <w:tblLook w:val="0000"/>
      </w:tblPr>
      <w:tblGrid>
        <w:gridCol w:w="2775"/>
        <w:gridCol w:w="1295"/>
        <w:gridCol w:w="4452"/>
      </w:tblGrid>
      <w:tr w:rsidTr="00CF1F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p>
        </w:tc>
      </w:tr>
      <w:tr w:rsidTr="00CF1F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p>
        </w:tc>
      </w:tr>
      <w:tr w:rsidTr="00CF1F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p>
        </w:tc>
      </w:tr>
    </w:tbl>
    <w:p w:rsidR="00CF1F15" w:rsidP="00FC0298">
      <w:pPr>
        <w:pStyle w:val="BodyText"/>
      </w:pPr>
    </w:p>
    <w:p w:rsidR="00CF1F15" w:rsidP="00FC0298">
      <w:pPr>
        <w:pStyle w:val="BodyText"/>
      </w:pPr>
    </w:p>
    <w:p w:rsidR="00000000" w:rsidRPr="00FC0298" w:rsidP="00FC0298">
      <w:pPr>
        <w:pStyle w:val="Heading1"/>
      </w:pPr>
      <w:bookmarkStart w:id="6" w:name="O_218627"/>
      <w:bookmarkEnd w:id="6"/>
      <w:r w:rsidRPr="00FC0298">
        <w:t>Employability Skills Information</w:t>
      </w:r>
    </w:p>
    <w:tbl>
      <w:tblPr>
        <w:tblW w:w="0" w:type="auto"/>
        <w:tblLayout w:type="fixed"/>
        <w:tblCellMar>
          <w:left w:w="62" w:type="dxa"/>
          <w:right w:w="62" w:type="dxa"/>
        </w:tblCellMar>
        <w:tblLook w:val="0000"/>
      </w:tblPr>
      <w:tblGrid>
        <w:gridCol w:w="2802"/>
        <w:gridCol w:w="5720"/>
      </w:tblGrid>
      <w:tr w:rsidTr="00CF1F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 xml:space="preserve">This unit contains employability skills. </w:t>
            </w:r>
          </w:p>
        </w:tc>
      </w:tr>
    </w:tbl>
    <w:p w:rsidR="00CF1F15" w:rsidP="00FC0298">
      <w:pPr>
        <w:pStyle w:val="BodyText"/>
      </w:pPr>
    </w:p>
    <w:p w:rsidR="00CF1F15" w:rsidP="00FC0298">
      <w:pPr>
        <w:pStyle w:val="BodyText"/>
      </w:pPr>
    </w:p>
    <w:p w:rsidR="00000000" w:rsidRPr="00FC0298" w:rsidP="00FC0298">
      <w:pPr>
        <w:pStyle w:val="Heading1"/>
      </w:pPr>
      <w:bookmarkStart w:id="7" w:name="O_291351"/>
      <w:bookmarkEnd w:id="7"/>
      <w:r w:rsidRPr="00FC0298">
        <w:t>Elements and Performance Criteria Pre-Content</w:t>
      </w:r>
    </w:p>
    <w:tbl>
      <w:tblPr>
        <w:tblW w:w="0" w:type="auto"/>
        <w:tblLayout w:type="fixed"/>
        <w:tblCellMar>
          <w:left w:w="62" w:type="dxa"/>
          <w:right w:w="62" w:type="dxa"/>
        </w:tblCellMar>
        <w:tblLook w:val="0000"/>
      </w:tblPr>
      <w:tblGrid>
        <w:gridCol w:w="2530"/>
        <w:gridCol w:w="5992"/>
      </w:tblGrid>
      <w:tr w:rsidTr="00CF1F1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Performance criteria describe the performance needed to demonstrate achievement of</w:t>
            </w:r>
            <w:r w:rsidRPr="00FC0298">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FC0298" w:rsidP="00FC0298">
      <w:pPr>
        <w:pStyle w:val="BodyText"/>
      </w:pPr>
    </w:p>
    <w:p w:rsidR="00000000" w:rsidRPr="00FC0298" w:rsidP="00FC0298">
      <w:pPr>
        <w:pStyle w:val="AllowPageBreak"/>
      </w:pPr>
    </w:p>
    <w:p w:rsidR="00000000" w:rsidRPr="00FC0298" w:rsidP="00FC0298">
      <w:pPr>
        <w:pStyle w:val="Heading1"/>
      </w:pPr>
      <w:bookmarkStart w:id="8" w:name="O_238019"/>
      <w:bookmarkEnd w:id="8"/>
      <w:r w:rsidRPr="00FC0298">
        <w:t>Elements and P</w:t>
      </w:r>
      <w:r w:rsidRPr="00FC0298">
        <w:t>erformance Criteria</w:t>
      </w:r>
    </w:p>
    <w:tbl>
      <w:tblPr>
        <w:tblW w:w="0" w:type="auto"/>
        <w:tblLayout w:type="fixed"/>
        <w:tblCellMar>
          <w:left w:w="62" w:type="dxa"/>
          <w:right w:w="62" w:type="dxa"/>
        </w:tblCellMar>
        <w:tblLook w:val="0000"/>
      </w:tblPr>
      <w:tblGrid>
        <w:gridCol w:w="2530"/>
        <w:gridCol w:w="5992"/>
      </w:tblGrid>
      <w:tr w:rsidTr="00CF1F15">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PERFORMANCE CRITERIA</w:t>
            </w:r>
          </w:p>
        </w:tc>
      </w:tr>
      <w:tr w:rsidTr="00CF1F1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List"/>
              <w:rPr>
                <w:lang w:val="en-NZ"/>
              </w:rPr>
            </w:pPr>
            <w:r w:rsidRPr="00FC0298">
              <w:t>1.</w:t>
            </w:r>
            <w:r w:rsidRPr="00FC0298">
              <w:tab/>
              <w:t>Gather information relating to the trial of a new product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2"/>
            </w:pPr>
            <w:r w:rsidRPr="00FC0298">
              <w:t>1.1.</w:t>
            </w:r>
            <w:r w:rsidRPr="00FC0298">
              <w:tab/>
            </w:r>
            <w:r w:rsidRPr="00FC0298">
              <w:rPr>
                <w:rStyle w:val="BoldandItalics"/>
              </w:rPr>
              <w:t>Expectations</w:t>
            </w:r>
            <w:r w:rsidRPr="00FC0298">
              <w:t xml:space="preserve"> relating to production trials are canvassed and agreed. </w:t>
            </w:r>
          </w:p>
          <w:p w:rsidR="00000000" w:rsidRPr="00FC0298" w:rsidP="00FC0298">
            <w:pPr>
              <w:pStyle w:val="List2"/>
            </w:pPr>
            <w:r w:rsidRPr="00FC0298">
              <w:t>1.2.</w:t>
            </w:r>
            <w:r w:rsidRPr="00FC0298">
              <w:tab/>
            </w:r>
            <w:r w:rsidRPr="00FC0298">
              <w:t>Agreed expectations are incorporated into a production plan for the trial.</w:t>
            </w:r>
          </w:p>
          <w:p w:rsidR="00000000" w:rsidP="00FC0298">
            <w:pPr>
              <w:pStyle w:val="List2"/>
              <w:rPr>
                <w:lang w:val="en-NZ"/>
              </w:rPr>
            </w:pPr>
            <w:r w:rsidRPr="00FC0298">
              <w:t>1.3.</w:t>
            </w:r>
            <w:r w:rsidRPr="00FC0298">
              <w:tab/>
              <w:t>Raw material specifications are assessed against the desired outcomes of the production trial.</w:t>
            </w:r>
          </w:p>
        </w:tc>
      </w:tr>
      <w:tr w:rsidTr="00CF1F1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List"/>
              <w:rPr>
                <w:lang w:val="en-NZ"/>
              </w:rPr>
            </w:pPr>
            <w:r w:rsidRPr="00FC0298">
              <w:t>2.</w:t>
            </w:r>
            <w:r w:rsidRPr="00FC0298">
              <w:tab/>
              <w:t xml:space="preserve">Develop and implement </w:t>
            </w:r>
            <w:r w:rsidRPr="00FC0298">
              <w:rPr>
                <w:rStyle w:val="BoldandItalics"/>
              </w:rPr>
              <w:t>plans</w:t>
            </w:r>
            <w:r w:rsidRPr="00FC0298">
              <w:t xml:space="preserve"> for the trial production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2"/>
            </w:pPr>
            <w:r w:rsidRPr="00FC0298">
              <w:t>2.1.</w:t>
            </w:r>
            <w:r w:rsidRPr="00FC0298">
              <w:tab/>
              <w:t>Ingredients for tri</w:t>
            </w:r>
            <w:r w:rsidRPr="00FC0298">
              <w:t>al are arranged or assembled to facilitate the production trial.</w:t>
            </w:r>
          </w:p>
          <w:p w:rsidR="00000000" w:rsidRPr="00FC0298" w:rsidP="00FC0298">
            <w:pPr>
              <w:pStyle w:val="List2"/>
            </w:pPr>
            <w:r w:rsidRPr="00FC0298">
              <w:t>2.2.</w:t>
            </w:r>
            <w:r w:rsidRPr="00FC0298">
              <w:tab/>
              <w:t>Arrangements for availability of equipment and personnel are developed and agreed.</w:t>
            </w:r>
          </w:p>
          <w:p w:rsidR="00000000" w:rsidRPr="00FC0298" w:rsidP="00FC0298">
            <w:pPr>
              <w:pStyle w:val="List2"/>
            </w:pPr>
            <w:r w:rsidRPr="00FC0298">
              <w:t>2.3.</w:t>
            </w:r>
            <w:r w:rsidRPr="00FC0298">
              <w:tab/>
              <w:t>Appropriate staff training is conducted.</w:t>
            </w:r>
          </w:p>
          <w:p w:rsidR="00000000" w:rsidRPr="00FC0298" w:rsidP="00FC0298">
            <w:pPr>
              <w:pStyle w:val="List2"/>
            </w:pPr>
            <w:r w:rsidRPr="00FC0298">
              <w:t>2.4.</w:t>
            </w:r>
            <w:r w:rsidRPr="00FC0298">
              <w:tab/>
            </w:r>
            <w:r w:rsidRPr="00FC0298">
              <w:rPr>
                <w:rStyle w:val="BoldandItalics"/>
              </w:rPr>
              <w:t>Constraints</w:t>
            </w:r>
            <w:r w:rsidRPr="00FC0298">
              <w:t xml:space="preserve"> to production trials are identified and </w:t>
            </w:r>
            <w:r w:rsidRPr="00FC0298">
              <w:t xml:space="preserve">solutions developed and implemented. </w:t>
            </w:r>
          </w:p>
          <w:p w:rsidR="00000000" w:rsidRPr="00FC0298" w:rsidP="00FC0298">
            <w:pPr>
              <w:pStyle w:val="List2"/>
            </w:pPr>
            <w:r w:rsidRPr="00FC0298">
              <w:t>2.5.</w:t>
            </w:r>
            <w:r w:rsidRPr="00FC0298">
              <w:tab/>
              <w:t xml:space="preserve">Arrangements for </w:t>
            </w:r>
            <w:r w:rsidRPr="00FC0298">
              <w:rPr>
                <w:rStyle w:val="BoldandItalics"/>
              </w:rPr>
              <w:t>testing</w:t>
            </w:r>
            <w:r w:rsidRPr="00FC0298">
              <w:t xml:space="preserve"> and/or laboratory facilities during the trial are developed. </w:t>
            </w:r>
          </w:p>
          <w:p w:rsidR="00000000" w:rsidP="00FC0298">
            <w:pPr>
              <w:pStyle w:val="List2"/>
              <w:rPr>
                <w:lang w:val="en-NZ"/>
              </w:rPr>
            </w:pPr>
            <w:r w:rsidRPr="00FC0298">
              <w:t>2.6.</w:t>
            </w:r>
            <w:r w:rsidRPr="00FC0298">
              <w:tab/>
              <w:t>Documentation relating to trial productions is completed accurately.</w:t>
            </w:r>
          </w:p>
        </w:tc>
      </w:tr>
      <w:tr w:rsidTr="00CF1F1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List"/>
              <w:rPr>
                <w:lang w:val="en-NZ"/>
              </w:rPr>
            </w:pPr>
            <w:r w:rsidRPr="00FC0298">
              <w:t>3.</w:t>
            </w:r>
            <w:r w:rsidRPr="00FC0298">
              <w:tab/>
              <w:t>Produce new product under trial conditions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2"/>
            </w:pPr>
            <w:r w:rsidRPr="00FC0298">
              <w:t>3.1.</w:t>
            </w:r>
            <w:r w:rsidRPr="00FC0298">
              <w:tab/>
            </w:r>
            <w:r w:rsidRPr="00FC0298">
              <w:t>New product is produced under trial conditions within agreed timeframes.</w:t>
            </w:r>
          </w:p>
          <w:p w:rsidR="00000000" w:rsidRPr="00FC0298" w:rsidP="00FC0298">
            <w:pPr>
              <w:pStyle w:val="List2"/>
            </w:pPr>
            <w:r w:rsidRPr="00FC0298">
              <w:t>3.2.</w:t>
            </w:r>
            <w:r w:rsidRPr="00FC0298">
              <w:tab/>
              <w:t>Trial product quantity is consistent with realistic production volumes.</w:t>
            </w:r>
          </w:p>
          <w:p w:rsidR="00000000" w:rsidRPr="00FC0298" w:rsidP="00FC0298">
            <w:pPr>
              <w:pStyle w:val="List2"/>
            </w:pPr>
            <w:r w:rsidRPr="00FC0298">
              <w:t>3.3.</w:t>
            </w:r>
            <w:r w:rsidRPr="00FC0298">
              <w:tab/>
            </w:r>
            <w:r w:rsidRPr="00FC0298">
              <w:rPr>
                <w:rStyle w:val="BoldandItalics"/>
              </w:rPr>
              <w:t>Opportunities to improve product</w:t>
            </w:r>
            <w:r w:rsidRPr="00FC0298">
              <w:t xml:space="preserve"> revealed during trial are identified and implemented to optimise use</w:t>
            </w:r>
            <w:r w:rsidRPr="00FC0298">
              <w:t xml:space="preserve"> of equipment/personnel. </w:t>
            </w:r>
          </w:p>
          <w:p w:rsidR="00000000" w:rsidP="00FC0298">
            <w:pPr>
              <w:pStyle w:val="List2"/>
              <w:rPr>
                <w:lang w:val="en-NZ"/>
              </w:rPr>
            </w:pPr>
            <w:r w:rsidRPr="00FC0298">
              <w:t>3.4.</w:t>
            </w:r>
            <w:r w:rsidRPr="00FC0298">
              <w:tab/>
              <w:t>Production trial complies with relevant legislation and enterprise requirements.</w:t>
            </w:r>
          </w:p>
        </w:tc>
      </w:tr>
      <w:tr w:rsidTr="00CF1F1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List"/>
              <w:rPr>
                <w:lang w:val="en-NZ"/>
              </w:rPr>
            </w:pPr>
            <w:r w:rsidRPr="00FC0298">
              <w:t>4.</w:t>
            </w:r>
            <w:r w:rsidRPr="00FC0298">
              <w:tab/>
              <w:t>Analyse and record results of production trial</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2"/>
            </w:pPr>
            <w:r w:rsidRPr="00FC0298">
              <w:t>4.1.</w:t>
            </w:r>
            <w:r w:rsidRPr="00FC0298">
              <w:tab/>
              <w:t>Results of production trial are assessed against original expectations and product speci</w:t>
            </w:r>
            <w:r w:rsidRPr="00FC0298">
              <w:t>fications, and communicated to all interested parties.</w:t>
            </w:r>
          </w:p>
          <w:p w:rsidR="00000000" w:rsidRPr="00FC0298" w:rsidP="00FC0298">
            <w:pPr>
              <w:pStyle w:val="List2"/>
            </w:pPr>
            <w:r w:rsidRPr="00FC0298">
              <w:t>4.2.</w:t>
            </w:r>
            <w:r w:rsidRPr="00FC0298">
              <w:tab/>
              <w:t>Documentation related to production trial is completed accurately.</w:t>
            </w:r>
          </w:p>
          <w:p w:rsidR="00000000" w:rsidRPr="00FC0298" w:rsidP="00FC0298">
            <w:pPr>
              <w:pStyle w:val="List2"/>
            </w:pPr>
            <w:r w:rsidRPr="00FC0298">
              <w:t>4.3.</w:t>
            </w:r>
            <w:r w:rsidRPr="00FC0298">
              <w:tab/>
              <w:t>Production costs based on the trial are assessed and communicated to interested parties.</w:t>
            </w:r>
          </w:p>
          <w:p w:rsidR="00000000" w:rsidRPr="00FC0298" w:rsidP="00FC0298">
            <w:pPr>
              <w:pStyle w:val="List2"/>
            </w:pPr>
            <w:r w:rsidRPr="00FC0298">
              <w:t>4.4.</w:t>
            </w:r>
            <w:r w:rsidRPr="00FC0298">
              <w:tab/>
              <w:t xml:space="preserve">Limitations, improvements and </w:t>
            </w:r>
            <w:r w:rsidRPr="00FC0298">
              <w:t>modifications are identified and communicated to all interested parties.</w:t>
            </w:r>
          </w:p>
        </w:tc>
      </w:tr>
    </w:tbl>
    <w:p w:rsidR="00CF1F15" w:rsidP="00FC0298">
      <w:pPr>
        <w:pStyle w:val="BodyText"/>
      </w:pPr>
    </w:p>
    <w:p w:rsidR="00CF1F15" w:rsidP="00FC0298">
      <w:pPr>
        <w:pStyle w:val="BodyText"/>
      </w:pPr>
    </w:p>
    <w:p w:rsidR="00000000" w:rsidRPr="00FC0298" w:rsidP="00FC0298">
      <w:pPr>
        <w:pStyle w:val="Heading1"/>
      </w:pPr>
      <w:bookmarkStart w:id="9" w:name="O_261810"/>
      <w:bookmarkEnd w:id="9"/>
      <w:r w:rsidRPr="00FC0298">
        <w:t>Required Skills and Knowledge</w:t>
      </w:r>
    </w:p>
    <w:tbl>
      <w:tblPr>
        <w:tblW w:w="0" w:type="auto"/>
        <w:tblLayout w:type="fixed"/>
        <w:tblCellMar>
          <w:left w:w="62" w:type="dxa"/>
          <w:right w:w="62" w:type="dxa"/>
        </w:tblCellMar>
        <w:tblLook w:val="0000"/>
      </w:tblPr>
      <w:tblGrid>
        <w:gridCol w:w="8522"/>
      </w:tblGrid>
      <w:tr w:rsidTr="00CF1F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REQUIRED SKILLS AND KNOWLEDGE</w:t>
            </w:r>
          </w:p>
        </w:tc>
      </w:tr>
      <w:tr w:rsidTr="00CF1F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t>This section describes the skills and knowledge required for this unit.</w:t>
            </w:r>
          </w:p>
        </w:tc>
      </w:tr>
      <w:tr w:rsidTr="00CF1F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Required skil</w:t>
            </w:r>
            <w:r w:rsidRPr="00FC0298">
              <w:rPr>
                <w:rStyle w:val="SpecialBold"/>
              </w:rPr>
              <w:t>ls</w:t>
            </w:r>
          </w:p>
        </w:tc>
      </w:tr>
      <w:tr w:rsidTr="00CF1F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collecting, recording and analysing data</w:t>
            </w:r>
          </w:p>
          <w:p w:rsidR="00000000" w:rsidRPr="00FC0298" w:rsidP="00FC0298">
            <w:pPr>
              <w:pStyle w:val="ListBullet"/>
            </w:pPr>
            <w:r w:rsidRPr="00FC0298">
              <w:t>communicating trial information with work teams and managers</w:t>
            </w:r>
          </w:p>
          <w:p w:rsidR="00000000" w:rsidRPr="00FC0298" w:rsidP="00FC0298">
            <w:pPr>
              <w:pStyle w:val="ListBullet"/>
            </w:pPr>
            <w:r w:rsidRPr="00FC0298">
              <w:t>coordinating activities, supplies and processes</w:t>
            </w:r>
          </w:p>
          <w:p w:rsidR="00000000" w:rsidRPr="00FC0298" w:rsidP="00FC0298">
            <w:pPr>
              <w:pStyle w:val="ListBullet"/>
            </w:pPr>
            <w:r w:rsidRPr="00FC0298">
              <w:t>identifying and monitoring critical control points</w:t>
            </w:r>
          </w:p>
          <w:p w:rsidR="00000000" w:rsidRPr="00FC0298" w:rsidP="00FC0298">
            <w:pPr>
              <w:pStyle w:val="ListBullet"/>
            </w:pPr>
            <w:r w:rsidRPr="00FC0298">
              <w:t>identifying skill gaps in processing activities</w:t>
            </w:r>
          </w:p>
          <w:p w:rsidR="00000000" w:rsidRPr="00FC0298" w:rsidP="00FC0298">
            <w:pPr>
              <w:pStyle w:val="ListBullet"/>
            </w:pPr>
            <w:r w:rsidRPr="00FC0298">
              <w:t>int</w:t>
            </w:r>
            <w:r w:rsidRPr="00FC0298">
              <w:t>erpreting regulations, standards and specifications</w:t>
            </w:r>
          </w:p>
          <w:p w:rsidR="00000000" w:rsidRPr="00FC0298" w:rsidP="00FC0298">
            <w:pPr>
              <w:pStyle w:val="ListBullet"/>
            </w:pPr>
            <w:r w:rsidRPr="00FC0298">
              <w:t>optimising a range of processing equipment</w:t>
            </w:r>
          </w:p>
          <w:p w:rsidR="00000000" w:rsidRPr="00FC0298" w:rsidP="00FC0298">
            <w:pPr>
              <w:pStyle w:val="ListBullet"/>
            </w:pPr>
            <w:r w:rsidRPr="00FC0298">
              <w:t>planning</w:t>
            </w:r>
          </w:p>
          <w:p w:rsidR="00000000" w:rsidRPr="00FC0298" w:rsidP="00FC0298">
            <w:pPr>
              <w:pStyle w:val="ListBullet"/>
            </w:pPr>
            <w:r w:rsidRPr="00FC0298">
              <w:t>prioritising tasks and giving appropriate attention to detail</w:t>
            </w:r>
          </w:p>
          <w:p w:rsidR="00000000" w:rsidRPr="00FC0298" w:rsidP="00FC0298">
            <w:pPr>
              <w:pStyle w:val="ListBullet"/>
            </w:pPr>
            <w:r w:rsidRPr="00FC0298">
              <w:t>scheduling tests</w:t>
            </w:r>
          </w:p>
          <w:p w:rsidR="00000000" w:rsidRPr="00FC0298" w:rsidP="00FC0298">
            <w:pPr>
              <w:pStyle w:val="ListBullet"/>
            </w:pPr>
            <w:r w:rsidRPr="00FC0298">
              <w:t>solving problems</w:t>
            </w:r>
          </w:p>
          <w:p w:rsidR="00000000" w:rsidRPr="00FC0298" w:rsidP="00FC0298">
            <w:pPr>
              <w:pStyle w:val="ListBullet"/>
            </w:pPr>
            <w:r w:rsidRPr="00FC0298">
              <w:t>training staff.</w:t>
            </w:r>
          </w:p>
          <w:p w:rsidR="00000000" w:rsidRPr="00FC0298" w:rsidP="00FC0298">
            <w:pPr>
              <w:pStyle w:val="BodyText"/>
            </w:pPr>
          </w:p>
          <w:p w:rsidR="00000000" w:rsidRPr="00FC0298" w:rsidP="00FC0298">
            <w:pPr>
              <w:pStyle w:val="BodyText"/>
            </w:pPr>
            <w:r w:rsidRPr="00FC0298">
              <w:rPr>
                <w:rStyle w:val="SpecialBold"/>
              </w:rPr>
              <w:t>Literacy skills used for</w:t>
            </w:r>
            <w:r w:rsidRPr="00FC0298">
              <w:t xml:space="preserve">: </w:t>
            </w:r>
          </w:p>
          <w:p w:rsidR="00000000" w:rsidRPr="00FC0298" w:rsidP="00FC0298">
            <w:pPr>
              <w:pStyle w:val="ListBullet"/>
            </w:pPr>
            <w:r w:rsidRPr="00FC0298">
              <w:t>compiling re</w:t>
            </w:r>
            <w:r w:rsidRPr="00FC0298">
              <w:t>ports</w:t>
            </w:r>
          </w:p>
          <w:p w:rsidR="00000000" w:rsidRPr="00FC0298" w:rsidP="00FC0298">
            <w:pPr>
              <w:pStyle w:val="ListBullet"/>
            </w:pPr>
            <w:r w:rsidRPr="00FC0298">
              <w:t>completing complex forms</w:t>
            </w:r>
          </w:p>
          <w:p w:rsidR="00000000" w:rsidRPr="00FC0298" w:rsidP="00FC0298">
            <w:pPr>
              <w:pStyle w:val="ListBullet"/>
            </w:pPr>
            <w:r w:rsidRPr="00FC0298">
              <w:t>interpreting technical documents/publications</w:t>
            </w:r>
          </w:p>
          <w:p w:rsidR="00000000" w:rsidRPr="00FC0298" w:rsidP="00FC0298">
            <w:pPr>
              <w:pStyle w:val="ListBullet"/>
            </w:pPr>
            <w:r w:rsidRPr="00FC0298">
              <w:t>reading and interpreting information</w:t>
            </w:r>
          </w:p>
          <w:p w:rsidR="00000000" w:rsidRPr="00FC0298" w:rsidP="00FC0298">
            <w:pPr>
              <w:pStyle w:val="ListBullet"/>
            </w:pPr>
            <w:r w:rsidRPr="00FC0298">
              <w:t>recording and interpreting data.</w:t>
            </w:r>
          </w:p>
          <w:p w:rsidR="00000000" w:rsidRPr="00FC0298" w:rsidP="00FC0298">
            <w:pPr>
              <w:pStyle w:val="BodyText"/>
            </w:pPr>
          </w:p>
          <w:p w:rsidR="00000000" w:rsidRPr="00FC0298" w:rsidP="00FC0298">
            <w:pPr>
              <w:pStyle w:val="BodyText"/>
            </w:pPr>
            <w:r w:rsidRPr="00FC0298">
              <w:rPr>
                <w:rStyle w:val="SpecialBold"/>
              </w:rPr>
              <w:t>Numeracy skills used for</w:t>
            </w:r>
            <w:r w:rsidRPr="00FC0298">
              <w:t xml:space="preserve">: </w:t>
            </w:r>
          </w:p>
          <w:p w:rsidR="00000000" w:rsidRPr="00FC0298" w:rsidP="00FC0298">
            <w:pPr>
              <w:pStyle w:val="ListBullet"/>
            </w:pPr>
            <w:r w:rsidRPr="00FC0298">
              <w:t>calculating averages and/or percentages</w:t>
            </w:r>
          </w:p>
          <w:p w:rsidR="00000000" w:rsidRPr="00FC0298" w:rsidP="00FC0298">
            <w:pPr>
              <w:pStyle w:val="ListBullet"/>
            </w:pPr>
            <w:r w:rsidRPr="00FC0298">
              <w:t>calculating production data</w:t>
            </w:r>
          </w:p>
          <w:p w:rsidR="00000000" w:rsidRPr="00FC0298" w:rsidP="00FC0298">
            <w:pPr>
              <w:pStyle w:val="ListBullet"/>
            </w:pPr>
            <w:r w:rsidRPr="00FC0298">
              <w:t>estimating safe working loads</w:t>
            </w:r>
          </w:p>
          <w:p w:rsidR="00000000" w:rsidP="00FC0298">
            <w:pPr>
              <w:pStyle w:val="ListBullet"/>
              <w:rPr>
                <w:lang w:val="en-NZ"/>
              </w:rPr>
            </w:pPr>
            <w:r w:rsidRPr="00FC0298">
              <w:t>estimating time, volume, flows and pressures.</w:t>
            </w:r>
          </w:p>
        </w:tc>
      </w:tr>
      <w:tr w:rsidTr="00CF1F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Required knowledge</w:t>
            </w:r>
          </w:p>
        </w:tc>
      </w:tr>
      <w:tr w:rsidTr="00CF1F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Hazard Analysis Critical Control Point (HACCP) and food safety systems</w:t>
            </w:r>
          </w:p>
          <w:p w:rsidR="00000000" w:rsidRPr="00FC0298" w:rsidP="00FC0298">
            <w:pPr>
              <w:pStyle w:val="ListBullet"/>
            </w:pPr>
            <w:r w:rsidRPr="00FC0298">
              <w:t>product development methodology</w:t>
            </w:r>
          </w:p>
          <w:p w:rsidR="00000000" w:rsidRPr="00FC0298" w:rsidP="00FC0298">
            <w:pPr>
              <w:pStyle w:val="ListBullet"/>
            </w:pPr>
            <w:r w:rsidRPr="00FC0298">
              <w:t>production planning</w:t>
            </w:r>
          </w:p>
          <w:p w:rsidR="00000000" w:rsidRPr="00FC0298" w:rsidP="00FC0298">
            <w:pPr>
              <w:pStyle w:val="ListBullet"/>
            </w:pPr>
            <w:r w:rsidRPr="00FC0298">
              <w:t>seafood quality, handling and preser</w:t>
            </w:r>
            <w:r w:rsidRPr="00FC0298">
              <w:t>vation methods.</w:t>
            </w:r>
          </w:p>
        </w:tc>
      </w:tr>
    </w:tbl>
    <w:p w:rsidR="00CF1F15" w:rsidP="00FC0298">
      <w:pPr>
        <w:pStyle w:val="BodyText"/>
      </w:pPr>
    </w:p>
    <w:p w:rsidR="00CF1F15" w:rsidP="00FC0298">
      <w:pPr>
        <w:pStyle w:val="BodyText"/>
      </w:pPr>
    </w:p>
    <w:p w:rsidR="00000000" w:rsidRPr="00FC0298" w:rsidP="00FC0298">
      <w:pPr>
        <w:pStyle w:val="AllowPageBreak"/>
      </w:pPr>
    </w:p>
    <w:p w:rsidR="00000000" w:rsidRPr="00FC0298" w:rsidP="00FC0298">
      <w:pPr>
        <w:pStyle w:val="Heading1"/>
      </w:pPr>
      <w:bookmarkStart w:id="10" w:name="O_246003"/>
      <w:bookmarkEnd w:id="10"/>
      <w:r w:rsidRPr="00FC0298">
        <w:t>Evidence Guide</w:t>
      </w:r>
    </w:p>
    <w:tbl>
      <w:tblPr>
        <w:tblW w:w="9570" w:type="dxa"/>
        <w:tblLayout w:type="fixed"/>
        <w:tblCellMar>
          <w:left w:w="62" w:type="dxa"/>
          <w:right w:w="62" w:type="dxa"/>
        </w:tblCellMar>
        <w:tblLook w:val="0000"/>
      </w:tblPr>
      <w:tblGrid>
        <w:gridCol w:w="3908"/>
        <w:gridCol w:w="5662"/>
      </w:tblGrid>
      <w:tr w:rsidTr="00CF1F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EVIDENCE GUIDE</w:t>
            </w:r>
          </w:p>
        </w:tc>
      </w:tr>
      <w:tr w:rsidTr="00CF1F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t>The evidence guide provides advice on assessment and must be read in conjunction with the performance criteria, required skills and knowledge, ran</w:t>
            </w:r>
            <w:r w:rsidRPr="00FC0298">
              <w:t>ge statement and the Assessment Guidelines for the Training Package.</w:t>
            </w:r>
          </w:p>
        </w:tc>
      </w:tr>
      <w:tr w:rsidTr="00CF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p>
        </w:tc>
      </w:tr>
      <w:tr w:rsidTr="00CF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 xml:space="preserve">Assessment must confirm the ability to: </w:t>
            </w:r>
          </w:p>
          <w:p w:rsidR="00000000" w:rsidRPr="00FC0298" w:rsidP="00FC0298">
            <w:pPr>
              <w:pStyle w:val="ListBullet"/>
            </w:pPr>
            <w:r w:rsidRPr="00FC0298">
              <w:t>perform tasks necessary to take a new product concept and develop a plan for production trials, and to implement and manage trials for the purpose of gathering sufficient data to confirm production viability.</w:t>
            </w:r>
          </w:p>
          <w:p w:rsidR="00000000" w:rsidRPr="00FC0298" w:rsidP="00FC0298">
            <w:pPr>
              <w:pStyle w:val="BodyText"/>
            </w:pPr>
          </w:p>
          <w:p w:rsidR="00000000" w:rsidRPr="00FC0298" w:rsidP="00FC0298">
            <w:pPr>
              <w:pStyle w:val="BodyText"/>
            </w:pPr>
            <w:r w:rsidRPr="00FC0298">
              <w:t xml:space="preserve">Assessment must confirm knowledge of: </w:t>
            </w:r>
          </w:p>
          <w:p w:rsidR="00000000" w:rsidRPr="00FC0298" w:rsidP="00FC0298">
            <w:pPr>
              <w:pStyle w:val="ListBullet"/>
            </w:pPr>
            <w:r w:rsidRPr="00FC0298">
              <w:t>analysi</w:t>
            </w:r>
            <w:r w:rsidRPr="00FC0298">
              <w:t>s techniques</w:t>
            </w:r>
          </w:p>
          <w:p w:rsidR="00000000" w:rsidRPr="00FC0298" w:rsidP="00FC0298">
            <w:pPr>
              <w:pStyle w:val="ListBullet"/>
            </w:pPr>
            <w:r w:rsidRPr="00FC0298">
              <w:t>enterprise expectations of new product and initial specifications</w:t>
            </w:r>
          </w:p>
          <w:p w:rsidR="00000000" w:rsidRPr="00FC0298" w:rsidP="00FC0298">
            <w:pPr>
              <w:pStyle w:val="ListBullet"/>
            </w:pPr>
            <w:r w:rsidRPr="00FC0298">
              <w:t>enterprise standard operating procedures (SOPs)</w:t>
            </w:r>
          </w:p>
          <w:p w:rsidR="00000000" w:rsidRPr="00FC0298" w:rsidP="00FC0298">
            <w:pPr>
              <w:pStyle w:val="ListBullet"/>
            </w:pPr>
            <w:r w:rsidRPr="00FC0298">
              <w:t>food safety requirements, including HACCP</w:t>
            </w:r>
          </w:p>
          <w:p w:rsidR="00000000" w:rsidRPr="00FC0298" w:rsidP="00FC0298">
            <w:pPr>
              <w:pStyle w:val="ListBullet"/>
            </w:pPr>
            <w:r w:rsidRPr="00FC0298">
              <w:t>laboratory test facilities relevant to the product being trailed</w:t>
            </w:r>
          </w:p>
          <w:p w:rsidR="00000000" w:rsidRPr="00FC0298" w:rsidP="00FC0298">
            <w:pPr>
              <w:pStyle w:val="ListBullet"/>
            </w:pPr>
            <w:r w:rsidRPr="00FC0298">
              <w:t>location and availability of raw material inputs</w:t>
            </w:r>
          </w:p>
          <w:p w:rsidR="00000000" w:rsidRPr="00FC0298" w:rsidP="00FC0298">
            <w:pPr>
              <w:pStyle w:val="ListBullet"/>
            </w:pPr>
            <w:r w:rsidRPr="00FC0298">
              <w:t>location and availability of sufficient storage capacity for product generated during trials</w:t>
            </w:r>
          </w:p>
          <w:p w:rsidR="00000000" w:rsidP="00FC0298">
            <w:pPr>
              <w:pStyle w:val="ListBullet"/>
              <w:rPr>
                <w:lang w:val="en-NZ"/>
              </w:rPr>
            </w:pPr>
            <w:r w:rsidRPr="00FC0298">
              <w:t>relevant standards which impact on the new product.</w:t>
            </w:r>
          </w:p>
        </w:tc>
      </w:tr>
      <w:tr w:rsidTr="00CF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Assessment m</w:t>
            </w:r>
            <w:r w:rsidRPr="00FC0298">
              <w:t xml:space="preserve">ay be conducted in the workplace or in a simulated work environment. </w:t>
            </w:r>
          </w:p>
          <w:p w:rsidR="00000000" w:rsidRPr="00FC0298" w:rsidP="00FC0298">
            <w:pPr>
              <w:pStyle w:val="BodyText"/>
            </w:pPr>
          </w:p>
          <w:p w:rsidR="00000000" w:rsidRPr="00FC0298" w:rsidP="00FC0298">
            <w:pPr>
              <w:pStyle w:val="BodyText"/>
            </w:pPr>
            <w:r w:rsidRPr="00FC0298">
              <w:t>Resources may include:</w:t>
            </w:r>
          </w:p>
          <w:p w:rsidR="00000000" w:rsidRPr="00FC0298" w:rsidP="00FC0298">
            <w:pPr>
              <w:pStyle w:val="ListBullet"/>
            </w:pPr>
            <w:r w:rsidRPr="00FC0298">
              <w:t>access to enterprise expertise in production, processing and/or engineering</w:t>
            </w:r>
          </w:p>
          <w:p w:rsidR="00000000" w:rsidRPr="00FC0298" w:rsidP="00FC0298">
            <w:pPr>
              <w:pStyle w:val="ListBullet"/>
            </w:pPr>
            <w:r w:rsidRPr="00FC0298">
              <w:t>enterprise HACCP plan</w:t>
            </w:r>
          </w:p>
          <w:p w:rsidR="00000000" w:rsidRPr="00FC0298" w:rsidP="00FC0298">
            <w:pPr>
              <w:pStyle w:val="ListBullet"/>
            </w:pPr>
            <w:r w:rsidRPr="00FC0298">
              <w:t>enterprise SOPs</w:t>
            </w:r>
          </w:p>
          <w:p w:rsidR="00000000" w:rsidRPr="00FC0298" w:rsidP="00FC0298">
            <w:pPr>
              <w:pStyle w:val="ListBullet"/>
            </w:pPr>
            <w:r w:rsidRPr="00FC0298">
              <w:t>equipment and/or facilities suitable to the scop</w:t>
            </w:r>
            <w:r w:rsidRPr="00FC0298">
              <w:t>e and scale of the trial</w:t>
            </w:r>
          </w:p>
          <w:p w:rsidR="00000000" w:rsidRPr="00FC0298" w:rsidP="00FC0298">
            <w:pPr>
              <w:pStyle w:val="ListBullet"/>
            </w:pPr>
            <w:r w:rsidRPr="00FC0298">
              <w:t>food safety and other relevant standards</w:t>
            </w:r>
          </w:p>
          <w:p w:rsidR="00000000" w:rsidRPr="00FC0298" w:rsidP="00FC0298">
            <w:pPr>
              <w:pStyle w:val="ListBullet"/>
            </w:pPr>
            <w:r w:rsidRPr="00FC0298">
              <w:t>relevant product specifications</w:t>
            </w:r>
          </w:p>
          <w:p w:rsidR="00000000" w:rsidP="00FC0298">
            <w:pPr>
              <w:pStyle w:val="ListBullet"/>
              <w:rPr>
                <w:lang w:val="en-NZ"/>
              </w:rPr>
            </w:pPr>
            <w:r w:rsidRPr="00FC0298">
              <w:t>sufficient product or raw material to reflect a commercial quantity for the trial.</w:t>
            </w:r>
          </w:p>
        </w:tc>
      </w:tr>
      <w:tr w:rsidTr="00CF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 xml:space="preserve">The following assessment methods are suggested: </w:t>
            </w:r>
          </w:p>
          <w:p w:rsidR="00000000" w:rsidRPr="00FC0298" w:rsidP="00FC0298">
            <w:pPr>
              <w:pStyle w:val="ListBullet"/>
            </w:pPr>
            <w:r w:rsidRPr="00FC0298">
              <w:t>interview</w:t>
            </w:r>
          </w:p>
          <w:p w:rsidR="00000000" w:rsidRPr="00FC0298" w:rsidP="00FC0298">
            <w:pPr>
              <w:pStyle w:val="ListBullet"/>
            </w:pPr>
            <w:r w:rsidRPr="00FC0298">
              <w:t>project (work or scenario based)</w:t>
            </w:r>
          </w:p>
          <w:p w:rsidR="00000000" w:rsidRPr="00FC0298" w:rsidP="00FC0298">
            <w:pPr>
              <w:pStyle w:val="ListBullet"/>
            </w:pPr>
            <w:r w:rsidRPr="00FC0298">
              <w:t>workplace documents, such as plans, data, evaluations and reports</w:t>
            </w:r>
          </w:p>
          <w:p w:rsidR="00000000" w:rsidP="00FC0298">
            <w:pPr>
              <w:pStyle w:val="ListBullet"/>
              <w:rPr>
                <w:lang w:val="en-NZ"/>
              </w:rPr>
            </w:pPr>
            <w:r w:rsidRPr="00FC0298">
              <w:t>written or oral questions.</w:t>
            </w:r>
          </w:p>
        </w:tc>
      </w:tr>
      <w:tr w:rsidTr="00CF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This unit may be assessed holistically with other units within a qualification.</w:t>
            </w:r>
          </w:p>
        </w:tc>
      </w:tr>
    </w:tbl>
    <w:p w:rsidR="00CF1F15" w:rsidP="00FC0298">
      <w:pPr>
        <w:pStyle w:val="BodyText"/>
      </w:pPr>
    </w:p>
    <w:p w:rsidR="00CF1F15" w:rsidP="00FC0298">
      <w:pPr>
        <w:pStyle w:val="BodyText"/>
      </w:pPr>
    </w:p>
    <w:p w:rsidR="00000000" w:rsidRPr="00FC0298" w:rsidP="00FC0298">
      <w:pPr>
        <w:pStyle w:val="Heading1"/>
      </w:pPr>
      <w:bookmarkStart w:id="11" w:name="O_253986"/>
      <w:bookmarkEnd w:id="11"/>
      <w:r w:rsidRPr="00FC0298">
        <w:t>Range Statement</w:t>
      </w:r>
    </w:p>
    <w:tbl>
      <w:tblPr>
        <w:tblW w:w="0" w:type="auto"/>
        <w:tblLayout w:type="fixed"/>
        <w:tblCellMar>
          <w:left w:w="62" w:type="dxa"/>
          <w:right w:w="62" w:type="dxa"/>
        </w:tblCellMar>
        <w:tblLook w:val="0000"/>
      </w:tblPr>
      <w:tblGrid>
        <w:gridCol w:w="3446"/>
        <w:gridCol w:w="5076"/>
      </w:tblGrid>
      <w:tr w:rsidTr="00CF1F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RANGE STATEMENT</w:t>
            </w:r>
          </w:p>
        </w:tc>
      </w:tr>
      <w:tr w:rsidTr="00CF1F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t>The range statement relates to the unit of competency as a whole. It allows for different work environments and situations that may affect performance. B</w:t>
            </w:r>
            <w:r w:rsidRPr="00FC0298">
              <w:t>old italicised wording, if used in the performance criteria, is detailed below. Essential operating conditions that may be present with training and assessment (depending on the work situation, needs of the candidate, accessibility of the item, and local i</w:t>
            </w:r>
            <w:r w:rsidRPr="00FC0298">
              <w:t>ndustry and regional contexts) may also be included.</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Relevant government regulations</w:t>
            </w:r>
            <w:r w:rsidRPr="00FC0298">
              <w:t xml:space="preserve">, </w:t>
            </w:r>
            <w:r w:rsidRPr="00FC0298">
              <w:rPr>
                <w:rStyle w:val="BoldandItalics"/>
              </w:rPr>
              <w:t>licensing and other compliance requirements</w:t>
            </w:r>
            <w:r w:rsidRPr="00FC0298">
              <w:t xml:space="preserve"> may include: </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ESD principles, environmental hazard identification, risk assessment and control</w:t>
            </w:r>
          </w:p>
          <w:p w:rsidR="00000000" w:rsidRPr="00FC0298" w:rsidP="00FC0298">
            <w:pPr>
              <w:pStyle w:val="ListBullet"/>
            </w:pPr>
            <w:r w:rsidRPr="00FC0298">
              <w:t>food safety, HACCP, hygiene a</w:t>
            </w:r>
            <w:r w:rsidRPr="00FC0298">
              <w:t>nd temperature control along chain of custody</w:t>
            </w:r>
          </w:p>
          <w:p w:rsidR="00000000" w:rsidRPr="00FC0298" w:rsidP="00FC0298">
            <w:pPr>
              <w:pStyle w:val="ListBullet"/>
            </w:pPr>
            <w:r w:rsidRPr="00FC0298">
              <w:t>imports quarantine and inspection, and importing approved arrangements for Australian Quarantine Inspection Service (AQIS), Australian Customs Service (ACS) and Biosecurity Australia (BA)</w:t>
            </w:r>
          </w:p>
          <w:p w:rsidR="00000000" w:rsidRPr="00FC0298" w:rsidP="00FC0298">
            <w:pPr>
              <w:pStyle w:val="ListBullet"/>
            </w:pPr>
            <w:r w:rsidRPr="00FC0298">
              <w:t xml:space="preserve">business or workplace </w:t>
            </w:r>
            <w:r w:rsidRPr="00FC0298">
              <w:t>operations, policies and practices:</w:t>
            </w:r>
          </w:p>
          <w:p w:rsidR="00000000" w:rsidRPr="00FC0298" w:rsidP="00FC0298">
            <w:pPr>
              <w:pStyle w:val="ListBullet2"/>
            </w:pPr>
            <w:r w:rsidRPr="00FC0298">
              <w:t xml:space="preserve">commercial law, including fair trading and trade practices </w:t>
            </w:r>
          </w:p>
          <w:p w:rsidR="00000000" w:rsidRPr="00FC0298" w:rsidP="00FC0298">
            <w:pPr>
              <w:pStyle w:val="ListBullet2"/>
            </w:pPr>
            <w:r w:rsidRPr="00FC0298">
              <w:t>consumer law</w:t>
            </w:r>
          </w:p>
          <w:p w:rsidR="00000000" w:rsidRPr="00FC0298" w:rsidP="00FC0298">
            <w:pPr>
              <w:pStyle w:val="ListBullet2"/>
            </w:pPr>
            <w:r w:rsidRPr="00FC0298">
              <w:t xml:space="preserve">corporate law, including registration, licensing and financial reporting </w:t>
            </w:r>
          </w:p>
          <w:p w:rsidR="00000000" w:rsidRPr="00FC0298" w:rsidP="00FC0298">
            <w:pPr>
              <w:pStyle w:val="ListBullet2"/>
            </w:pPr>
            <w:r w:rsidRPr="00FC0298">
              <w:t>disability policies and practices</w:t>
            </w:r>
          </w:p>
          <w:p w:rsidR="00000000" w:rsidRPr="00FC0298" w:rsidP="00FC0298">
            <w:pPr>
              <w:pStyle w:val="ListBullet2"/>
            </w:pPr>
            <w:r w:rsidRPr="00FC0298">
              <w:t xml:space="preserve">equal opportunity, anti-discrimination and sexual harassment </w:t>
            </w:r>
          </w:p>
          <w:p w:rsidR="00000000" w:rsidRPr="00FC0298" w:rsidP="00FC0298">
            <w:pPr>
              <w:pStyle w:val="ListBullet2"/>
            </w:pPr>
            <w:r w:rsidRPr="00FC0298">
              <w:t>industrial relations and awards, individual employment contracts and share of catch agreements</w:t>
            </w:r>
          </w:p>
          <w:p w:rsidR="00000000" w:rsidRPr="00FC0298" w:rsidP="00FC0298">
            <w:pPr>
              <w:pStyle w:val="ListBullet2"/>
            </w:pPr>
            <w:r w:rsidRPr="00FC0298">
              <w:t>jurisdictional variations</w:t>
            </w:r>
          </w:p>
          <w:p w:rsidR="00000000" w:rsidRPr="00FC0298" w:rsidP="00FC0298">
            <w:pPr>
              <w:pStyle w:val="ListBullet2"/>
            </w:pPr>
            <w:r w:rsidRPr="00FC0298">
              <w:t>superannuation</w:t>
            </w:r>
          </w:p>
          <w:p w:rsidR="00000000" w:rsidRPr="00FC0298" w:rsidP="00FC0298">
            <w:pPr>
              <w:pStyle w:val="ListBullet2"/>
            </w:pPr>
            <w:r w:rsidRPr="00FC0298">
              <w:t>taxation</w:t>
            </w:r>
          </w:p>
          <w:p w:rsidR="00000000" w:rsidRPr="00FC0298" w:rsidP="00FC0298">
            <w:pPr>
              <w:pStyle w:val="ListBullet2"/>
            </w:pPr>
            <w:r w:rsidRPr="00FC0298">
              <w:t xml:space="preserve">trade practices </w:t>
            </w:r>
          </w:p>
          <w:p w:rsidR="00000000" w:rsidRPr="00FC0298" w:rsidP="00FC0298">
            <w:pPr>
              <w:pStyle w:val="ListBullet2"/>
            </w:pPr>
            <w:r w:rsidRPr="00FC0298">
              <w:t>warnings and dismissals</w:t>
            </w:r>
          </w:p>
          <w:p w:rsidR="00000000" w:rsidRPr="00FC0298" w:rsidP="00FC0298">
            <w:pPr>
              <w:pStyle w:val="ListBullet2"/>
            </w:pPr>
            <w:r w:rsidRPr="00FC0298">
              <w:t>worker's</w:t>
            </w:r>
            <w:r w:rsidRPr="00FC0298">
              <w:t xml:space="preserve"> compensation</w:t>
            </w:r>
          </w:p>
          <w:p w:rsidR="00000000" w:rsidRPr="00FC0298" w:rsidP="00FC0298">
            <w:pPr>
              <w:pStyle w:val="ListBullet"/>
            </w:pPr>
            <w:r w:rsidRPr="00FC0298">
              <w:t>occupational health and safety (OHS) hazard identification, risk assessment and control</w:t>
            </w:r>
          </w:p>
          <w:p w:rsidR="00000000" w:rsidRPr="00FC0298" w:rsidP="00FC0298">
            <w:pPr>
              <w:pStyle w:val="ListBullet"/>
            </w:pPr>
            <w:r w:rsidRPr="00FC0298">
              <w:t>product quality assurance:</w:t>
            </w:r>
          </w:p>
          <w:p w:rsidR="00000000" w:rsidRPr="00FC0298" w:rsidP="00FC0298">
            <w:pPr>
              <w:pStyle w:val="ListBullet2"/>
            </w:pPr>
            <w:r w:rsidRPr="00FC0298">
              <w:t>correct naming and labelling (e.g. country of origin, Australian Fish Names Standard and eco-labelling)</w:t>
            </w:r>
          </w:p>
          <w:p w:rsidR="00000000" w:rsidRPr="00FC0298" w:rsidP="00FC0298">
            <w:pPr>
              <w:pStyle w:val="ListBullet2"/>
            </w:pPr>
            <w:r w:rsidRPr="00FC0298">
              <w:t>correct quantities, si</w:t>
            </w:r>
            <w:r w:rsidRPr="00FC0298">
              <w:t>zes and other customer requirements</w:t>
            </w:r>
          </w:p>
          <w:p w:rsidR="00000000" w:rsidP="00FC0298">
            <w:pPr>
              <w:pStyle w:val="ListBullet2"/>
              <w:rPr>
                <w:lang w:val="en-NZ"/>
              </w:rPr>
            </w:pPr>
            <w:r w:rsidRPr="00FC0298">
              <w:t>third-party certification (e.g. Australian Grown and ISO 14001:2004 Environmental management systems).</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Food safety and hygiene regulations and procedures</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Australian Shellfish Sanitation program</w:t>
            </w:r>
          </w:p>
          <w:p w:rsidR="00000000" w:rsidRPr="00FC0298" w:rsidP="00FC0298">
            <w:pPr>
              <w:pStyle w:val="ListBullet"/>
            </w:pPr>
            <w:r w:rsidRPr="00FC0298">
              <w:t>display, packaging and sale of food, including seafood and aquatic products</w:t>
            </w:r>
          </w:p>
          <w:p w:rsidR="00000000" w:rsidRPr="00FC0298" w:rsidP="00FC0298">
            <w:pPr>
              <w:pStyle w:val="ListBullet"/>
            </w:pPr>
            <w:r w:rsidRPr="00FC0298">
              <w:t xml:space="preserve">equipment design, use, cleaning and maintenance </w:t>
            </w:r>
          </w:p>
          <w:p w:rsidR="00000000" w:rsidRPr="00FC0298" w:rsidP="00FC0298">
            <w:pPr>
              <w:pStyle w:val="ListBullet"/>
            </w:pPr>
            <w:r w:rsidRPr="00FC0298">
              <w:t>exporting requirements, including AQIS Export Control (Fish) orders</w:t>
            </w:r>
          </w:p>
          <w:p w:rsidR="00000000" w:rsidRPr="00FC0298" w:rsidP="00FC0298">
            <w:pPr>
              <w:pStyle w:val="ListBullet"/>
            </w:pPr>
            <w:r w:rsidRPr="00FC0298">
              <w:t>handling and disposal of condemned or recalled seafood products</w:t>
            </w:r>
          </w:p>
          <w:p w:rsidR="00000000" w:rsidRPr="00FC0298" w:rsidP="00FC0298">
            <w:pPr>
              <w:pStyle w:val="ListBullet"/>
            </w:pPr>
            <w:r w:rsidRPr="00FC0298">
              <w:t>HACCP, food safety program, and other risk minimisation and quality assurance systems</w:t>
            </w:r>
          </w:p>
          <w:p w:rsidR="00000000" w:rsidRPr="00FC0298" w:rsidP="00FC0298">
            <w:pPr>
              <w:pStyle w:val="ListBullet"/>
            </w:pPr>
            <w:r w:rsidRPr="00FC0298">
              <w:t xml:space="preserve">location, construction and servicing of seafood premises </w:t>
            </w:r>
          </w:p>
          <w:p w:rsidR="00000000" w:rsidRPr="00FC0298" w:rsidP="00FC0298">
            <w:pPr>
              <w:pStyle w:val="ListBullet"/>
            </w:pPr>
            <w:r w:rsidRPr="00FC0298">
              <w:t>people, product and place hygiene and sanitation requirements</w:t>
            </w:r>
          </w:p>
          <w:p w:rsidR="00000000" w:rsidRPr="00FC0298" w:rsidP="00FC0298">
            <w:pPr>
              <w:pStyle w:val="ListBullet"/>
            </w:pPr>
            <w:r w:rsidRPr="00FC0298">
              <w:t>Primary Products Standard and the Australian Seaf</w:t>
            </w:r>
            <w:r w:rsidRPr="00FC0298">
              <w:t xml:space="preserve">ood Standard (voluntary) </w:t>
            </w:r>
          </w:p>
          <w:p w:rsidR="00000000" w:rsidRPr="00FC0298" w:rsidP="00FC0298">
            <w:pPr>
              <w:pStyle w:val="ListBullet"/>
            </w:pPr>
            <w:r w:rsidRPr="00FC0298">
              <w:t xml:space="preserve">processing, further processing and preparation of food, including seafood and aquatic products </w:t>
            </w:r>
          </w:p>
          <w:p w:rsidR="00000000" w:rsidRPr="00FC0298" w:rsidP="00FC0298">
            <w:pPr>
              <w:pStyle w:val="ListBullet"/>
            </w:pPr>
            <w:r w:rsidRPr="00FC0298">
              <w:t>product labelling, tracing and recall</w:t>
            </w:r>
          </w:p>
          <w:p w:rsidR="00000000" w:rsidRPr="00FC0298" w:rsidP="00FC0298">
            <w:pPr>
              <w:pStyle w:val="ListBullet"/>
            </w:pPr>
            <w:r w:rsidRPr="00FC0298">
              <w:t>receipt, storage and transportation of food, including seafood and aquatic products</w:t>
            </w:r>
          </w:p>
          <w:p w:rsidR="00000000" w:rsidRPr="00FC0298" w:rsidP="00FC0298">
            <w:pPr>
              <w:pStyle w:val="ListBullet"/>
            </w:pPr>
            <w:r w:rsidRPr="00FC0298">
              <w:t>requirements</w:t>
            </w:r>
            <w:r w:rsidRPr="00FC0298">
              <w:t xml:space="preserve"> set out in Australian and New Zealand Food Authority (ANZFA) Food Standards Code and state and territory food regulations</w:t>
            </w:r>
          </w:p>
          <w:p w:rsidR="00000000" w:rsidP="00FC0298">
            <w:pPr>
              <w:pStyle w:val="ListBullet"/>
              <w:rPr>
                <w:lang w:val="en-NZ"/>
              </w:rPr>
            </w:pPr>
            <w:r w:rsidRPr="00FC0298">
              <w:t>temperature and contamination control along chain of custody.</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ESD principles</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increasing use of renewable, recyclable an</w:t>
            </w:r>
            <w:r w:rsidRPr="00FC0298">
              <w:t>d recoverable resources</w:t>
            </w:r>
          </w:p>
          <w:p w:rsidR="00000000" w:rsidRPr="00FC0298" w:rsidP="00FC0298">
            <w:pPr>
              <w:pStyle w:val="ListBullet"/>
            </w:pPr>
            <w:r w:rsidRPr="00FC0298">
              <w:t>managing environmental hazard identification, risk assessment and control</w:t>
            </w:r>
          </w:p>
          <w:p w:rsidR="00000000" w:rsidRPr="00FC0298" w:rsidP="00FC0298">
            <w:pPr>
              <w:pStyle w:val="ListBullet"/>
            </w:pPr>
            <w:r w:rsidRPr="00FC0298">
              <w:t xml:space="preserve">managing, controlling and treating effluents, chemical residues, contaminants, wastes and pollution </w:t>
            </w:r>
          </w:p>
          <w:p w:rsidR="00000000" w:rsidRPr="00FC0298" w:rsidP="00FC0298">
            <w:pPr>
              <w:pStyle w:val="ListBullet"/>
            </w:pPr>
            <w:r w:rsidRPr="00FC0298">
              <w:t>minimising noise, dust, light or odour emissions</w:t>
            </w:r>
          </w:p>
          <w:p w:rsidR="00000000" w:rsidRPr="00FC0298" w:rsidP="00FC0298">
            <w:pPr>
              <w:pStyle w:val="ListBullet"/>
            </w:pPr>
            <w:r w:rsidRPr="00FC0298">
              <w:t>planning environmental and resource efficiency improvements</w:t>
            </w:r>
          </w:p>
          <w:p w:rsidR="00000000" w:rsidRPr="00FC0298" w:rsidP="00FC0298">
            <w:pPr>
              <w:pStyle w:val="ListBullet"/>
            </w:pPr>
            <w:r w:rsidRPr="00FC0298">
              <w:t>reducing emissions of greenhouse gases</w:t>
            </w:r>
          </w:p>
          <w:p w:rsidR="00000000" w:rsidRPr="00FC0298" w:rsidP="00FC0298">
            <w:pPr>
              <w:pStyle w:val="ListBullet"/>
            </w:pPr>
            <w:r w:rsidRPr="00FC0298">
              <w:t>reducing use of non-renewable resources</w:t>
            </w:r>
          </w:p>
          <w:p w:rsidR="00000000" w:rsidP="00FC0298">
            <w:pPr>
              <w:pStyle w:val="ListBullet"/>
              <w:rPr>
                <w:lang w:val="en-NZ"/>
              </w:rPr>
            </w:pPr>
            <w:r w:rsidRPr="00FC0298">
              <w:t>reducing energy use and introducing alternative energy sources.</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Expectations</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cost factors</w:t>
            </w:r>
          </w:p>
          <w:p w:rsidR="00000000" w:rsidRPr="00FC0298" w:rsidP="00FC0298">
            <w:pPr>
              <w:pStyle w:val="ListBullet"/>
            </w:pPr>
            <w:r w:rsidRPr="00FC0298">
              <w:t>enterprise pr</w:t>
            </w:r>
            <w:r w:rsidRPr="00FC0298">
              <w:t>oduct specifications</w:t>
            </w:r>
          </w:p>
          <w:p w:rsidR="00000000" w:rsidRPr="00FC0298" w:rsidP="00FC0298">
            <w:pPr>
              <w:pStyle w:val="ListBullet"/>
            </w:pPr>
            <w:r w:rsidRPr="00FC0298">
              <w:t>quality parameters</w:t>
            </w:r>
          </w:p>
          <w:p w:rsidR="00000000" w:rsidRPr="00FC0298" w:rsidP="00FC0298">
            <w:pPr>
              <w:pStyle w:val="ListBullet"/>
            </w:pPr>
            <w:r w:rsidRPr="00FC0298">
              <w:t>requirements of food safety and other relevant standards</w:t>
            </w:r>
          </w:p>
          <w:p w:rsidR="00000000" w:rsidP="00FC0298">
            <w:pPr>
              <w:pStyle w:val="ListBullet"/>
              <w:rPr>
                <w:lang w:val="en-NZ"/>
              </w:rPr>
            </w:pPr>
            <w:r w:rsidRPr="00FC0298">
              <w:t>volume deemed necessary to provide reliable data.</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Plans</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detailing:</w:t>
            </w:r>
          </w:p>
          <w:p w:rsidR="00000000" w:rsidRPr="00FC0298" w:rsidP="00FC0298">
            <w:pPr>
              <w:pStyle w:val="ListBullet2"/>
            </w:pPr>
            <w:r w:rsidRPr="00FC0298">
              <w:t>charts</w:t>
            </w:r>
          </w:p>
          <w:p w:rsidR="00000000" w:rsidRPr="00FC0298" w:rsidP="00FC0298">
            <w:pPr>
              <w:pStyle w:val="ListBullet2"/>
            </w:pPr>
            <w:r w:rsidRPr="00FC0298">
              <w:t>equipment</w:t>
            </w:r>
          </w:p>
          <w:p w:rsidR="00000000" w:rsidRPr="00FC0298" w:rsidP="00FC0298">
            <w:pPr>
              <w:pStyle w:val="ListBullet2"/>
            </w:pPr>
            <w:r w:rsidRPr="00FC0298">
              <w:t>personnel</w:t>
            </w:r>
          </w:p>
          <w:p w:rsidR="00000000" w:rsidP="00FC0298">
            <w:pPr>
              <w:pStyle w:val="ListBullet2"/>
              <w:rPr>
                <w:lang w:val="en-NZ"/>
              </w:rPr>
            </w:pPr>
            <w:r w:rsidRPr="00FC0298">
              <w:t>records.</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Constraints</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availability of:</w:t>
            </w:r>
          </w:p>
          <w:p w:rsidR="00000000" w:rsidRPr="00FC0298" w:rsidP="00FC0298">
            <w:pPr>
              <w:pStyle w:val="ListBullet2"/>
            </w:pPr>
            <w:r w:rsidRPr="00FC0298">
              <w:t>budgets</w:t>
            </w:r>
          </w:p>
          <w:p w:rsidR="00000000" w:rsidRPr="00FC0298" w:rsidP="00FC0298">
            <w:pPr>
              <w:pStyle w:val="ListBullet2"/>
            </w:pPr>
            <w:r w:rsidRPr="00FC0298">
              <w:t>equipment</w:t>
            </w:r>
          </w:p>
          <w:p w:rsidR="00000000" w:rsidRPr="00FC0298" w:rsidP="00FC0298">
            <w:pPr>
              <w:pStyle w:val="ListBullet2"/>
            </w:pPr>
            <w:r w:rsidRPr="00FC0298">
              <w:t>out-of-hours operation</w:t>
            </w:r>
          </w:p>
          <w:p w:rsidR="00000000" w:rsidRPr="00FC0298" w:rsidP="00FC0298">
            <w:pPr>
              <w:pStyle w:val="ListBullet2"/>
            </w:pPr>
            <w:r w:rsidRPr="00FC0298">
              <w:t>raw material</w:t>
            </w:r>
          </w:p>
          <w:p w:rsidR="00000000" w:rsidP="00FC0298">
            <w:pPr>
              <w:pStyle w:val="ListBullet2"/>
              <w:rPr>
                <w:lang w:val="en-NZ"/>
              </w:rPr>
            </w:pPr>
            <w:r w:rsidRPr="00FC0298">
              <w:t>suitably skilled personnel.</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Testing</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availability of suitable quantities of product to facilitate realistic testing</w:t>
            </w:r>
          </w:p>
          <w:p w:rsidR="00000000" w:rsidRPr="00FC0298" w:rsidP="00FC0298">
            <w:pPr>
              <w:pStyle w:val="ListBullet"/>
            </w:pPr>
            <w:r w:rsidRPr="00FC0298">
              <w:t>quality parameters</w:t>
            </w:r>
          </w:p>
          <w:p w:rsidR="00000000" w:rsidP="00FC0298">
            <w:pPr>
              <w:pStyle w:val="ListBullet"/>
              <w:rPr>
                <w:lang w:val="en-NZ"/>
              </w:rPr>
            </w:pPr>
            <w:r w:rsidRPr="00FC0298">
              <w:t>test equipment and/or facilities required.</w:t>
            </w:r>
          </w:p>
        </w:tc>
      </w:tr>
      <w:tr w:rsidTr="00CF1F1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BoldandItalics"/>
              </w:rPr>
              <w:t>Opportunities to improve product</w:t>
            </w:r>
            <w:r w:rsidRPr="00FC029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ListBullet"/>
            </w:pPr>
            <w:r w:rsidRPr="00FC0298">
              <w:t>improvements to quality</w:t>
            </w:r>
          </w:p>
          <w:p w:rsidR="00000000" w:rsidRPr="00FC0298" w:rsidP="00FC0298">
            <w:pPr>
              <w:pStyle w:val="ListBullet"/>
            </w:pPr>
            <w:r w:rsidRPr="00FC0298">
              <w:t>increased output</w:t>
            </w:r>
          </w:p>
          <w:p w:rsidR="00000000" w:rsidRPr="00FC0298" w:rsidP="00FC0298">
            <w:pPr>
              <w:pStyle w:val="ListBullet"/>
            </w:pPr>
            <w:r w:rsidRPr="00FC0298">
              <w:t>opportunities to reduce costs.</w:t>
            </w:r>
          </w:p>
        </w:tc>
      </w:tr>
    </w:tbl>
    <w:p w:rsidR="00CF1F15" w:rsidP="00FC0298">
      <w:pPr>
        <w:pStyle w:val="BodyText"/>
      </w:pPr>
    </w:p>
    <w:p w:rsidR="00CF1F15" w:rsidP="00FC0298">
      <w:pPr>
        <w:pStyle w:val="BodyText"/>
      </w:pPr>
    </w:p>
    <w:p w:rsidR="00000000" w:rsidRPr="00FC0298" w:rsidP="00FC0298">
      <w:pPr>
        <w:pStyle w:val="Heading1"/>
      </w:pPr>
      <w:bookmarkStart w:id="12" w:name="O_218632"/>
      <w:bookmarkEnd w:id="12"/>
      <w:r w:rsidRPr="00FC0298">
        <w:t>Unit Sector(s)</w:t>
      </w:r>
    </w:p>
    <w:tbl>
      <w:tblPr>
        <w:tblW w:w="0" w:type="auto"/>
        <w:tblLayout w:type="fixed"/>
        <w:tblCellMar>
          <w:left w:w="62" w:type="dxa"/>
          <w:right w:w="62" w:type="dxa"/>
        </w:tblCellMar>
        <w:tblLook w:val="0000"/>
      </w:tblPr>
      <w:tblGrid>
        <w:gridCol w:w="2615"/>
        <w:gridCol w:w="5907"/>
      </w:tblGrid>
      <w:tr w:rsidTr="00CF1F1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r w:rsidRPr="00FC0298">
              <w:t>Seafood processing</w:t>
            </w:r>
          </w:p>
        </w:tc>
      </w:tr>
    </w:tbl>
    <w:p w:rsidR="00CF1F15" w:rsidP="00FC0298">
      <w:pPr>
        <w:pStyle w:val="BodyText"/>
      </w:pPr>
    </w:p>
    <w:p w:rsidR="00CF1F15" w:rsidP="00FC0298">
      <w:pPr>
        <w:pStyle w:val="BodyText"/>
      </w:pPr>
    </w:p>
    <w:p w:rsidR="00000000" w:rsidRPr="00FC0298" w:rsidP="00FC0298">
      <w:pPr>
        <w:pStyle w:val="Heading1"/>
      </w:pPr>
      <w:bookmarkStart w:id="13" w:name="O_218629"/>
      <w:bookmarkEnd w:id="13"/>
      <w:r w:rsidRPr="00FC0298">
        <w:t>Co-requisite units</w:t>
      </w:r>
    </w:p>
    <w:tbl>
      <w:tblPr>
        <w:tblW w:w="0" w:type="auto"/>
        <w:tblLayout w:type="fixed"/>
        <w:tblCellMar>
          <w:left w:w="62" w:type="dxa"/>
          <w:right w:w="62" w:type="dxa"/>
        </w:tblCellMar>
        <w:tblLook w:val="0000"/>
      </w:tblPr>
      <w:tblGrid>
        <w:gridCol w:w="2641"/>
        <w:gridCol w:w="1322"/>
        <w:gridCol w:w="4559"/>
      </w:tblGrid>
      <w:tr w:rsidTr="00CF1F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p>
        </w:tc>
      </w:tr>
      <w:tr w:rsidTr="00CF1F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p>
        </w:tc>
      </w:tr>
      <w:tr w:rsidTr="00CF1F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p>
        </w:tc>
      </w:tr>
    </w:tbl>
    <w:p w:rsidR="00CF1F15" w:rsidP="00FC0298">
      <w:pPr>
        <w:pStyle w:val="BodyText"/>
      </w:pPr>
    </w:p>
    <w:p w:rsidR="00CF1F15" w:rsidP="00FC0298">
      <w:pPr>
        <w:pStyle w:val="BodyText"/>
      </w:pPr>
    </w:p>
    <w:p w:rsidR="00000000" w:rsidRPr="00FC0298" w:rsidP="00FC0298">
      <w:pPr>
        <w:pStyle w:val="Heading1"/>
      </w:pPr>
      <w:bookmarkStart w:id="14" w:name="O_218631"/>
      <w:bookmarkEnd w:id="14"/>
      <w:r w:rsidRPr="00FC0298">
        <w:t>Competency field</w:t>
      </w:r>
    </w:p>
    <w:tbl>
      <w:tblPr>
        <w:tblW w:w="0" w:type="auto"/>
        <w:tblLayout w:type="fixed"/>
        <w:tblCellMar>
          <w:left w:w="62" w:type="dxa"/>
          <w:right w:w="62" w:type="dxa"/>
        </w:tblCellMar>
        <w:tblLook w:val="0000"/>
      </w:tblPr>
      <w:tblGrid>
        <w:gridCol w:w="2784"/>
        <w:gridCol w:w="5738"/>
      </w:tblGrid>
      <w:tr w:rsidTr="00CF1F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298">
            <w:pPr>
              <w:pStyle w:val="BodyText"/>
              <w:rPr>
                <w:lang w:val="en-NZ"/>
              </w:rPr>
            </w:pPr>
            <w:r w:rsidRPr="00FC02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298" w:rsidP="00FC0298">
            <w:pPr>
              <w:pStyle w:val="BodyText"/>
            </w:pPr>
          </w:p>
        </w:tc>
      </w:tr>
    </w:tbl>
    <w:p w:rsidR="00CF1F15" w:rsidP="00FC0298">
      <w:pPr>
        <w:pStyle w:val="BodyText"/>
      </w:pPr>
    </w:p>
    <w:p w:rsidR="00CF1F15" w:rsidP="00FC0298">
      <w:pPr>
        <w:pStyle w:val="BodyText"/>
      </w:pPr>
    </w:p>
    <w:p w:rsidR="00000000" w:rsidRPr="00FC0298" w:rsidP="00FC0298"/>
    <w:sectPr w:rsidSect="00FC0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F15" w:rsidP="00CF1F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F15" w:rsidP="00FC02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1F15" w:rsidP="00FC02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1F15" w:rsidP="00FC02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8" w:rsidRPr="00CF1F15" w:rsidP="00CF1F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F15" w:rsidRPr="002D2AF8" w:rsidP="00FC0298">
    <w:pPr>
      <w:pStyle w:val="Header"/>
      <w:framePr w:wrap="around"/>
    </w:pPr>
    <w:r>
      <w:fldChar w:fldCharType="begin"/>
    </w:r>
    <w:r>
      <w:instrText xml:space="preserve"> TITLE   \* MERGEFORMAT </w:instrText>
    </w:r>
    <w:r>
      <w:fldChar w:fldCharType="separate"/>
    </w:r>
    <w:r>
      <w:t>SFIPROC603C Develop and manage seafood and related product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F1F15" w:rsidP="00FC0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2C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A7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AC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298"/>
    <w:pPr>
      <w:spacing w:before="360" w:after="60"/>
      <w:outlineLvl w:val="0"/>
    </w:pPr>
    <w:rPr>
      <w:sz w:val="32"/>
    </w:rPr>
  </w:style>
  <w:style w:type="paragraph" w:styleId="Heading2">
    <w:name w:val="heading 2"/>
    <w:basedOn w:val="HeadingBase"/>
    <w:next w:val="BodyText"/>
    <w:link w:val="Heading2Char"/>
    <w:qFormat/>
    <w:rsid w:val="00FC0298"/>
    <w:pPr>
      <w:keepLines/>
      <w:spacing w:before="240" w:after="120"/>
      <w:outlineLvl w:val="1"/>
    </w:pPr>
    <w:rPr>
      <w:sz w:val="28"/>
      <w:szCs w:val="40"/>
    </w:rPr>
  </w:style>
  <w:style w:type="paragraph" w:styleId="Heading3">
    <w:name w:val="heading 3"/>
    <w:basedOn w:val="HeadingBase"/>
    <w:next w:val="BodyText"/>
    <w:link w:val="Heading3Char"/>
    <w:qFormat/>
    <w:rsid w:val="00FC0298"/>
    <w:pPr>
      <w:spacing w:before="180" w:after="120"/>
      <w:outlineLvl w:val="2"/>
    </w:pPr>
    <w:rPr>
      <w:spacing w:val="-10"/>
      <w:kern w:val="32"/>
    </w:rPr>
  </w:style>
  <w:style w:type="paragraph" w:styleId="Heading4">
    <w:name w:val="heading 4"/>
    <w:basedOn w:val="HeadingBase"/>
    <w:next w:val="BodyText"/>
    <w:link w:val="Heading4Char"/>
    <w:qFormat/>
    <w:rsid w:val="00FC0298"/>
    <w:pPr>
      <w:spacing w:before="160" w:after="120"/>
      <w:outlineLvl w:val="3"/>
    </w:pPr>
    <w:rPr>
      <w:sz w:val="22"/>
    </w:rPr>
  </w:style>
  <w:style w:type="paragraph" w:styleId="Heading5">
    <w:name w:val="heading 5"/>
    <w:basedOn w:val="HeadingBase"/>
    <w:next w:val="Normal"/>
    <w:link w:val="Heading5Char"/>
    <w:qFormat/>
    <w:rsid w:val="00FC0298"/>
    <w:pPr>
      <w:spacing w:before="80"/>
      <w:outlineLvl w:val="4"/>
    </w:pPr>
    <w:rPr>
      <w:color w:val="918585"/>
      <w:sz w:val="20"/>
    </w:rPr>
  </w:style>
  <w:style w:type="paragraph" w:styleId="Heading6">
    <w:name w:val="heading 6"/>
    <w:basedOn w:val="HeadingBase"/>
    <w:next w:val="Normal"/>
    <w:link w:val="Heading6Char"/>
    <w:qFormat/>
    <w:rsid w:val="00FC0298"/>
    <w:pPr>
      <w:spacing w:before="60"/>
      <w:outlineLvl w:val="5"/>
    </w:pPr>
    <w:rPr>
      <w:color w:val="918585"/>
      <w:sz w:val="20"/>
    </w:rPr>
  </w:style>
  <w:style w:type="paragraph" w:styleId="Heading7">
    <w:name w:val="heading 7"/>
    <w:basedOn w:val="Normal"/>
    <w:next w:val="Normal"/>
    <w:link w:val="Heading7Char"/>
    <w:qFormat/>
    <w:rsid w:val="00FC0298"/>
    <w:pPr>
      <w:ind w:left="720"/>
      <w:outlineLvl w:val="6"/>
    </w:pPr>
    <w:rPr>
      <w:i/>
    </w:rPr>
  </w:style>
  <w:style w:type="paragraph" w:styleId="Heading8">
    <w:name w:val="heading 8"/>
    <w:basedOn w:val="Normal"/>
    <w:next w:val="Normal"/>
    <w:link w:val="Heading8Char"/>
    <w:qFormat/>
    <w:rsid w:val="00FC0298"/>
    <w:pPr>
      <w:ind w:left="720"/>
      <w:outlineLvl w:val="7"/>
    </w:pPr>
    <w:rPr>
      <w:i/>
    </w:rPr>
  </w:style>
  <w:style w:type="paragraph" w:styleId="Heading9">
    <w:name w:val="heading 9"/>
    <w:basedOn w:val="Normal"/>
    <w:next w:val="Normal"/>
    <w:link w:val="Heading9Char"/>
    <w:qFormat/>
    <w:rsid w:val="00FC0298"/>
    <w:pPr>
      <w:ind w:left="720"/>
      <w:outlineLvl w:val="8"/>
    </w:pPr>
    <w:rPr>
      <w:i/>
    </w:rPr>
  </w:style>
  <w:style w:type="character" w:default="1" w:styleId="DefaultParagraphFont">
    <w:name w:val="Default Paragraph Font"/>
    <w:uiPriority w:val="1"/>
    <w:unhideWhenUsed/>
    <w:rsid w:val="00FC0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298"/>
  </w:style>
  <w:style w:type="character" w:customStyle="1" w:styleId="Heading1Char">
    <w:name w:val="Heading 1 Char"/>
    <w:basedOn w:val="DefaultParagraphFont"/>
    <w:link w:val="Heading1"/>
    <w:rsid w:val="00FC0298"/>
    <w:rPr>
      <w:rFonts w:ascii="Times New Roman" w:eastAsia="Times New Roman" w:hAnsi="Times New Roman" w:cs="Times New Roman"/>
      <w:b/>
      <w:sz w:val="32"/>
      <w:szCs w:val="20"/>
      <w:lang w:eastAsia="en-US"/>
    </w:rPr>
  </w:style>
  <w:style w:type="paragraph" w:styleId="BodyText">
    <w:name w:val="Body Text"/>
    <w:basedOn w:val="Normal"/>
    <w:link w:val="BodyTextChar"/>
    <w:rsid w:val="00FC02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298"/>
    <w:rPr>
      <w:rFonts w:ascii="Times New Roman" w:eastAsia="Times New Roman" w:hAnsi="Times New Roman" w:cs="Times New Roman"/>
      <w:sz w:val="24"/>
      <w:lang w:eastAsia="en-US"/>
    </w:rPr>
  </w:style>
  <w:style w:type="paragraph" w:styleId="Footer">
    <w:name w:val="footer"/>
    <w:basedOn w:val="Normal"/>
    <w:link w:val="FooterChar"/>
    <w:rsid w:val="00FC0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298"/>
    <w:rPr>
      <w:rFonts w:ascii="Times New Roman" w:eastAsia="Times New Roman" w:hAnsi="Times New Roman" w:cs="Times New Roman"/>
      <w:sz w:val="16"/>
      <w:lang w:eastAsia="en-US"/>
    </w:rPr>
  </w:style>
  <w:style w:type="paragraph" w:styleId="List">
    <w:name w:val="List"/>
    <w:basedOn w:val="BodyText"/>
    <w:next w:val="BodyText"/>
    <w:rsid w:val="00FC0298"/>
    <w:pPr>
      <w:tabs>
        <w:tab w:val="left" w:pos="340"/>
      </w:tabs>
      <w:spacing w:before="60" w:after="60"/>
      <w:ind w:left="340" w:hanging="340"/>
    </w:pPr>
  </w:style>
  <w:style w:type="paragraph" w:styleId="ListBullet">
    <w:name w:val="List Bullet"/>
    <w:basedOn w:val="List"/>
    <w:rsid w:val="00FC0298"/>
    <w:pPr>
      <w:numPr>
        <w:numId w:val="13"/>
      </w:numPr>
      <w:tabs>
        <w:tab w:val="clear" w:pos="340"/>
      </w:tabs>
      <w:spacing w:before="40" w:after="40"/>
    </w:pPr>
  </w:style>
  <w:style w:type="character" w:customStyle="1" w:styleId="SpecialBold">
    <w:name w:val="Special Bold"/>
    <w:basedOn w:val="DefaultParagraphFont"/>
    <w:rsid w:val="00FC0298"/>
    <w:rPr>
      <w:b/>
      <w:spacing w:val="0"/>
    </w:rPr>
  </w:style>
  <w:style w:type="paragraph" w:styleId="ListBullet2">
    <w:name w:val="List Bullet 2"/>
    <w:basedOn w:val="List2"/>
    <w:rsid w:val="00FC0298"/>
    <w:pPr>
      <w:numPr>
        <w:numId w:val="14"/>
      </w:numPr>
      <w:tabs>
        <w:tab w:val="clear" w:pos="680"/>
      </w:tabs>
    </w:pPr>
  </w:style>
  <w:style w:type="paragraph" w:customStyle="1" w:styleId="SuperHeading">
    <w:name w:val="SuperHeading"/>
    <w:basedOn w:val="Normal"/>
    <w:rsid w:val="00FC0298"/>
    <w:pPr>
      <w:spacing w:before="240" w:after="120"/>
      <w:outlineLvl w:val="0"/>
    </w:pPr>
    <w:rPr>
      <w:rFonts w:ascii="Times New Roman" w:hAnsi="Times New Roman"/>
      <w:b/>
      <w:sz w:val="28"/>
    </w:rPr>
  </w:style>
  <w:style w:type="paragraph" w:customStyle="1" w:styleId="AllowPageBreak">
    <w:name w:val="AllowPageBreak"/>
    <w:rsid w:val="00FC02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298"/>
    <w:pPr>
      <w:tabs>
        <w:tab w:val="left" w:pos="680"/>
      </w:tabs>
      <w:spacing w:before="60" w:after="60"/>
      <w:ind w:left="680" w:hanging="340"/>
    </w:pPr>
  </w:style>
  <w:style w:type="character" w:customStyle="1" w:styleId="BoldandItalics">
    <w:name w:val="Bold and Italics"/>
    <w:qFormat/>
    <w:rsid w:val="00FC0298"/>
    <w:rPr>
      <w:b/>
      <w:i/>
      <w:u w:val="none"/>
    </w:rPr>
  </w:style>
  <w:style w:type="character" w:customStyle="1" w:styleId="Heading2Char">
    <w:name w:val="Heading 2 Char"/>
    <w:basedOn w:val="DefaultParagraphFont"/>
    <w:link w:val="Heading2"/>
    <w:rsid w:val="00FC0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298"/>
    <w:rPr>
      <w:rFonts w:ascii="Courier New" w:eastAsia="Times New Roman" w:hAnsi="Courier New" w:cs="Times New Roman"/>
      <w:i/>
      <w:szCs w:val="20"/>
      <w:lang w:eastAsia="en-US"/>
    </w:rPr>
  </w:style>
  <w:style w:type="paragraph" w:customStyle="1" w:styleId="HeadingBase">
    <w:name w:val="Heading Base"/>
    <w:rsid w:val="00FC0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298"/>
    <w:pPr>
      <w:tabs>
        <w:tab w:val="right" w:leader="dot" w:pos="9072"/>
      </w:tabs>
      <w:ind w:left="567"/>
    </w:pPr>
    <w:rPr>
      <w:szCs w:val="22"/>
    </w:rPr>
  </w:style>
  <w:style w:type="paragraph" w:customStyle="1" w:styleId="TOCBase">
    <w:name w:val="TOC Base"/>
    <w:rsid w:val="00FC0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298"/>
    <w:pPr>
      <w:tabs>
        <w:tab w:val="right" w:leader="dot" w:pos="9072"/>
      </w:tabs>
      <w:spacing w:before="40" w:after="40"/>
      <w:ind w:left="284"/>
    </w:pPr>
    <w:rPr>
      <w:rFonts w:ascii="Times New Roman" w:hAnsi="Times New Roman"/>
    </w:rPr>
  </w:style>
  <w:style w:type="paragraph" w:styleId="TOC1">
    <w:name w:val="toc 1"/>
    <w:basedOn w:val="TOCBase"/>
    <w:next w:val="Normal"/>
    <w:rsid w:val="00FC02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298"/>
    <w:pPr>
      <w:spacing w:before="5040"/>
      <w:jc w:val="center"/>
    </w:pPr>
    <w:rPr>
      <w:sz w:val="48"/>
      <w:szCs w:val="72"/>
      <w:lang w:val="en-US"/>
    </w:rPr>
  </w:style>
  <w:style w:type="character" w:customStyle="1" w:styleId="TitleChar">
    <w:name w:val="Title Char"/>
    <w:basedOn w:val="DefaultParagraphFont"/>
    <w:link w:val="Title"/>
    <w:rsid w:val="00FC0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298"/>
    <w:pPr>
      <w:tabs>
        <w:tab w:val="left" w:pos="3600"/>
        <w:tab w:val="left" w:pos="3958"/>
      </w:tabs>
    </w:pPr>
  </w:style>
  <w:style w:type="paragraph" w:customStyle="1" w:styleId="Note">
    <w:name w:val="Note"/>
    <w:basedOn w:val="BodyText"/>
    <w:rsid w:val="00FC0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298"/>
    <w:pPr>
      <w:framePr w:wrap="auto" w:hAnchor="text" w:y="6049"/>
    </w:pPr>
    <w:rPr>
      <w:color w:val="000000"/>
      <w:sz w:val="40"/>
    </w:rPr>
  </w:style>
  <w:style w:type="paragraph" w:customStyle="1" w:styleId="TOCTitle">
    <w:name w:val="TOCTitle"/>
    <w:basedOn w:val="Heading1"/>
    <w:rsid w:val="00FC0298"/>
    <w:pPr>
      <w:spacing w:after="240"/>
      <w:jc w:val="center"/>
      <w:outlineLvl w:val="9"/>
    </w:pPr>
    <w:rPr>
      <w:caps/>
    </w:rPr>
  </w:style>
  <w:style w:type="paragraph" w:customStyle="1" w:styleId="Version">
    <w:name w:val="Version"/>
    <w:rsid w:val="00FC0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298"/>
    <w:pPr>
      <w:keepNext w:val="0"/>
      <w:tabs>
        <w:tab w:val="right" w:pos="4176"/>
      </w:tabs>
      <w:ind w:left="198" w:hanging="198"/>
    </w:pPr>
    <w:rPr>
      <w:rFonts w:ascii="Garamond" w:hAnsi="Garamond"/>
    </w:rPr>
  </w:style>
  <w:style w:type="paragraph" w:styleId="IndexHeading">
    <w:name w:val="index heading"/>
    <w:basedOn w:val="Normal"/>
    <w:next w:val="Index1"/>
    <w:semiHidden/>
    <w:rsid w:val="00FC0298"/>
    <w:pPr>
      <w:spacing w:before="120" w:after="120"/>
    </w:pPr>
    <w:rPr>
      <w:rFonts w:ascii="Arial" w:hAnsi="Arial"/>
      <w:b/>
      <w:color w:val="918585"/>
      <w:sz w:val="24"/>
    </w:rPr>
  </w:style>
  <w:style w:type="paragraph" w:styleId="Header">
    <w:name w:val="header"/>
    <w:basedOn w:val="Normal"/>
    <w:link w:val="HeaderChar"/>
    <w:rsid w:val="00FC0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298"/>
    <w:rPr>
      <w:rFonts w:ascii="Times New Roman" w:eastAsia="Times New Roman" w:hAnsi="Times New Roman" w:cs="Times New Roman"/>
      <w:sz w:val="16"/>
      <w:szCs w:val="20"/>
      <w:lang w:val="en-GB" w:eastAsia="en-US"/>
    </w:rPr>
  </w:style>
  <w:style w:type="paragraph" w:customStyle="1" w:styleId="Chapter">
    <w:name w:val="Chapter"/>
    <w:basedOn w:val="Normal"/>
    <w:rsid w:val="00FC0298"/>
    <w:pPr>
      <w:spacing w:before="240"/>
    </w:pPr>
    <w:rPr>
      <w:rFonts w:ascii="Times New Roman" w:hAnsi="Times New Roman"/>
      <w:smallCaps/>
      <w:spacing w:val="80"/>
      <w:sz w:val="28"/>
    </w:rPr>
  </w:style>
  <w:style w:type="paragraph" w:customStyle="1" w:styleId="InChapter">
    <w:name w:val="InChapter"/>
    <w:basedOn w:val="Heading3"/>
    <w:rsid w:val="00FC0298"/>
    <w:pPr>
      <w:spacing w:after="240"/>
      <w:outlineLvl w:val="9"/>
    </w:pPr>
    <w:rPr>
      <w:noProof/>
    </w:rPr>
  </w:style>
  <w:style w:type="paragraph" w:styleId="Index2">
    <w:name w:val="index 2"/>
    <w:basedOn w:val="Normal"/>
    <w:next w:val="Normal"/>
    <w:semiHidden/>
    <w:rsid w:val="00FC0298"/>
    <w:pPr>
      <w:tabs>
        <w:tab w:val="right" w:pos="4176"/>
      </w:tabs>
      <w:ind w:left="568" w:hanging="284"/>
    </w:pPr>
    <w:rPr>
      <w:rFonts w:ascii="Garamond" w:hAnsi="Garamond"/>
    </w:rPr>
  </w:style>
  <w:style w:type="paragraph" w:customStyle="1" w:styleId="Byline">
    <w:name w:val="Byline"/>
    <w:rsid w:val="00FC0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298"/>
    <w:pPr>
      <w:tabs>
        <w:tab w:val="clear" w:pos="3600"/>
        <w:tab w:val="clear" w:pos="3958"/>
      </w:tabs>
      <w:jc w:val="right"/>
    </w:pPr>
  </w:style>
  <w:style w:type="character" w:styleId="Emphasis">
    <w:name w:val="Emphasis"/>
    <w:basedOn w:val="DefaultParagraphFont"/>
    <w:qFormat/>
    <w:rsid w:val="00FC0298"/>
    <w:rPr>
      <w:i/>
    </w:rPr>
  </w:style>
  <w:style w:type="paragraph" w:styleId="Caption">
    <w:name w:val="caption"/>
    <w:basedOn w:val="BodyText"/>
    <w:next w:val="Normal"/>
    <w:qFormat/>
    <w:rsid w:val="00FC0298"/>
    <w:pPr>
      <w:framePr w:w="2268" w:hSpace="181" w:vSpace="181" w:wrap="around" w:vAnchor="text" w:hAnchor="page" w:x="1135" w:y="285" w:anchorLock="1"/>
    </w:pPr>
    <w:rPr>
      <w:i/>
    </w:rPr>
  </w:style>
  <w:style w:type="paragraph" w:customStyle="1" w:styleId="MiniTOCTitle">
    <w:name w:val="MiniTOCTitle"/>
    <w:basedOn w:val="Heading4"/>
    <w:rsid w:val="00FC0298"/>
    <w:pPr>
      <w:spacing w:before="240"/>
      <w:outlineLvl w:val="9"/>
    </w:pPr>
    <w:rPr>
      <w:noProof/>
      <w:sz w:val="24"/>
    </w:rPr>
  </w:style>
  <w:style w:type="paragraph" w:customStyle="1" w:styleId="MiniTOCItem">
    <w:name w:val="MiniTOCItem"/>
    <w:basedOn w:val="ListBullet"/>
    <w:rsid w:val="00FC0298"/>
    <w:pPr>
      <w:numPr>
        <w:numId w:val="0"/>
      </w:numPr>
      <w:tabs>
        <w:tab w:val="right" w:leader="dot" w:pos="6521"/>
      </w:tabs>
      <w:spacing w:before="0" w:after="0"/>
    </w:pPr>
  </w:style>
  <w:style w:type="paragraph" w:customStyle="1" w:styleId="TOFTitle">
    <w:name w:val="TOFTitle"/>
    <w:basedOn w:val="TOCTitle"/>
    <w:rsid w:val="00FC0298"/>
  </w:style>
  <w:style w:type="paragraph" w:styleId="TableofFigures">
    <w:name w:val="table of figures"/>
    <w:basedOn w:val="Normal"/>
    <w:next w:val="Normal"/>
    <w:semiHidden/>
    <w:rsid w:val="00FC0298"/>
    <w:pPr>
      <w:tabs>
        <w:tab w:val="right" w:leader="dot" w:pos="9072"/>
      </w:tabs>
      <w:ind w:left="970" w:hanging="403"/>
    </w:pPr>
    <w:rPr>
      <w:rFonts w:ascii="Times New Roman" w:hAnsi="Times New Roman"/>
      <w:b/>
    </w:rPr>
  </w:style>
  <w:style w:type="paragraph" w:styleId="ListNumber">
    <w:name w:val="List Number"/>
    <w:basedOn w:val="List"/>
    <w:rsid w:val="00FC0298"/>
    <w:pPr>
      <w:numPr>
        <w:numId w:val="11"/>
      </w:numPr>
    </w:pPr>
  </w:style>
  <w:style w:type="character" w:customStyle="1" w:styleId="WingdingSymbols">
    <w:name w:val="Wingding Symbols"/>
    <w:rsid w:val="00FC0298"/>
    <w:rPr>
      <w:rFonts w:ascii="Wingdings" w:hAnsi="Wingdings"/>
    </w:rPr>
  </w:style>
  <w:style w:type="paragraph" w:customStyle="1" w:styleId="TableHeading">
    <w:name w:val="Table Heading"/>
    <w:basedOn w:val="HeadingBase"/>
    <w:rsid w:val="00FC0298"/>
    <w:pPr>
      <w:keepLines/>
      <w:pBdr>
        <w:bottom w:val="single" w:sz="6" w:space="1" w:color="918585"/>
      </w:pBdr>
      <w:spacing w:before="240"/>
    </w:pPr>
  </w:style>
  <w:style w:type="character" w:customStyle="1" w:styleId="HotSpot">
    <w:name w:val="HotSpot"/>
    <w:rsid w:val="00FC0298"/>
    <w:rPr>
      <w:color w:val="0033CC"/>
      <w:u w:val="none"/>
    </w:rPr>
  </w:style>
  <w:style w:type="paragraph" w:customStyle="1" w:styleId="BodyTextRight">
    <w:name w:val="Body Text Right"/>
    <w:basedOn w:val="BodyText"/>
    <w:rsid w:val="00FC0298"/>
    <w:pPr>
      <w:spacing w:before="0" w:after="0"/>
      <w:jc w:val="right"/>
    </w:pPr>
  </w:style>
  <w:style w:type="paragraph" w:styleId="Index3">
    <w:name w:val="index 3"/>
    <w:basedOn w:val="ListNumber2"/>
    <w:next w:val="Normal"/>
    <w:semiHidden/>
    <w:rsid w:val="00FC0298"/>
    <w:pPr>
      <w:numPr>
        <w:numId w:val="0"/>
      </w:numPr>
      <w:tabs>
        <w:tab w:val="right" w:leader="dot" w:pos="4176"/>
      </w:tabs>
    </w:pPr>
  </w:style>
  <w:style w:type="paragraph" w:styleId="ListNumber2">
    <w:name w:val="List Number 2"/>
    <w:basedOn w:val="List2"/>
    <w:rsid w:val="00FC0298"/>
    <w:pPr>
      <w:numPr>
        <w:numId w:val="10"/>
      </w:numPr>
      <w:tabs>
        <w:tab w:val="clear" w:pos="1060"/>
      </w:tabs>
    </w:pPr>
  </w:style>
  <w:style w:type="paragraph" w:customStyle="1" w:styleId="MarginNote">
    <w:name w:val="Margin Note"/>
    <w:basedOn w:val="BodyText"/>
    <w:rsid w:val="00FC0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298"/>
    <w:rPr>
      <w:sz w:val="32"/>
    </w:rPr>
  </w:style>
  <w:style w:type="paragraph" w:customStyle="1" w:styleId="HeadingProcedure">
    <w:name w:val="Heading Procedure"/>
    <w:basedOn w:val="HeadingBase"/>
    <w:next w:val="Normal"/>
    <w:rsid w:val="00FC0298"/>
    <w:pPr>
      <w:tabs>
        <w:tab w:val="left" w:pos="0"/>
      </w:tabs>
      <w:spacing w:before="120" w:after="60"/>
    </w:pPr>
    <w:rPr>
      <w:i/>
      <w:color w:val="918585"/>
      <w:sz w:val="22"/>
    </w:rPr>
  </w:style>
  <w:style w:type="paragraph" w:customStyle="1" w:styleId="TableBodyText">
    <w:name w:val="Table Body Text"/>
    <w:basedOn w:val="BodyText"/>
    <w:rsid w:val="00FC0298"/>
    <w:pPr>
      <w:spacing w:before="60" w:after="60"/>
    </w:pPr>
  </w:style>
  <w:style w:type="paragraph" w:styleId="ListContinue">
    <w:name w:val="List Continue"/>
    <w:basedOn w:val="List"/>
    <w:rsid w:val="00FC0298"/>
    <w:pPr>
      <w:ind w:firstLine="0"/>
    </w:pPr>
  </w:style>
  <w:style w:type="paragraph" w:customStyle="1" w:styleId="ListNote">
    <w:name w:val="List Note"/>
    <w:basedOn w:val="List"/>
    <w:rsid w:val="00FC0298"/>
    <w:pPr>
      <w:pBdr>
        <w:top w:val="single" w:sz="6" w:space="2" w:color="918585"/>
        <w:bottom w:val="single" w:sz="6" w:space="2" w:color="918585"/>
      </w:pBdr>
      <w:tabs>
        <w:tab w:val="left" w:pos="1021"/>
      </w:tabs>
      <w:ind w:firstLine="0"/>
    </w:pPr>
  </w:style>
  <w:style w:type="paragraph" w:customStyle="1" w:styleId="Warning">
    <w:name w:val="Warning"/>
    <w:basedOn w:val="BodyText"/>
    <w:rsid w:val="00FC0298"/>
    <w:pPr>
      <w:shd w:val="clear" w:color="auto" w:fill="D9D9D9"/>
      <w:tabs>
        <w:tab w:val="left" w:pos="992"/>
      </w:tabs>
      <w:ind w:left="119" w:right="119"/>
    </w:pPr>
    <w:rPr>
      <w:sz w:val="20"/>
    </w:rPr>
  </w:style>
  <w:style w:type="paragraph" w:customStyle="1" w:styleId="MarginIcons">
    <w:name w:val="Margin Icons"/>
    <w:basedOn w:val="BodyText"/>
    <w:rsid w:val="00FC0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298"/>
    <w:rPr>
      <w:rFonts w:ascii="Courier New" w:hAnsi="Courier New"/>
    </w:rPr>
  </w:style>
  <w:style w:type="paragraph" w:customStyle="1" w:styleId="NoteBullet">
    <w:name w:val="Note Bullet"/>
    <w:basedOn w:val="Note"/>
    <w:rsid w:val="00FC0298"/>
    <w:pPr>
      <w:tabs>
        <w:tab w:val="clear" w:pos="680"/>
      </w:tabs>
      <w:spacing w:before="60" w:after="60"/>
    </w:pPr>
  </w:style>
  <w:style w:type="paragraph" w:customStyle="1" w:styleId="SubHeading2">
    <w:name w:val="SubHeading2"/>
    <w:basedOn w:val="HeadingBase"/>
    <w:rsid w:val="00FC0298"/>
    <w:pPr>
      <w:spacing w:before="240" w:after="60"/>
    </w:pPr>
    <w:rPr>
      <w:sz w:val="20"/>
    </w:rPr>
  </w:style>
  <w:style w:type="paragraph" w:customStyle="1" w:styleId="SubHeading1">
    <w:name w:val="SubHeading1"/>
    <w:basedOn w:val="HeadingBase"/>
    <w:rsid w:val="00FC0298"/>
    <w:pPr>
      <w:spacing w:before="240" w:after="60"/>
    </w:pPr>
    <w:rPr>
      <w:color w:val="918585"/>
      <w:sz w:val="22"/>
    </w:rPr>
  </w:style>
  <w:style w:type="paragraph" w:customStyle="1" w:styleId="SideHeading">
    <w:name w:val="Side Heading"/>
    <w:basedOn w:val="HeadingBase"/>
    <w:rsid w:val="00FC0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298"/>
    <w:pPr>
      <w:numPr>
        <w:numId w:val="12"/>
      </w:numPr>
    </w:pPr>
  </w:style>
  <w:style w:type="paragraph" w:styleId="PlainText">
    <w:name w:val="Plain Text"/>
    <w:basedOn w:val="Normal"/>
    <w:link w:val="PlainTextChar"/>
    <w:rsid w:val="00FC0298"/>
    <w:rPr>
      <w:sz w:val="20"/>
    </w:rPr>
  </w:style>
  <w:style w:type="character" w:customStyle="1" w:styleId="PlainTextChar">
    <w:name w:val="Plain Text Char"/>
    <w:basedOn w:val="DefaultParagraphFont"/>
    <w:link w:val="PlainText"/>
    <w:rsid w:val="00FC0298"/>
    <w:rPr>
      <w:rFonts w:ascii="Courier New" w:eastAsia="Times New Roman" w:hAnsi="Courier New" w:cs="Times New Roman"/>
      <w:sz w:val="20"/>
      <w:szCs w:val="20"/>
      <w:lang w:eastAsia="en-US"/>
    </w:rPr>
  </w:style>
  <w:style w:type="character" w:customStyle="1" w:styleId="MenuOption">
    <w:name w:val="Menu Option"/>
    <w:basedOn w:val="DefaultParagraphFont"/>
    <w:rsid w:val="00FC0298"/>
    <w:rPr>
      <w:b/>
      <w:smallCaps/>
    </w:rPr>
  </w:style>
  <w:style w:type="paragraph" w:customStyle="1" w:styleId="TableListNumber">
    <w:name w:val="Table List Number"/>
    <w:basedOn w:val="ListNumber"/>
    <w:rsid w:val="00FC0298"/>
    <w:pPr>
      <w:numPr>
        <w:numId w:val="0"/>
      </w:numPr>
    </w:pPr>
  </w:style>
  <w:style w:type="paragraph" w:styleId="TOC4">
    <w:name w:val="toc 4"/>
    <w:basedOn w:val="TOCBase"/>
    <w:next w:val="Normal"/>
    <w:semiHidden/>
    <w:rsid w:val="00FC0298"/>
    <w:pPr>
      <w:tabs>
        <w:tab w:val="right" w:leader="dot" w:pos="9071"/>
      </w:tabs>
      <w:ind w:left="1701"/>
    </w:pPr>
  </w:style>
  <w:style w:type="paragraph" w:customStyle="1" w:styleId="ListAlpha">
    <w:name w:val="List Alpha"/>
    <w:basedOn w:val="List"/>
    <w:rsid w:val="00FC0298"/>
    <w:pPr>
      <w:numPr>
        <w:numId w:val="9"/>
      </w:numPr>
    </w:pPr>
  </w:style>
  <w:style w:type="paragraph" w:customStyle="1" w:styleId="ListAlpha2">
    <w:name w:val="List Alpha 2"/>
    <w:basedOn w:val="List2"/>
    <w:rsid w:val="00FC0298"/>
    <w:pPr>
      <w:numPr>
        <w:numId w:val="8"/>
      </w:numPr>
    </w:pPr>
  </w:style>
  <w:style w:type="paragraph" w:styleId="List3">
    <w:name w:val="List 3"/>
    <w:basedOn w:val="BodyText"/>
    <w:rsid w:val="00FC0298"/>
    <w:pPr>
      <w:tabs>
        <w:tab w:val="left" w:pos="1021"/>
      </w:tabs>
      <w:spacing w:before="60" w:after="60"/>
      <w:ind w:left="1020" w:hanging="340"/>
    </w:pPr>
  </w:style>
  <w:style w:type="paragraph" w:styleId="List4">
    <w:name w:val="List 4"/>
    <w:basedOn w:val="BodyText"/>
    <w:rsid w:val="00FC0298"/>
    <w:pPr>
      <w:tabs>
        <w:tab w:val="left" w:pos="1361"/>
      </w:tabs>
      <w:spacing w:before="60" w:after="60"/>
      <w:ind w:left="1361" w:hanging="340"/>
    </w:pPr>
  </w:style>
  <w:style w:type="paragraph" w:styleId="List5">
    <w:name w:val="List 5"/>
    <w:basedOn w:val="BodyText"/>
    <w:rsid w:val="00FC0298"/>
    <w:pPr>
      <w:tabs>
        <w:tab w:val="left" w:pos="1701"/>
      </w:tabs>
      <w:spacing w:before="60" w:after="60"/>
      <w:ind w:left="1701" w:hanging="340"/>
    </w:pPr>
  </w:style>
  <w:style w:type="paragraph" w:styleId="ListBullet3">
    <w:name w:val="List Bullet 3"/>
    <w:basedOn w:val="List3"/>
    <w:rsid w:val="00FC0298"/>
    <w:pPr>
      <w:numPr>
        <w:numId w:val="15"/>
      </w:numPr>
      <w:tabs>
        <w:tab w:val="clear" w:pos="1021"/>
      </w:tabs>
      <w:ind w:left="1037" w:hanging="357"/>
    </w:pPr>
  </w:style>
  <w:style w:type="paragraph" w:styleId="ListBullet4">
    <w:name w:val="List Bullet 4"/>
    <w:basedOn w:val="List4"/>
    <w:rsid w:val="00FC0298"/>
    <w:pPr>
      <w:numPr>
        <w:numId w:val="3"/>
      </w:numPr>
    </w:pPr>
  </w:style>
  <w:style w:type="paragraph" w:styleId="ListBullet5">
    <w:name w:val="List Bullet 5"/>
    <w:basedOn w:val="List5"/>
    <w:rsid w:val="00FC0298"/>
    <w:pPr>
      <w:numPr>
        <w:numId w:val="4"/>
      </w:numPr>
    </w:pPr>
  </w:style>
  <w:style w:type="paragraph" w:styleId="ListContinue2">
    <w:name w:val="List Continue 2"/>
    <w:basedOn w:val="List2"/>
    <w:rsid w:val="00FC0298"/>
    <w:pPr>
      <w:ind w:firstLine="0"/>
    </w:pPr>
  </w:style>
  <w:style w:type="paragraph" w:styleId="ListContinue3">
    <w:name w:val="List Continue 3"/>
    <w:basedOn w:val="List3"/>
    <w:rsid w:val="00FC0298"/>
    <w:pPr>
      <w:ind w:left="1021" w:firstLine="0"/>
    </w:pPr>
  </w:style>
  <w:style w:type="paragraph" w:styleId="ListContinue4">
    <w:name w:val="List Continue 4"/>
    <w:basedOn w:val="List4"/>
    <w:rsid w:val="00FC0298"/>
    <w:pPr>
      <w:ind w:firstLine="0"/>
    </w:pPr>
  </w:style>
  <w:style w:type="paragraph" w:styleId="ListContinue5">
    <w:name w:val="List Continue 5"/>
    <w:basedOn w:val="List5"/>
    <w:rsid w:val="00FC0298"/>
    <w:pPr>
      <w:ind w:firstLine="0"/>
    </w:pPr>
  </w:style>
  <w:style w:type="paragraph" w:styleId="ListNumber3">
    <w:name w:val="List Number 3"/>
    <w:basedOn w:val="List3"/>
    <w:rsid w:val="00FC0298"/>
    <w:pPr>
      <w:numPr>
        <w:numId w:val="5"/>
      </w:numPr>
    </w:pPr>
  </w:style>
  <w:style w:type="paragraph" w:styleId="ListNumber4">
    <w:name w:val="List Number 4"/>
    <w:basedOn w:val="List4"/>
    <w:rsid w:val="00FC0298"/>
    <w:pPr>
      <w:numPr>
        <w:numId w:val="6"/>
      </w:numPr>
    </w:pPr>
  </w:style>
  <w:style w:type="paragraph" w:styleId="ListNumber5">
    <w:name w:val="List Number 5"/>
    <w:basedOn w:val="List5"/>
    <w:rsid w:val="00FC0298"/>
    <w:pPr>
      <w:numPr>
        <w:numId w:val="7"/>
      </w:numPr>
    </w:pPr>
  </w:style>
  <w:style w:type="paragraph" w:styleId="BlockText">
    <w:name w:val="Block Text"/>
    <w:basedOn w:val="Normal"/>
    <w:rsid w:val="00FC0298"/>
    <w:pPr>
      <w:spacing w:after="120"/>
      <w:ind w:left="1440" w:right="1440"/>
    </w:pPr>
  </w:style>
  <w:style w:type="character" w:customStyle="1" w:styleId="Subscript">
    <w:name w:val="Subscript"/>
    <w:basedOn w:val="DefaultParagraphFont"/>
    <w:rsid w:val="00FC0298"/>
    <w:rPr>
      <w:sz w:val="16"/>
      <w:vertAlign w:val="subscript"/>
    </w:rPr>
  </w:style>
  <w:style w:type="character" w:customStyle="1" w:styleId="Superscript">
    <w:name w:val="Superscript"/>
    <w:basedOn w:val="DefaultParagraphFont"/>
    <w:rsid w:val="00FC0298"/>
    <w:rPr>
      <w:sz w:val="16"/>
      <w:vertAlign w:val="superscript"/>
    </w:rPr>
  </w:style>
  <w:style w:type="character" w:customStyle="1" w:styleId="Symbols">
    <w:name w:val="Symbols"/>
    <w:basedOn w:val="DefaultParagraphFont"/>
    <w:rsid w:val="00FC0298"/>
    <w:rPr>
      <w:rFonts w:ascii="Symbol" w:hAnsi="Symbol"/>
    </w:rPr>
  </w:style>
  <w:style w:type="character" w:customStyle="1" w:styleId="MenuOptions">
    <w:name w:val="Menu Options"/>
    <w:basedOn w:val="DefaultParagraphFont"/>
    <w:rsid w:val="00FC0298"/>
    <w:rPr>
      <w:rFonts w:ascii="Arial Narrow" w:hAnsi="Arial Narrow"/>
      <w:smallCaps/>
    </w:rPr>
  </w:style>
  <w:style w:type="character" w:customStyle="1" w:styleId="Buttons">
    <w:name w:val="Buttons"/>
    <w:basedOn w:val="DefaultParagraphFont"/>
    <w:rsid w:val="00FC0298"/>
    <w:rPr>
      <w:b/>
    </w:rPr>
  </w:style>
  <w:style w:type="character" w:customStyle="1" w:styleId="Underlined">
    <w:name w:val="Underlined"/>
    <w:basedOn w:val="DefaultParagraphFont"/>
    <w:rsid w:val="00FC0298"/>
    <w:rPr>
      <w:u w:val="single"/>
    </w:rPr>
  </w:style>
  <w:style w:type="paragraph" w:customStyle="1" w:styleId="TableBodyTextRight">
    <w:name w:val="Table Body Text Right"/>
    <w:basedOn w:val="TableBodyText"/>
    <w:rsid w:val="00FC0298"/>
    <w:pPr>
      <w:widowControl w:val="0"/>
      <w:autoSpaceDE w:val="0"/>
      <w:autoSpaceDN w:val="0"/>
      <w:adjustRightInd w:val="0"/>
      <w:jc w:val="right"/>
    </w:pPr>
    <w:rPr>
      <w:rFonts w:cs="Arial"/>
      <w:szCs w:val="18"/>
    </w:rPr>
  </w:style>
  <w:style w:type="paragraph" w:customStyle="1" w:styleId="CopyrightText">
    <w:name w:val="Copyright Text"/>
    <w:basedOn w:val="BodyText"/>
    <w:rsid w:val="00FC0298"/>
    <w:rPr>
      <w:sz w:val="18"/>
    </w:rPr>
  </w:style>
  <w:style w:type="paragraph" w:customStyle="1" w:styleId="BodySmallRight">
    <w:name w:val="Body Small Right"/>
    <w:basedOn w:val="BodyTextRight"/>
    <w:rsid w:val="00FC0298"/>
    <w:rPr>
      <w:sz w:val="18"/>
      <w:szCs w:val="18"/>
    </w:rPr>
  </w:style>
  <w:style w:type="paragraph" w:customStyle="1" w:styleId="MarginEdition">
    <w:name w:val="Margin Edition"/>
    <w:basedOn w:val="MarginNote"/>
    <w:rsid w:val="00FC0298"/>
    <w:pPr>
      <w:spacing w:before="0" w:after="0"/>
    </w:pPr>
    <w:rPr>
      <w:rFonts w:ascii="Times New Roman" w:hAnsi="Times New Roman"/>
      <w:color w:val="999999"/>
    </w:rPr>
  </w:style>
  <w:style w:type="paragraph" w:customStyle="1" w:styleId="Spacer">
    <w:name w:val="Spacer"/>
    <w:basedOn w:val="Normal"/>
    <w:rsid w:val="00FC0298"/>
    <w:rPr>
      <w:sz w:val="2"/>
      <w:szCs w:val="2"/>
    </w:rPr>
  </w:style>
  <w:style w:type="character" w:customStyle="1" w:styleId="Small">
    <w:name w:val="Small"/>
    <w:basedOn w:val="DefaultParagraphFont"/>
    <w:rsid w:val="00FC0298"/>
    <w:rPr>
      <w:sz w:val="16"/>
    </w:rPr>
  </w:style>
  <w:style w:type="paragraph" w:customStyle="1" w:styleId="WideTable">
    <w:name w:val="Wide Table"/>
    <w:basedOn w:val="Normal"/>
    <w:rsid w:val="00FC0298"/>
    <w:pPr>
      <w:ind w:left="-1418"/>
    </w:pPr>
    <w:rPr>
      <w:sz w:val="2"/>
      <w:szCs w:val="2"/>
    </w:rPr>
  </w:style>
  <w:style w:type="character" w:styleId="PageNumber">
    <w:name w:val="page number"/>
    <w:basedOn w:val="DefaultParagraphFont"/>
    <w:rsid w:val="00FC0298"/>
  </w:style>
  <w:style w:type="paragraph" w:styleId="Quote">
    <w:name w:val="Quote"/>
    <w:basedOn w:val="Heading1"/>
    <w:link w:val="QuoteChar"/>
    <w:qFormat/>
    <w:rsid w:val="00FC0298"/>
    <w:rPr>
      <w:b w:val="0"/>
      <w:sz w:val="72"/>
      <w:szCs w:val="72"/>
      <w:lang w:val="en-NZ"/>
    </w:rPr>
  </w:style>
  <w:style w:type="character" w:customStyle="1" w:styleId="QuoteChar">
    <w:name w:val="Quote Char"/>
    <w:basedOn w:val="DefaultParagraphFont"/>
    <w:link w:val="Quote"/>
    <w:rsid w:val="00FC0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298"/>
    <w:pPr>
      <w:pageBreakBefore/>
    </w:pPr>
  </w:style>
  <w:style w:type="paragraph" w:customStyle="1" w:styleId="Border">
    <w:name w:val="Border"/>
    <w:basedOn w:val="Normal"/>
    <w:qFormat/>
    <w:rsid w:val="00FC0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298"/>
    <w:rPr>
      <w:b/>
      <w:bCs/>
      <w:i/>
      <w:iCs/>
      <w:color w:val="auto"/>
    </w:rPr>
  </w:style>
  <w:style w:type="paragraph" w:styleId="IntenseQuote">
    <w:name w:val="Intense Quote"/>
    <w:basedOn w:val="Normal"/>
    <w:next w:val="Normal"/>
    <w:link w:val="IntenseQuoteChar"/>
    <w:uiPriority w:val="30"/>
    <w:qFormat/>
    <w:rsid w:val="00FC0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298"/>
    <w:rPr>
      <w:smallCaps/>
      <w:color w:val="auto"/>
      <w:u w:val="single"/>
    </w:rPr>
  </w:style>
  <w:style w:type="character" w:styleId="IntenseReference">
    <w:name w:val="Intense Reference"/>
    <w:basedOn w:val="DefaultParagraphFont"/>
    <w:uiPriority w:val="32"/>
    <w:qFormat/>
    <w:rsid w:val="00FC0298"/>
    <w:rPr>
      <w:b/>
      <w:bCs/>
      <w:smallCaps/>
      <w:color w:val="auto"/>
      <w:spacing w:val="5"/>
      <w:u w:val="single"/>
    </w:rPr>
  </w:style>
  <w:style w:type="paragraph" w:customStyle="1" w:styleId="2ColumnHeading">
    <w:name w:val="2Column Heading"/>
    <w:basedOn w:val="BodyText"/>
    <w:qFormat/>
    <w:rsid w:val="00FC0298"/>
    <w:pPr>
      <w:spacing w:after="60"/>
      <w:ind w:left="-2268"/>
    </w:pPr>
    <w:rPr>
      <w:b/>
    </w:rPr>
  </w:style>
  <w:style w:type="paragraph" w:customStyle="1" w:styleId="Heading1TOC">
    <w:name w:val="Heading1 TOC"/>
    <w:basedOn w:val="Normal"/>
    <w:qFormat/>
    <w:rsid w:val="00FC0298"/>
    <w:pPr>
      <w:spacing w:before="240" w:after="120"/>
    </w:pPr>
    <w:rPr>
      <w:rFonts w:ascii="Times New Roman" w:hAnsi="Times New Roman"/>
      <w:b/>
      <w:sz w:val="32"/>
    </w:rPr>
  </w:style>
  <w:style w:type="paragraph" w:customStyle="1" w:styleId="Heading2TOC">
    <w:name w:val="Heading2 TOC"/>
    <w:basedOn w:val="Normal"/>
    <w:qFormat/>
    <w:rsid w:val="00FC0298"/>
    <w:pPr>
      <w:spacing w:before="240" w:after="60"/>
    </w:pPr>
    <w:rPr>
      <w:rFonts w:ascii="Times New Roman" w:hAnsi="Times New Roman"/>
      <w:b/>
      <w:sz w:val="28"/>
    </w:rPr>
  </w:style>
  <w:style w:type="character" w:customStyle="1" w:styleId="Underline">
    <w:name w:val="Underline"/>
    <w:basedOn w:val="DefaultParagraphFont"/>
    <w:qFormat/>
    <w:rsid w:val="00FC0298"/>
    <w:rPr>
      <w:u w:val="single"/>
    </w:rPr>
  </w:style>
  <w:style w:type="paragraph" w:styleId="BalloonText">
    <w:name w:val="Balloon Text"/>
    <w:basedOn w:val="Normal"/>
    <w:link w:val="BalloonTextChar"/>
    <w:rsid w:val="00FC0298"/>
    <w:rPr>
      <w:rFonts w:ascii="Tahoma" w:hAnsi="Tahoma" w:cs="Tahoma"/>
      <w:sz w:val="16"/>
      <w:szCs w:val="16"/>
    </w:rPr>
  </w:style>
  <w:style w:type="character" w:customStyle="1" w:styleId="BalloonTextChar">
    <w:name w:val="Balloon Text Char"/>
    <w:basedOn w:val="DefaultParagraphFont"/>
    <w:link w:val="BalloonText"/>
    <w:rsid w:val="00FC0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2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298"/>
    <w:rPr>
      <w:b/>
      <w:color w:val="660033"/>
      <w:spacing w:val="0"/>
    </w:rPr>
  </w:style>
  <w:style w:type="paragraph" w:customStyle="1" w:styleId="Nameditemlist">
    <w:name w:val="Named item list"/>
    <w:basedOn w:val="BodyText"/>
    <w:qFormat/>
    <w:rsid w:val="00FC02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1383</Words>
  <Characters>9353</Characters>
  <Application>Microsoft Office Word</Application>
  <DocSecurity>0</DocSecurity>
  <Lines>360</Lines>
  <Paragraphs>195</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SFIPROC603C Develop and manage seafood and related product production trials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2012-10-11T21:44:00Z</dcterms:created>
  <dcterms:modified xsi:type="dcterms:W3CDTF">2012-10-11T21:44:00Z</dcterms:modified>
</cp:coreProperties>
</file>