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988" w:rsidP="00EB0988">
      <w:pPr>
        <w:pStyle w:val="Title"/>
      </w:pPr>
      <w:bookmarkStart w:id="0" w:name="_GoBack"/>
      <w:bookmarkEnd w:id="0"/>
      <w:r>
        <w:fldChar w:fldCharType="begin"/>
      </w:r>
      <w:r>
        <w:instrText xml:space="preserve"> TITLE   \* MERGEFORMAT </w:instrText>
      </w:r>
      <w:r>
        <w:fldChar w:fldCharType="separate"/>
      </w:r>
      <w:r>
        <w:t>SFIPROC601C Establish costs and/or conditions for sale of seafood product</w:t>
      </w:r>
      <w:r>
        <w:fldChar w:fldCharType="end"/>
      </w:r>
    </w:p>
    <w:p w:rsidR="00EB0988" w:rsidP="00EB0988">
      <w:pPr>
        <w:pStyle w:val="Version"/>
        <w:sectPr w:rsidSect="00AE7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3B0" w:rsidP="00AE73B0">
      <w:pPr>
        <w:pStyle w:val="SuperHeading"/>
      </w:pPr>
      <w:r w:rsidRPr="00AE73B0">
        <w:t>SFIPROC601C Establish costs and/or conditions for sale of seafood product</w:t>
      </w:r>
    </w:p>
    <w:p w:rsidR="00000000" w:rsidRPr="00AE73B0" w:rsidP="00AE73B0">
      <w:pPr>
        <w:pStyle w:val="Heading1"/>
      </w:pPr>
      <w:bookmarkStart w:id="1" w:name="O_273303"/>
      <w:bookmarkEnd w:id="1"/>
      <w:r w:rsidRPr="00AE73B0">
        <w:t>Modification History</w:t>
      </w:r>
    </w:p>
    <w:p w:rsidR="00000000" w:rsidRPr="00AE73B0" w:rsidP="00AE73B0">
      <w:pPr>
        <w:pStyle w:val="BodyText"/>
      </w:pPr>
      <w:r w:rsidRPr="00AE73B0">
        <w:t>Not Applicable</w:t>
      </w:r>
    </w:p>
    <w:p w:rsidR="00000000" w:rsidRPr="00AE73B0" w:rsidP="00AE73B0">
      <w:pPr>
        <w:pStyle w:val="AllowPageBreak"/>
      </w:pPr>
    </w:p>
    <w:p w:rsidR="00000000" w:rsidRPr="00AE73B0" w:rsidP="00AE73B0">
      <w:pPr>
        <w:pStyle w:val="Heading1"/>
      </w:pPr>
      <w:bookmarkStart w:id="2" w:name="O_218612"/>
      <w:bookmarkEnd w:id="2"/>
      <w:r w:rsidRPr="00AE73B0">
        <w:t>Unit Descriptor</w:t>
      </w:r>
    </w:p>
    <w:tbl>
      <w:tblPr>
        <w:tblW w:w="0" w:type="auto"/>
        <w:tblLayout w:type="fixed"/>
        <w:tblCellMar>
          <w:left w:w="62" w:type="dxa"/>
          <w:right w:w="62" w:type="dxa"/>
        </w:tblCellMar>
        <w:tblLook w:val="0000"/>
      </w:tblPr>
      <w:tblGrid>
        <w:gridCol w:w="2666"/>
        <w:gridCol w:w="5856"/>
      </w:tblGrid>
      <w:tr w:rsidTr="00EB098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Unit de</w:t>
            </w:r>
            <w:r w:rsidRPr="00AE73B0">
              <w:rPr>
                <w:rStyle w:val="SpecialBold"/>
              </w:rPr>
              <w:t>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This unit of competency involves identifying and interpreting cost factors, and reviewing and determining costing methods. It also involves identifying the assessment of internal and external factors that might impact on supply decisions.</w:t>
            </w:r>
          </w:p>
          <w:p w:rsidR="00000000" w:rsidRPr="00AE73B0" w:rsidP="00AE73B0">
            <w:pPr>
              <w:pStyle w:val="BodyText"/>
            </w:pPr>
            <w:r w:rsidRPr="00AE73B0">
              <w:t>No licen</w:t>
            </w:r>
            <w:r w:rsidRPr="00AE73B0">
              <w:t>sing, legislative, regulatory or certification requirements apply to this unit at the time of publication.</w:t>
            </w:r>
          </w:p>
        </w:tc>
      </w:tr>
    </w:tbl>
    <w:p w:rsidR="00EB0988" w:rsidP="00AE73B0">
      <w:pPr>
        <w:pStyle w:val="BodyText"/>
      </w:pPr>
    </w:p>
    <w:p w:rsidR="00EB0988" w:rsidP="00AE73B0">
      <w:pPr>
        <w:pStyle w:val="BodyText"/>
      </w:pPr>
    </w:p>
    <w:p w:rsidR="00000000" w:rsidRPr="00AE73B0" w:rsidP="00AE73B0">
      <w:pPr>
        <w:pStyle w:val="Heading1"/>
      </w:pPr>
      <w:bookmarkStart w:id="3" w:name="O_218616"/>
      <w:bookmarkEnd w:id="3"/>
      <w:r w:rsidRPr="00AE73B0">
        <w:t>Application of the Unit</w:t>
      </w:r>
    </w:p>
    <w:tbl>
      <w:tblPr>
        <w:tblW w:w="0" w:type="auto"/>
        <w:tblLayout w:type="fixed"/>
        <w:tblCellMar>
          <w:left w:w="62" w:type="dxa"/>
          <w:right w:w="62" w:type="dxa"/>
        </w:tblCellMar>
        <w:tblLook w:val="0000"/>
      </w:tblPr>
      <w:tblGrid>
        <w:gridCol w:w="2745"/>
        <w:gridCol w:w="5777"/>
      </w:tblGrid>
      <w:tr w:rsidTr="00EB098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 xml:space="preserve">All enterprise or workplace procedures and activities are carried out according to </w:t>
            </w:r>
            <w:r w:rsidRPr="00AE73B0">
              <w:rPr>
                <w:rStyle w:val="BoldandItalics"/>
              </w:rPr>
              <w:t>relevant government regulations</w:t>
            </w:r>
            <w:r w:rsidRPr="00AE73B0">
              <w:t xml:space="preserve">, </w:t>
            </w:r>
            <w:r w:rsidRPr="00AE73B0">
              <w:rPr>
                <w:rStyle w:val="BoldandItalics"/>
              </w:rPr>
              <w:t>licensing and other compliance requirements</w:t>
            </w:r>
            <w:r w:rsidRPr="00AE73B0">
              <w:t xml:space="preserve">, including </w:t>
            </w:r>
            <w:r w:rsidRPr="00AE73B0">
              <w:rPr>
                <w:rStyle w:val="BoldandItalics"/>
              </w:rPr>
              <w:t>food safety and hygiene regulations and procedures</w:t>
            </w:r>
            <w:r w:rsidRPr="00AE73B0">
              <w:t xml:space="preserve">. </w:t>
            </w:r>
          </w:p>
        </w:tc>
      </w:tr>
    </w:tbl>
    <w:p w:rsidR="00EB0988" w:rsidP="00AE73B0">
      <w:pPr>
        <w:pStyle w:val="BodyText"/>
      </w:pPr>
    </w:p>
    <w:p w:rsidR="00EB0988" w:rsidP="00AE73B0">
      <w:pPr>
        <w:pStyle w:val="BodyText"/>
      </w:pPr>
    </w:p>
    <w:p w:rsidR="00000000" w:rsidRPr="00AE73B0" w:rsidP="00AE73B0">
      <w:pPr>
        <w:pStyle w:val="Heading1"/>
      </w:pPr>
      <w:bookmarkStart w:id="4" w:name="O_281563"/>
      <w:bookmarkEnd w:id="4"/>
      <w:r w:rsidRPr="00AE73B0">
        <w:t>Licensing/Re</w:t>
      </w:r>
      <w:r w:rsidRPr="00AE73B0">
        <w:t>gulatory Information</w:t>
      </w:r>
    </w:p>
    <w:p w:rsidR="00000000" w:rsidRPr="00AE73B0" w:rsidP="00AE73B0">
      <w:pPr>
        <w:pStyle w:val="BodyText"/>
      </w:pPr>
      <w:r w:rsidRPr="00AE73B0">
        <w:t>Refer to Unit Descriptor</w:t>
      </w:r>
    </w:p>
    <w:p w:rsidR="00000000" w:rsidRPr="00AE73B0" w:rsidP="00AE73B0">
      <w:pPr>
        <w:pStyle w:val="AllowPageBreak"/>
      </w:pPr>
    </w:p>
    <w:p w:rsidR="00000000" w:rsidRPr="00AE73B0" w:rsidP="00AE73B0">
      <w:pPr>
        <w:pStyle w:val="Heading1"/>
      </w:pPr>
      <w:bookmarkStart w:id="5" w:name="O_218614"/>
      <w:bookmarkEnd w:id="5"/>
      <w:r w:rsidRPr="00AE73B0">
        <w:t>Pre-Requisites</w:t>
      </w:r>
    </w:p>
    <w:tbl>
      <w:tblPr>
        <w:tblW w:w="0" w:type="auto"/>
        <w:tblLayout w:type="fixed"/>
        <w:tblCellMar>
          <w:left w:w="62" w:type="dxa"/>
          <w:right w:w="62" w:type="dxa"/>
        </w:tblCellMar>
        <w:tblLook w:val="0000"/>
      </w:tblPr>
      <w:tblGrid>
        <w:gridCol w:w="2775"/>
        <w:gridCol w:w="1295"/>
        <w:gridCol w:w="4452"/>
      </w:tblGrid>
      <w:tr w:rsidTr="00EB09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p>
        </w:tc>
      </w:tr>
      <w:tr w:rsidTr="00EB0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p>
        </w:tc>
      </w:tr>
      <w:tr w:rsidTr="00EB0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p>
        </w:tc>
      </w:tr>
    </w:tbl>
    <w:p w:rsidR="00EB0988" w:rsidP="00AE73B0">
      <w:pPr>
        <w:pStyle w:val="BodyText"/>
      </w:pPr>
    </w:p>
    <w:p w:rsidR="00EB0988" w:rsidP="00AE73B0">
      <w:pPr>
        <w:pStyle w:val="BodyText"/>
      </w:pPr>
    </w:p>
    <w:p w:rsidR="00000000" w:rsidRPr="00AE73B0" w:rsidP="00AE73B0">
      <w:pPr>
        <w:pStyle w:val="Heading1"/>
      </w:pPr>
      <w:bookmarkStart w:id="6" w:name="O_218613"/>
      <w:bookmarkEnd w:id="6"/>
      <w:r w:rsidRPr="00AE73B0">
        <w:t>Employability Skills Information</w:t>
      </w:r>
    </w:p>
    <w:tbl>
      <w:tblPr>
        <w:tblW w:w="0" w:type="auto"/>
        <w:tblLayout w:type="fixed"/>
        <w:tblCellMar>
          <w:left w:w="62" w:type="dxa"/>
          <w:right w:w="62" w:type="dxa"/>
        </w:tblCellMar>
        <w:tblLook w:val="0000"/>
      </w:tblPr>
      <w:tblGrid>
        <w:gridCol w:w="2802"/>
        <w:gridCol w:w="5720"/>
      </w:tblGrid>
      <w:tr w:rsidTr="00EB09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 xml:space="preserve">This unit contains employability skills.  </w:t>
            </w:r>
          </w:p>
        </w:tc>
      </w:tr>
    </w:tbl>
    <w:p w:rsidR="00EB0988" w:rsidP="00AE73B0">
      <w:pPr>
        <w:pStyle w:val="BodyText"/>
      </w:pPr>
    </w:p>
    <w:p w:rsidR="00EB0988" w:rsidP="00AE73B0">
      <w:pPr>
        <w:pStyle w:val="BodyText"/>
      </w:pPr>
    </w:p>
    <w:p w:rsidR="00000000" w:rsidRPr="00AE73B0" w:rsidP="00AE73B0">
      <w:pPr>
        <w:pStyle w:val="Heading1"/>
      </w:pPr>
      <w:bookmarkStart w:id="7" w:name="O_291349"/>
      <w:bookmarkEnd w:id="7"/>
      <w:r w:rsidRPr="00AE73B0">
        <w:t>Elements and Performance Criteria Pre-Content</w:t>
      </w:r>
    </w:p>
    <w:tbl>
      <w:tblPr>
        <w:tblW w:w="0" w:type="auto"/>
        <w:tblLayout w:type="fixed"/>
        <w:tblCellMar>
          <w:left w:w="62" w:type="dxa"/>
          <w:right w:w="62" w:type="dxa"/>
        </w:tblCellMar>
        <w:tblLook w:val="0000"/>
      </w:tblPr>
      <w:tblGrid>
        <w:gridCol w:w="2571"/>
        <w:gridCol w:w="5951"/>
      </w:tblGrid>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Performance criteria describe the performance needed to demonstrate achievement of the element. Where bold italicised text is used, further info</w:t>
            </w:r>
            <w:r w:rsidRPr="00AE73B0">
              <w:t>rmation is detailed in the required skills and knowledge section and the range statement. Assessment of performance is to be consistent with the evidence guide.</w:t>
            </w:r>
          </w:p>
        </w:tc>
      </w:tr>
    </w:tbl>
    <w:p w:rsidR="00000000" w:rsidRPr="00AE73B0" w:rsidP="00AE73B0">
      <w:pPr>
        <w:pStyle w:val="BodyText"/>
      </w:pPr>
    </w:p>
    <w:p w:rsidR="00000000" w:rsidRPr="00AE73B0" w:rsidP="00AE73B0">
      <w:pPr>
        <w:pStyle w:val="AllowPageBreak"/>
      </w:pPr>
    </w:p>
    <w:p w:rsidR="00000000" w:rsidRPr="00AE73B0" w:rsidP="00AE73B0">
      <w:pPr>
        <w:pStyle w:val="Heading1"/>
      </w:pPr>
      <w:bookmarkStart w:id="8" w:name="O_238017"/>
      <w:bookmarkEnd w:id="8"/>
      <w:r w:rsidRPr="00AE73B0">
        <w:t>Elements and Performance Criteria</w:t>
      </w:r>
    </w:p>
    <w:tbl>
      <w:tblPr>
        <w:tblW w:w="0" w:type="auto"/>
        <w:tblLayout w:type="fixed"/>
        <w:tblCellMar>
          <w:left w:w="62" w:type="dxa"/>
          <w:right w:w="62" w:type="dxa"/>
        </w:tblCellMar>
        <w:tblLook w:val="0000"/>
      </w:tblPr>
      <w:tblGrid>
        <w:gridCol w:w="2571"/>
        <w:gridCol w:w="5951"/>
      </w:tblGrid>
      <w:tr w:rsidTr="00EB098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PERFORMANCE CRITERIA</w:t>
            </w:r>
          </w:p>
        </w:tc>
      </w:tr>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List"/>
              <w:rPr>
                <w:lang w:val="en-NZ"/>
              </w:rPr>
            </w:pPr>
            <w:r w:rsidRPr="00AE73B0">
              <w:t>1.</w:t>
            </w:r>
            <w:r w:rsidRPr="00AE73B0">
              <w:tab/>
              <w:t xml:space="preserve">Identify </w:t>
            </w:r>
            <w:r w:rsidRPr="00AE73B0">
              <w:rPr>
                <w:rStyle w:val="BoldandItalics"/>
              </w:rPr>
              <w:t>cost factors</w:t>
            </w:r>
            <w:r w:rsidRPr="00AE73B0">
              <w:t xml:space="preserve"> impacting on supply of seafood product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2"/>
            </w:pPr>
            <w:r w:rsidRPr="00AE73B0">
              <w:t>1.1.</w:t>
            </w:r>
            <w:r w:rsidRPr="00AE73B0">
              <w:tab/>
              <w:t>Cost factors related to the enterprise are determined.</w:t>
            </w:r>
          </w:p>
          <w:p w:rsidR="00000000" w:rsidP="00AE73B0">
            <w:pPr>
              <w:pStyle w:val="List2"/>
              <w:rPr>
                <w:lang w:val="en-NZ"/>
              </w:rPr>
            </w:pPr>
            <w:r w:rsidRPr="00AE73B0">
              <w:t>1.2.</w:t>
            </w:r>
            <w:r w:rsidRPr="00AE73B0">
              <w:tab/>
              <w:t>An historical perspective is applied to ensure accuracy and reliability of the information generated.</w:t>
            </w:r>
          </w:p>
        </w:tc>
      </w:tr>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List"/>
              <w:rPr>
                <w:lang w:val="en-NZ"/>
              </w:rPr>
            </w:pPr>
            <w:r w:rsidRPr="00AE73B0">
              <w:t>2.</w:t>
            </w:r>
            <w:r w:rsidRPr="00AE73B0">
              <w:tab/>
              <w:t xml:space="preserve">Review enterprise </w:t>
            </w:r>
            <w:r w:rsidRPr="00AE73B0">
              <w:rPr>
                <w:rStyle w:val="BoldandItalics"/>
              </w:rPr>
              <w:t>costing methods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2"/>
            </w:pPr>
            <w:r w:rsidRPr="00AE73B0">
              <w:t>2.1.</w:t>
            </w:r>
            <w:r w:rsidRPr="00AE73B0">
              <w:tab/>
            </w:r>
            <w:r w:rsidRPr="00AE73B0">
              <w:rPr>
                <w:rStyle w:val="BoldandItalics"/>
              </w:rPr>
              <w:t>Costing options</w:t>
            </w:r>
            <w:r w:rsidRPr="00AE73B0">
              <w:t xml:space="preserve"> for raw materials are reviewed. </w:t>
            </w:r>
          </w:p>
          <w:p w:rsidR="00000000" w:rsidRPr="00AE73B0" w:rsidP="00AE73B0">
            <w:pPr>
              <w:pStyle w:val="List2"/>
            </w:pPr>
            <w:r w:rsidRPr="00AE73B0">
              <w:t>2.2.</w:t>
            </w:r>
            <w:r w:rsidRPr="00AE73B0">
              <w:tab/>
              <w:t>Costing options for direct and indirect labour are reviewed.</w:t>
            </w:r>
          </w:p>
          <w:p w:rsidR="00000000" w:rsidRPr="00AE73B0" w:rsidP="00AE73B0">
            <w:pPr>
              <w:pStyle w:val="List2"/>
            </w:pPr>
            <w:r w:rsidRPr="00AE73B0">
              <w:t>2.3.</w:t>
            </w:r>
            <w:r w:rsidRPr="00AE73B0">
              <w:tab/>
              <w:t>Costing options for overheads are reviewed.</w:t>
            </w:r>
          </w:p>
          <w:p w:rsidR="00000000" w:rsidRPr="00AE73B0" w:rsidP="00AE73B0">
            <w:pPr>
              <w:pStyle w:val="List2"/>
            </w:pPr>
            <w:r w:rsidRPr="00AE73B0">
              <w:t>2.4.</w:t>
            </w:r>
            <w:r w:rsidRPr="00AE73B0">
              <w:tab/>
              <w:t>Processing cost options developed are relevant to the nature and extent of operat</w:t>
            </w:r>
            <w:r w:rsidRPr="00AE73B0">
              <w:t>ions.</w:t>
            </w:r>
          </w:p>
          <w:p w:rsidR="00000000" w:rsidRPr="00AE73B0" w:rsidP="00AE73B0">
            <w:pPr>
              <w:pStyle w:val="List2"/>
            </w:pPr>
            <w:r w:rsidRPr="00AE73B0">
              <w:t>2.5.</w:t>
            </w:r>
            <w:r w:rsidRPr="00AE73B0">
              <w:tab/>
              <w:t>Options for controlling cost elements are reviewed.</w:t>
            </w:r>
          </w:p>
          <w:p w:rsidR="00000000" w:rsidRPr="00AE73B0" w:rsidP="00AE73B0">
            <w:pPr>
              <w:pStyle w:val="List2"/>
            </w:pPr>
            <w:r w:rsidRPr="00AE73B0">
              <w:t>2.6.</w:t>
            </w:r>
            <w:r w:rsidRPr="00AE73B0">
              <w:tab/>
              <w:t>Volume, price, profit and projections are assessed against costing options.</w:t>
            </w:r>
          </w:p>
          <w:p w:rsidR="00000000" w:rsidP="00AE73B0">
            <w:pPr>
              <w:pStyle w:val="List2"/>
              <w:rPr>
                <w:lang w:val="en-NZ"/>
              </w:rPr>
            </w:pPr>
            <w:r w:rsidRPr="00AE73B0">
              <w:t>2.7.</w:t>
            </w:r>
            <w:r w:rsidRPr="00AE73B0">
              <w:tab/>
              <w:t>Quality assurance factors are reviewed in terms of impact on costing decisions.</w:t>
            </w:r>
          </w:p>
        </w:tc>
      </w:tr>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List"/>
              <w:rPr>
                <w:lang w:val="en-NZ"/>
              </w:rPr>
            </w:pPr>
            <w:r w:rsidRPr="00AE73B0">
              <w:t>3.</w:t>
            </w:r>
            <w:r w:rsidRPr="00AE73B0">
              <w:tab/>
            </w:r>
            <w:r w:rsidRPr="00AE73B0">
              <w:t>Identify and assess internal and external factors impacting on pricing decisions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2"/>
            </w:pPr>
            <w:r w:rsidRPr="00AE73B0">
              <w:t>3.1.</w:t>
            </w:r>
            <w:r w:rsidRPr="00AE73B0">
              <w:tab/>
              <w:t>Profit goals and return on investment objectives established in overall business plans are assessed.</w:t>
            </w:r>
          </w:p>
          <w:p w:rsidR="00000000" w:rsidRPr="00AE73B0" w:rsidP="00AE73B0">
            <w:pPr>
              <w:pStyle w:val="List2"/>
            </w:pPr>
            <w:r w:rsidRPr="00AE73B0">
              <w:t>3.2.</w:t>
            </w:r>
            <w:r w:rsidRPr="00AE73B0">
              <w:tab/>
              <w:t>Cost, volume, price, profit relationships and projections are as</w:t>
            </w:r>
            <w:r w:rsidRPr="00AE73B0">
              <w:t>sessed in relation to pricing decisions.</w:t>
            </w:r>
          </w:p>
          <w:p w:rsidR="00000000" w:rsidRPr="00AE73B0" w:rsidP="00AE73B0">
            <w:pPr>
              <w:pStyle w:val="List2"/>
            </w:pPr>
            <w:r w:rsidRPr="00AE73B0">
              <w:t>3.3.</w:t>
            </w:r>
            <w:r w:rsidRPr="00AE73B0">
              <w:tab/>
              <w:t>Competitors' prices are assessed in terms of the implications for pricing decisions.</w:t>
            </w:r>
          </w:p>
          <w:p w:rsidR="00000000" w:rsidRPr="00AE73B0" w:rsidP="00AE73B0">
            <w:pPr>
              <w:pStyle w:val="List2"/>
            </w:pPr>
            <w:r w:rsidRPr="00AE73B0">
              <w:t>3.4.</w:t>
            </w:r>
            <w:r w:rsidRPr="00AE73B0">
              <w:tab/>
              <w:t>Pricing strategy options are assessed in relation to competition for similar products and/or services, market penetratio</w:t>
            </w:r>
            <w:r w:rsidRPr="00AE73B0">
              <w:t>n and comparable product pricing.</w:t>
            </w:r>
          </w:p>
          <w:p w:rsidR="00000000" w:rsidRPr="00AE73B0" w:rsidP="00AE73B0">
            <w:pPr>
              <w:pStyle w:val="List2"/>
            </w:pPr>
            <w:r w:rsidRPr="00AE73B0">
              <w:t>3.5.</w:t>
            </w:r>
            <w:r w:rsidRPr="00AE73B0">
              <w:tab/>
              <w:t>Customer demand is analysed in relation to pricing decisions, and quality and value expectations.</w:t>
            </w:r>
          </w:p>
          <w:p w:rsidR="00000000" w:rsidRPr="00AE73B0" w:rsidP="00AE73B0">
            <w:pPr>
              <w:pStyle w:val="List2"/>
            </w:pPr>
            <w:r w:rsidRPr="00AE73B0">
              <w:t>3.6.</w:t>
            </w:r>
            <w:r w:rsidRPr="00AE73B0">
              <w:tab/>
              <w:t xml:space="preserve">Quality assurance factors are reviewed </w:t>
            </w:r>
          </w:p>
          <w:p w:rsidR="00000000" w:rsidRPr="00AE73B0" w:rsidP="00AE73B0">
            <w:pPr>
              <w:pStyle w:val="List2"/>
            </w:pPr>
            <w:r w:rsidRPr="00AE73B0">
              <w:t>3.7.</w:t>
            </w:r>
            <w:r w:rsidRPr="00AE73B0">
              <w:tab/>
              <w:t>Product and/or service design, distribution and promotion factors are</w:t>
            </w:r>
            <w:r w:rsidRPr="00AE73B0">
              <w:t xml:space="preserve"> examined and assessed.</w:t>
            </w:r>
          </w:p>
          <w:p w:rsidR="00000000" w:rsidP="00AE73B0">
            <w:pPr>
              <w:pStyle w:val="List2"/>
              <w:rPr>
                <w:lang w:val="en-NZ"/>
              </w:rPr>
            </w:pPr>
            <w:r w:rsidRPr="00AE73B0">
              <w:t>3.8.</w:t>
            </w:r>
            <w:r w:rsidRPr="00AE73B0">
              <w:tab/>
              <w:t>Regulatory and compliance factors are assessed.</w:t>
            </w:r>
          </w:p>
        </w:tc>
      </w:tr>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List"/>
              <w:rPr>
                <w:lang w:val="en-NZ"/>
              </w:rPr>
            </w:pPr>
            <w:r w:rsidRPr="00AE73B0">
              <w:t>4.</w:t>
            </w:r>
            <w:r w:rsidRPr="00AE73B0">
              <w:tab/>
              <w:t>Determine conditions for the provision of the product and/or service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2"/>
            </w:pPr>
            <w:r w:rsidRPr="00AE73B0">
              <w:t>4.1.</w:t>
            </w:r>
            <w:r w:rsidRPr="00AE73B0">
              <w:tab/>
            </w:r>
            <w:r w:rsidRPr="00AE73B0">
              <w:rPr>
                <w:rStyle w:val="BoldandItalics"/>
              </w:rPr>
              <w:t>Terms of sale and payment conditions</w:t>
            </w:r>
            <w:r w:rsidRPr="00AE73B0">
              <w:t xml:space="preserve"> that may impact upon the price of products and/or services are d</w:t>
            </w:r>
            <w:r w:rsidRPr="00AE73B0">
              <w:t xml:space="preserve">etermined within relevant consumer legislation. </w:t>
            </w:r>
          </w:p>
          <w:p w:rsidR="00000000" w:rsidRPr="00AE73B0" w:rsidP="00AE73B0">
            <w:pPr>
              <w:pStyle w:val="List2"/>
            </w:pPr>
            <w:r w:rsidRPr="00AE73B0">
              <w:t>4.2.</w:t>
            </w:r>
            <w:r w:rsidRPr="00AE73B0">
              <w:tab/>
              <w:t>Conditions relating to provision of the whole or part of the products and/or services are developed and clearly identify the nature and extent of products and/or services provided.</w:t>
            </w:r>
          </w:p>
          <w:p w:rsidR="00000000" w:rsidP="00AE73B0">
            <w:pPr>
              <w:pStyle w:val="List2"/>
              <w:rPr>
                <w:lang w:val="en-NZ"/>
              </w:rPr>
            </w:pPr>
            <w:r w:rsidRPr="00AE73B0">
              <w:t>4.3.</w:t>
            </w:r>
            <w:r w:rsidRPr="00AE73B0">
              <w:tab/>
              <w:t>Agreed variation</w:t>
            </w:r>
            <w:r w:rsidRPr="00AE73B0">
              <w:t xml:space="preserve"> to the terms of product and/or service provision are determined and formally communicated in a form and manner that ensures that there is no misunderstanding of the nature, extent and price of the products and/or services provided.</w:t>
            </w:r>
          </w:p>
        </w:tc>
      </w:tr>
      <w:tr w:rsidTr="00EB09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List"/>
              <w:rPr>
                <w:lang w:val="en-NZ"/>
              </w:rPr>
            </w:pPr>
            <w:r w:rsidRPr="00AE73B0">
              <w:t>5.</w:t>
            </w:r>
            <w:r w:rsidRPr="00AE73B0">
              <w:tab/>
              <w:t>Formulate prices fo</w:t>
            </w:r>
            <w:r w:rsidRPr="00AE73B0">
              <w:t>r the provision of product and/or service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2"/>
            </w:pPr>
            <w:r w:rsidRPr="00AE73B0">
              <w:t>5.1.</w:t>
            </w:r>
            <w:r w:rsidRPr="00AE73B0">
              <w:tab/>
              <w:t>Options developed for communicating retail product and/or service price are relevant for the product and/or service.</w:t>
            </w:r>
          </w:p>
          <w:p w:rsidR="00000000" w:rsidRPr="00AE73B0" w:rsidP="00AE73B0">
            <w:pPr>
              <w:pStyle w:val="List2"/>
            </w:pPr>
            <w:r w:rsidRPr="00AE73B0">
              <w:t>5.2.</w:t>
            </w:r>
            <w:r w:rsidRPr="00AE73B0">
              <w:tab/>
              <w:t>Options developed for communication of business to business prod</w:t>
            </w:r>
            <w:r w:rsidRPr="00AE73B0">
              <w:t>uct and/or service price information are relevant.</w:t>
            </w:r>
          </w:p>
          <w:p w:rsidR="00000000" w:rsidRPr="00AE73B0" w:rsidP="00AE73B0">
            <w:pPr>
              <w:pStyle w:val="List2"/>
            </w:pPr>
            <w:r w:rsidRPr="00AE73B0">
              <w:t>5.3.</w:t>
            </w:r>
            <w:r w:rsidRPr="00AE73B0">
              <w:tab/>
              <w:t>The form for communicating estimates for product and/or service pricing information to customers or clients are consistent with the formality and legal nature of the business transaction.</w:t>
            </w:r>
          </w:p>
          <w:p w:rsidR="00000000" w:rsidRPr="00AE73B0" w:rsidP="00AE73B0">
            <w:pPr>
              <w:pStyle w:val="List2"/>
            </w:pPr>
            <w:r w:rsidRPr="00AE73B0">
              <w:t>5.4.</w:t>
            </w:r>
            <w:r w:rsidRPr="00AE73B0">
              <w:tab/>
              <w:t>Estimat</w:t>
            </w:r>
            <w:r w:rsidRPr="00AE73B0">
              <w:t>es clearly communicate the conditions and prices for the provision of products and/or services.</w:t>
            </w:r>
          </w:p>
          <w:p w:rsidR="00000000" w:rsidRPr="00AE73B0" w:rsidP="00AE73B0">
            <w:pPr>
              <w:pStyle w:val="List2"/>
            </w:pPr>
            <w:r w:rsidRPr="00AE73B0">
              <w:t>5.5.</w:t>
            </w:r>
            <w:r w:rsidRPr="00AE73B0">
              <w:tab/>
              <w:t>Methods are developed and implemented to record pricing information, estimates and quotations communicated to clients, and client acceptances of pricing, e</w:t>
            </w:r>
            <w:r w:rsidRPr="00AE73B0">
              <w:t>stimate, and quotation terms.</w:t>
            </w:r>
          </w:p>
        </w:tc>
      </w:tr>
    </w:tbl>
    <w:p w:rsidR="00EB0988" w:rsidP="00AE73B0">
      <w:pPr>
        <w:pStyle w:val="BodyText"/>
      </w:pPr>
    </w:p>
    <w:p w:rsidR="00EB0988" w:rsidP="00AE73B0">
      <w:pPr>
        <w:pStyle w:val="BodyText"/>
      </w:pPr>
    </w:p>
    <w:p w:rsidR="00000000" w:rsidRPr="00AE73B0" w:rsidP="00AE73B0">
      <w:pPr>
        <w:pStyle w:val="Heading1"/>
      </w:pPr>
      <w:bookmarkStart w:id="9" w:name="O_261808"/>
      <w:bookmarkEnd w:id="9"/>
      <w:r w:rsidRPr="00AE73B0">
        <w:t>Required Skills and Knowledge</w:t>
      </w:r>
    </w:p>
    <w:tbl>
      <w:tblPr>
        <w:tblW w:w="0" w:type="auto"/>
        <w:tblLayout w:type="fixed"/>
        <w:tblCellMar>
          <w:left w:w="62" w:type="dxa"/>
          <w:right w:w="62" w:type="dxa"/>
        </w:tblCellMar>
        <w:tblLook w:val="0000"/>
      </w:tblPr>
      <w:tblGrid>
        <w:gridCol w:w="8522"/>
      </w:tblGrid>
      <w:tr w:rsidTr="00EB09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REQUIRED SKILLS AND KNOWLEDGE</w:t>
            </w:r>
          </w:p>
        </w:tc>
      </w:tr>
      <w:tr w:rsidTr="00EB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t>This section describes the skills and knowledge required for this unit.</w:t>
            </w:r>
          </w:p>
        </w:tc>
      </w:tr>
      <w:tr w:rsidTr="00EB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Required skills</w:t>
            </w:r>
          </w:p>
        </w:tc>
      </w:tr>
      <w:tr w:rsidTr="00EB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assessing seafood quality against customer specifications</w:t>
            </w:r>
          </w:p>
          <w:p w:rsidR="00000000" w:rsidRPr="00AE73B0" w:rsidP="00AE73B0">
            <w:pPr>
              <w:pStyle w:val="ListBullet"/>
            </w:pPr>
            <w:r w:rsidRPr="00AE73B0">
              <w:t>applying product knowledge</w:t>
            </w:r>
          </w:p>
          <w:p w:rsidR="00000000" w:rsidRPr="00AE73B0" w:rsidP="00AE73B0">
            <w:pPr>
              <w:pStyle w:val="ListBullet"/>
            </w:pPr>
            <w:r w:rsidRPr="00AE73B0">
              <w:t>calculating product costings</w:t>
            </w:r>
          </w:p>
          <w:p w:rsidR="00000000" w:rsidRPr="00AE73B0" w:rsidP="00AE73B0">
            <w:pPr>
              <w:pStyle w:val="ListBullet"/>
            </w:pPr>
            <w:r w:rsidRPr="00AE73B0">
              <w:t>communicating procedures, standards and regulations in the workplace</w:t>
            </w:r>
          </w:p>
          <w:p w:rsidR="00000000" w:rsidRPr="00AE73B0" w:rsidP="00AE73B0">
            <w:pPr>
              <w:pStyle w:val="ListBullet"/>
            </w:pPr>
            <w:r w:rsidRPr="00AE73B0">
              <w:t>communicating with stakeholders, including customers, colleagues and/or regulators</w:t>
            </w:r>
          </w:p>
          <w:p w:rsidR="00000000" w:rsidRPr="00AE73B0" w:rsidP="00AE73B0">
            <w:pPr>
              <w:pStyle w:val="ListBullet"/>
            </w:pPr>
            <w:r w:rsidRPr="00AE73B0">
              <w:t>gathering market intelligence</w:t>
            </w:r>
          </w:p>
          <w:p w:rsidR="00000000" w:rsidRPr="00AE73B0" w:rsidP="00AE73B0">
            <w:pPr>
              <w:pStyle w:val="ListBullet"/>
            </w:pPr>
            <w:r w:rsidRPr="00AE73B0">
              <w:t>giving attention to detail</w:t>
            </w:r>
          </w:p>
          <w:p w:rsidR="00000000" w:rsidRPr="00AE73B0" w:rsidP="00AE73B0">
            <w:pPr>
              <w:pStyle w:val="ListBullet"/>
            </w:pPr>
            <w:r w:rsidRPr="00AE73B0">
              <w:t>identifying and describing seafood species by quality characteristics, yield and food safety parameters</w:t>
            </w:r>
          </w:p>
          <w:p w:rsidR="00000000" w:rsidRPr="00AE73B0" w:rsidP="00AE73B0">
            <w:pPr>
              <w:pStyle w:val="ListBullet"/>
            </w:pPr>
            <w:r w:rsidRPr="00AE73B0">
              <w:t xml:space="preserve">maintaining </w:t>
            </w:r>
            <w:r w:rsidRPr="00AE73B0">
              <w:t>business relationships</w:t>
            </w:r>
          </w:p>
          <w:p w:rsidR="00000000" w:rsidRPr="00AE73B0" w:rsidP="00AE73B0">
            <w:pPr>
              <w:pStyle w:val="ListBullet"/>
            </w:pPr>
            <w:r w:rsidRPr="00AE73B0">
              <w:t>planning work to meet objectives</w:t>
            </w:r>
          </w:p>
          <w:p w:rsidR="00000000" w:rsidRPr="00AE73B0" w:rsidP="00AE73B0">
            <w:pPr>
              <w:pStyle w:val="ListBullet"/>
            </w:pPr>
            <w:r w:rsidRPr="00AE73B0">
              <w:t>solving problems</w:t>
            </w:r>
          </w:p>
          <w:p w:rsidR="00000000" w:rsidRPr="00AE73B0" w:rsidP="00AE73B0">
            <w:pPr>
              <w:pStyle w:val="ListBullet"/>
            </w:pPr>
            <w:r w:rsidRPr="00AE73B0">
              <w:t>undertaking business and strategic planning</w:t>
            </w:r>
          </w:p>
          <w:p w:rsidR="00000000" w:rsidRPr="00AE73B0" w:rsidP="00AE73B0">
            <w:pPr>
              <w:pStyle w:val="ListBullet"/>
            </w:pPr>
            <w:r w:rsidRPr="00AE73B0">
              <w:t>using technology.</w:t>
            </w:r>
          </w:p>
          <w:p w:rsidR="00000000" w:rsidRPr="00AE73B0" w:rsidP="00AE73B0">
            <w:pPr>
              <w:pStyle w:val="BodyText"/>
            </w:pPr>
          </w:p>
          <w:p w:rsidR="00000000" w:rsidRPr="00AE73B0" w:rsidP="00AE73B0">
            <w:pPr>
              <w:pStyle w:val="BodyText"/>
            </w:pPr>
            <w:r w:rsidRPr="00AE73B0">
              <w:rPr>
                <w:rStyle w:val="SpecialBold"/>
              </w:rPr>
              <w:t>Literacy skills used for</w:t>
            </w:r>
            <w:r w:rsidRPr="00AE73B0">
              <w:t xml:space="preserve">: </w:t>
            </w:r>
          </w:p>
          <w:p w:rsidR="00000000" w:rsidRPr="00AE73B0" w:rsidP="00AE73B0">
            <w:pPr>
              <w:pStyle w:val="ListBullet"/>
            </w:pPr>
            <w:r w:rsidRPr="00AE73B0">
              <w:t>completing complex forms</w:t>
            </w:r>
          </w:p>
          <w:p w:rsidR="00000000" w:rsidRPr="00AE73B0" w:rsidP="00AE73B0">
            <w:pPr>
              <w:pStyle w:val="ListBullet"/>
            </w:pPr>
            <w:r w:rsidRPr="00AE73B0">
              <w:t>identifying and tracing product</w:t>
            </w:r>
          </w:p>
          <w:p w:rsidR="00000000" w:rsidRPr="00AE73B0" w:rsidP="00AE73B0">
            <w:pPr>
              <w:pStyle w:val="ListBullet"/>
            </w:pPr>
            <w:r w:rsidRPr="00AE73B0">
              <w:t xml:space="preserve">reading and interpreting enterprise </w:t>
            </w:r>
            <w:r w:rsidRPr="00AE73B0">
              <w:t>procedures</w:t>
            </w:r>
          </w:p>
          <w:p w:rsidR="00000000" w:rsidRPr="00AE73B0" w:rsidP="00AE73B0">
            <w:pPr>
              <w:pStyle w:val="ListBullet"/>
            </w:pPr>
            <w:r w:rsidRPr="00AE73B0">
              <w:t>reading and interpreting technical standards and regulations</w:t>
            </w:r>
          </w:p>
          <w:p w:rsidR="00000000" w:rsidRPr="00AE73B0" w:rsidP="00AE73B0">
            <w:pPr>
              <w:pStyle w:val="ListBullet"/>
            </w:pPr>
            <w:r w:rsidRPr="00AE73B0">
              <w:t>reading and writing complex correspondence.</w:t>
            </w:r>
          </w:p>
          <w:p w:rsidR="00000000" w:rsidRPr="00AE73B0" w:rsidP="00AE73B0">
            <w:pPr>
              <w:pStyle w:val="BodyText"/>
            </w:pPr>
          </w:p>
          <w:p w:rsidR="00000000" w:rsidRPr="00AE73B0" w:rsidP="00AE73B0">
            <w:pPr>
              <w:pStyle w:val="BodyText"/>
            </w:pPr>
            <w:r w:rsidRPr="00AE73B0">
              <w:rPr>
                <w:rStyle w:val="SpecialBold"/>
              </w:rPr>
              <w:t>Numeracy skills used for</w:t>
            </w:r>
            <w:r w:rsidRPr="00AE73B0">
              <w:t xml:space="preserve">: </w:t>
            </w:r>
          </w:p>
          <w:p w:rsidR="00000000" w:rsidRPr="00AE73B0" w:rsidP="00AE73B0">
            <w:pPr>
              <w:pStyle w:val="ListBullet"/>
            </w:pPr>
            <w:r w:rsidRPr="00AE73B0">
              <w:t>calculating cost structures</w:t>
            </w:r>
          </w:p>
          <w:p w:rsidR="00000000" w:rsidRPr="00AE73B0" w:rsidP="00AE73B0">
            <w:pPr>
              <w:pStyle w:val="ListBullet"/>
            </w:pPr>
            <w:r w:rsidRPr="00AE73B0">
              <w:t>calculating extensions of weight and price, including totals</w:t>
            </w:r>
          </w:p>
          <w:p w:rsidR="00000000" w:rsidRPr="00AE73B0" w:rsidP="00AE73B0">
            <w:pPr>
              <w:pStyle w:val="ListBullet"/>
            </w:pPr>
            <w:r w:rsidRPr="00AE73B0">
              <w:t>converting between curr</w:t>
            </w:r>
            <w:r w:rsidRPr="00AE73B0">
              <w:t>ency using foreign exchange rates</w:t>
            </w:r>
          </w:p>
          <w:p w:rsidR="00000000" w:rsidP="00AE73B0">
            <w:pPr>
              <w:pStyle w:val="ListBullet"/>
              <w:rPr>
                <w:lang w:val="en-NZ"/>
              </w:rPr>
            </w:pPr>
            <w:r w:rsidRPr="00AE73B0">
              <w:t>estimating costs, margins, percentages.</w:t>
            </w:r>
          </w:p>
        </w:tc>
      </w:tr>
      <w:tr w:rsidTr="00EB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Required knowledge</w:t>
            </w:r>
          </w:p>
        </w:tc>
      </w:tr>
      <w:tr w:rsidTr="00EB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commercial terms and conditions operating within the seafood industry, including those relevant to import and export of seafood product</w:t>
            </w:r>
          </w:p>
          <w:p w:rsidR="00000000" w:rsidRPr="00AE73B0" w:rsidP="00AE73B0">
            <w:pPr>
              <w:pStyle w:val="ListBullet"/>
            </w:pPr>
            <w:r w:rsidRPr="00AE73B0">
              <w:t>enterprise procedures for the establishment of new clients and the maintenance of an existing client base</w:t>
            </w:r>
          </w:p>
          <w:p w:rsidR="00000000" w:rsidRPr="00AE73B0" w:rsidP="00AE73B0">
            <w:pPr>
              <w:pStyle w:val="ListBullet"/>
            </w:pPr>
            <w:r w:rsidRPr="00AE73B0">
              <w:t>food safety standards, in particular, the requirements of storage, transport and distribution</w:t>
            </w:r>
          </w:p>
          <w:p w:rsidR="00000000" w:rsidRPr="00AE73B0" w:rsidP="00AE73B0">
            <w:pPr>
              <w:pStyle w:val="ListBullet"/>
            </w:pPr>
            <w:r w:rsidRPr="00AE73B0">
              <w:t>procedures and processes for defining product quality an</w:t>
            </w:r>
            <w:r w:rsidRPr="00AE73B0">
              <w:t>d developing product specifications</w:t>
            </w:r>
          </w:p>
          <w:p w:rsidR="00000000" w:rsidRPr="00AE73B0" w:rsidP="00AE73B0">
            <w:pPr>
              <w:pStyle w:val="ListBullet"/>
            </w:pPr>
            <w:r w:rsidRPr="00AE73B0">
              <w:t>regulations affecting the purchase and supply of seafood product</w:t>
            </w:r>
          </w:p>
          <w:p w:rsidR="00000000" w:rsidRPr="00AE73B0" w:rsidP="00AE73B0">
            <w:pPr>
              <w:pStyle w:val="ListBullet"/>
            </w:pPr>
            <w:r w:rsidRPr="00AE73B0">
              <w:t>the cost structures operating within the enterprise in particular, and the industry generally.</w:t>
            </w:r>
          </w:p>
        </w:tc>
      </w:tr>
    </w:tbl>
    <w:p w:rsidR="00EB0988" w:rsidP="00AE73B0">
      <w:pPr>
        <w:pStyle w:val="BodyText"/>
      </w:pPr>
    </w:p>
    <w:p w:rsidR="00EB0988" w:rsidP="00AE73B0">
      <w:pPr>
        <w:pStyle w:val="BodyText"/>
      </w:pPr>
    </w:p>
    <w:p w:rsidR="00000000" w:rsidRPr="00AE73B0" w:rsidP="00AE73B0">
      <w:pPr>
        <w:pStyle w:val="AllowPageBreak"/>
      </w:pPr>
    </w:p>
    <w:p w:rsidR="00000000" w:rsidRPr="00AE73B0" w:rsidP="00AE73B0">
      <w:pPr>
        <w:pStyle w:val="Heading1"/>
      </w:pPr>
      <w:bookmarkStart w:id="10" w:name="O_246001"/>
      <w:bookmarkEnd w:id="10"/>
      <w:r w:rsidRPr="00AE73B0">
        <w:t>Evidence Guide</w:t>
      </w:r>
    </w:p>
    <w:tbl>
      <w:tblPr>
        <w:tblW w:w="9570" w:type="dxa"/>
        <w:tblLayout w:type="fixed"/>
        <w:tblCellMar>
          <w:left w:w="62" w:type="dxa"/>
          <w:right w:w="62" w:type="dxa"/>
        </w:tblCellMar>
        <w:tblLook w:val="0000"/>
      </w:tblPr>
      <w:tblGrid>
        <w:gridCol w:w="3908"/>
        <w:gridCol w:w="5662"/>
      </w:tblGrid>
      <w:tr w:rsidTr="00EB09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EVIDENCE GUIDE</w:t>
            </w:r>
          </w:p>
        </w:tc>
      </w:tr>
      <w:tr w:rsidTr="00EB09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t>The evidence guide provides advice on assessment and must be read in conjunction with the performance criteria, required skills and knowledge, range statement and the Assessment Guidelines for the Training Package.</w:t>
            </w:r>
          </w:p>
        </w:tc>
      </w:tr>
      <w:tr w:rsidTr="00EB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p>
        </w:tc>
      </w:tr>
      <w:tr w:rsidTr="00EB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 xml:space="preserve">Assessment must confirm ability to: </w:t>
            </w:r>
          </w:p>
          <w:p w:rsidR="00000000" w:rsidRPr="00AE73B0" w:rsidP="00AE73B0">
            <w:pPr>
              <w:pStyle w:val="ListBullet"/>
            </w:pPr>
            <w:r w:rsidRPr="00AE73B0">
              <w:t>perform tasks necessary to determine the cost factors impacting on the enterprise, develop commercial conditions which will enh</w:t>
            </w:r>
            <w:r w:rsidRPr="00AE73B0">
              <w:t>ance the enterprise and confirm those conditions with clients.</w:t>
            </w:r>
          </w:p>
          <w:p w:rsidR="00000000" w:rsidRPr="00AE73B0" w:rsidP="00AE73B0">
            <w:pPr>
              <w:pStyle w:val="BodyText"/>
            </w:pPr>
          </w:p>
          <w:p w:rsidR="00000000" w:rsidRPr="00AE73B0" w:rsidP="00AE73B0">
            <w:pPr>
              <w:pStyle w:val="BodyText"/>
            </w:pPr>
            <w:r w:rsidRPr="00AE73B0">
              <w:t xml:space="preserve">Assessment must confirm knowledge of: </w:t>
            </w:r>
          </w:p>
          <w:p w:rsidR="00000000" w:rsidRPr="00AE73B0" w:rsidP="00AE73B0">
            <w:pPr>
              <w:pStyle w:val="ListBullet"/>
            </w:pPr>
            <w:r w:rsidRPr="00AE73B0">
              <w:t>demand curves for the species or season</w:t>
            </w:r>
          </w:p>
          <w:p w:rsidR="00000000" w:rsidRPr="00AE73B0" w:rsidP="00AE73B0">
            <w:pPr>
              <w:pStyle w:val="ListBullet"/>
            </w:pPr>
            <w:r w:rsidRPr="00AE73B0">
              <w:t>developing projections for cost, volume and profit</w:t>
            </w:r>
          </w:p>
          <w:p w:rsidR="00000000" w:rsidRPr="00AE73B0" w:rsidP="00AE73B0">
            <w:pPr>
              <w:pStyle w:val="ListBullet"/>
            </w:pPr>
            <w:r w:rsidRPr="00AE73B0">
              <w:t>food safety and other relevant requirements</w:t>
            </w:r>
          </w:p>
          <w:p w:rsidR="00000000" w:rsidRPr="00AE73B0" w:rsidP="00AE73B0">
            <w:pPr>
              <w:pStyle w:val="ListBullet"/>
            </w:pPr>
            <w:r w:rsidRPr="00AE73B0">
              <w:t>industry and/or co</w:t>
            </w:r>
            <w:r w:rsidRPr="00AE73B0">
              <w:t>mpetitor pricing strategies</w:t>
            </w:r>
          </w:p>
          <w:p w:rsidR="00000000" w:rsidRPr="00AE73B0" w:rsidP="00AE73B0">
            <w:pPr>
              <w:pStyle w:val="ListBullet"/>
            </w:pPr>
            <w:r w:rsidRPr="00AE73B0">
              <w:t>market expectations</w:t>
            </w:r>
          </w:p>
          <w:p w:rsidR="00000000" w:rsidRPr="00AE73B0" w:rsidP="00AE73B0">
            <w:pPr>
              <w:pStyle w:val="ListBullet"/>
            </w:pPr>
            <w:r w:rsidRPr="00AE73B0">
              <w:t>options for reducing input costs</w:t>
            </w:r>
          </w:p>
          <w:p w:rsidR="00000000" w:rsidRPr="00AE73B0" w:rsidP="00AE73B0">
            <w:pPr>
              <w:pStyle w:val="ListBullet"/>
            </w:pPr>
            <w:r w:rsidRPr="00AE73B0">
              <w:t>processing options</w:t>
            </w:r>
          </w:p>
          <w:p w:rsidR="00000000" w:rsidRPr="00AE73B0" w:rsidP="00AE73B0">
            <w:pPr>
              <w:pStyle w:val="ListBullet"/>
            </w:pPr>
            <w:r w:rsidRPr="00AE73B0">
              <w:t>product specifications</w:t>
            </w:r>
          </w:p>
          <w:p w:rsidR="00000000" w:rsidRPr="00AE73B0" w:rsidP="00AE73B0">
            <w:pPr>
              <w:pStyle w:val="ListBullet"/>
            </w:pPr>
            <w:r w:rsidRPr="00AE73B0">
              <w:t>quality assurance factors which impact on costs</w:t>
            </w:r>
          </w:p>
          <w:p w:rsidR="00000000" w:rsidRPr="00AE73B0" w:rsidP="00AE73B0">
            <w:pPr>
              <w:pStyle w:val="ListBullet"/>
            </w:pPr>
            <w:r w:rsidRPr="00AE73B0">
              <w:t>standard terms and conditions accepted for the industry or sector</w:t>
            </w:r>
          </w:p>
          <w:p w:rsidR="00000000" w:rsidP="00AE73B0">
            <w:pPr>
              <w:pStyle w:val="ListBullet"/>
              <w:rPr>
                <w:lang w:val="en-NZ"/>
              </w:rPr>
            </w:pPr>
            <w:r w:rsidRPr="00AE73B0">
              <w:t>the range of historical data relevant to the enterprise costing structure.</w:t>
            </w:r>
          </w:p>
        </w:tc>
      </w:tr>
      <w:tr w:rsidTr="00EB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 xml:space="preserve">Assessment is to be conducted in the workplace or in a simulated work environment. </w:t>
            </w:r>
          </w:p>
          <w:p w:rsidR="00000000" w:rsidRPr="00AE73B0" w:rsidP="00AE73B0">
            <w:pPr>
              <w:pStyle w:val="BodyText"/>
            </w:pPr>
          </w:p>
          <w:p w:rsidR="00000000" w:rsidRPr="00AE73B0" w:rsidP="00AE73B0">
            <w:pPr>
              <w:pStyle w:val="BodyText"/>
            </w:pPr>
            <w:r w:rsidRPr="00AE73B0">
              <w:t>Resources may include:</w:t>
            </w:r>
          </w:p>
          <w:p w:rsidR="00000000" w:rsidRPr="00AE73B0" w:rsidP="00AE73B0">
            <w:pPr>
              <w:pStyle w:val="ListBullet"/>
            </w:pPr>
            <w:r w:rsidRPr="00AE73B0">
              <w:t>access to enterprise pe</w:t>
            </w:r>
            <w:r w:rsidRPr="00AE73B0">
              <w:t>rsonnel for confirmation of costing data</w:t>
            </w:r>
          </w:p>
          <w:p w:rsidR="00000000" w:rsidRPr="00AE73B0" w:rsidP="00AE73B0">
            <w:pPr>
              <w:pStyle w:val="ListBullet"/>
            </w:pPr>
            <w:r w:rsidRPr="00AE73B0">
              <w:t>details of (seafood) resource availability</w:t>
            </w:r>
          </w:p>
          <w:p w:rsidR="00000000" w:rsidRPr="00AE73B0" w:rsidP="00AE73B0">
            <w:pPr>
              <w:pStyle w:val="ListBullet"/>
            </w:pPr>
            <w:r w:rsidRPr="00AE73B0">
              <w:t>examples of customer specifications</w:t>
            </w:r>
          </w:p>
          <w:p w:rsidR="00000000" w:rsidP="00AE73B0">
            <w:pPr>
              <w:pStyle w:val="ListBullet"/>
              <w:rPr>
                <w:lang w:val="en-NZ"/>
              </w:rPr>
            </w:pPr>
            <w:r w:rsidRPr="00AE73B0">
              <w:t>samples of contracts for supply.</w:t>
            </w:r>
          </w:p>
        </w:tc>
      </w:tr>
      <w:tr w:rsidTr="00EB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 xml:space="preserve">The following assessment methods are suggested: </w:t>
            </w:r>
          </w:p>
          <w:p w:rsidR="00000000" w:rsidRPr="00AE73B0" w:rsidP="00AE73B0">
            <w:pPr>
              <w:pStyle w:val="ListBullet"/>
            </w:pPr>
            <w:r w:rsidRPr="00AE73B0">
              <w:t>project (work or scenario based)</w:t>
            </w:r>
          </w:p>
          <w:p w:rsidR="00000000" w:rsidRPr="00AE73B0" w:rsidP="00AE73B0">
            <w:pPr>
              <w:pStyle w:val="ListBullet"/>
            </w:pPr>
            <w:r w:rsidRPr="00AE73B0">
              <w:t>workplace documents, such as data, calculations and reports</w:t>
            </w:r>
          </w:p>
          <w:p w:rsidR="00000000" w:rsidP="00AE73B0">
            <w:pPr>
              <w:pStyle w:val="ListBullet"/>
              <w:rPr>
                <w:lang w:val="en-NZ"/>
              </w:rPr>
            </w:pPr>
            <w:r w:rsidRPr="00AE73B0">
              <w:t>written or oral questions.</w:t>
            </w:r>
          </w:p>
        </w:tc>
      </w:tr>
      <w:tr w:rsidTr="00EB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This unit may be assessed holistically with other units within a qualification.</w:t>
            </w:r>
          </w:p>
        </w:tc>
      </w:tr>
    </w:tbl>
    <w:p w:rsidR="00EB0988" w:rsidP="00AE73B0">
      <w:pPr>
        <w:pStyle w:val="BodyText"/>
      </w:pPr>
    </w:p>
    <w:p w:rsidR="00EB0988" w:rsidP="00AE73B0">
      <w:pPr>
        <w:pStyle w:val="BodyText"/>
      </w:pPr>
    </w:p>
    <w:p w:rsidR="00000000" w:rsidRPr="00AE73B0" w:rsidP="00AE73B0">
      <w:pPr>
        <w:pStyle w:val="Heading1"/>
      </w:pPr>
      <w:bookmarkStart w:id="11" w:name="O_253984"/>
      <w:bookmarkEnd w:id="11"/>
      <w:r w:rsidRPr="00AE73B0">
        <w:t>Range Statement</w:t>
      </w:r>
    </w:p>
    <w:tbl>
      <w:tblPr>
        <w:tblW w:w="0" w:type="auto"/>
        <w:tblLayout w:type="fixed"/>
        <w:tblCellMar>
          <w:left w:w="62" w:type="dxa"/>
          <w:right w:w="62" w:type="dxa"/>
        </w:tblCellMar>
        <w:tblLook w:val="0000"/>
      </w:tblPr>
      <w:tblGrid>
        <w:gridCol w:w="3440"/>
        <w:gridCol w:w="5082"/>
      </w:tblGrid>
      <w:tr w:rsidTr="00EB09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RANGE STATEMENT</w:t>
            </w:r>
          </w:p>
        </w:tc>
      </w:tr>
      <w:tr w:rsidTr="00EB09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t xml:space="preserve">The range statement relates to the unit of competency as a whole. It allows for different work environments and situations that may affect </w:t>
            </w:r>
            <w:r w:rsidRPr="00AE73B0">
              <w:t>performance. Bold italicised wording, if used in the performance criteria, is detailed below. Essential operating conditions that may be present with training and assessment (depending on the work situation, needs of the candidate, accessibility of the ite</w:t>
            </w:r>
            <w:r w:rsidRPr="00AE73B0">
              <w:t>m, and local industry and regional contexts) may also be included.</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Relevant government regulations</w:t>
            </w:r>
            <w:r w:rsidRPr="00AE73B0">
              <w:t xml:space="preserve">, </w:t>
            </w:r>
            <w:r w:rsidRPr="00AE73B0">
              <w:rPr>
                <w:rStyle w:val="BoldandItalics"/>
              </w:rPr>
              <w:t>licensing and other compliance requirements</w:t>
            </w:r>
            <w:r w:rsidRPr="00AE73B0">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ecologically sustainable development (ESD) principles, environmental hazard identification, risk</w:t>
            </w:r>
            <w:r w:rsidRPr="00AE73B0">
              <w:t xml:space="preserve"> assessment and control</w:t>
            </w:r>
          </w:p>
          <w:p w:rsidR="00000000" w:rsidRPr="00AE73B0" w:rsidP="00AE73B0">
            <w:pPr>
              <w:pStyle w:val="ListBullet"/>
            </w:pPr>
            <w:r w:rsidRPr="00AE73B0">
              <w:t>fisheries or aquaculture regulations, permits, licences, quotas, catch restrictions and other compliance requirements, including:</w:t>
            </w:r>
          </w:p>
          <w:p w:rsidR="00000000" w:rsidRPr="00AE73B0" w:rsidP="00AE73B0">
            <w:pPr>
              <w:pStyle w:val="ListBullet2"/>
            </w:pPr>
            <w:r w:rsidRPr="00AE73B0">
              <w:t>Australian Exclusive Economic Zone</w:t>
            </w:r>
          </w:p>
          <w:p w:rsidR="00000000" w:rsidRPr="00AE73B0" w:rsidP="00AE73B0">
            <w:pPr>
              <w:pStyle w:val="ListBullet2"/>
            </w:pPr>
            <w:r w:rsidRPr="00AE73B0">
              <w:t>international treaties and agreements</w:t>
            </w:r>
          </w:p>
          <w:p w:rsidR="00000000" w:rsidRPr="00AE73B0" w:rsidP="00AE73B0">
            <w:pPr>
              <w:pStyle w:val="ListBullet"/>
            </w:pPr>
            <w:r w:rsidRPr="00AE73B0">
              <w:t>food safety, Hazard Analysis Critical Control Point (HACCP), hygiene and temperature control along chain of custody</w:t>
            </w:r>
          </w:p>
          <w:p w:rsidR="00000000" w:rsidRPr="00AE73B0" w:rsidP="00AE73B0">
            <w:pPr>
              <w:pStyle w:val="ListBullet"/>
            </w:pPr>
            <w:r w:rsidRPr="00AE73B0">
              <w:t>imports quarantine and inspection, and importing approved arrangements for Australian Quarantine Inspection Service (AQIS), Australian Custo</w:t>
            </w:r>
            <w:r w:rsidRPr="00AE73B0">
              <w:t>ms Service (ACS) and Biosecurity Australia (BA)</w:t>
            </w:r>
          </w:p>
          <w:p w:rsidR="00000000" w:rsidRPr="00AE73B0" w:rsidP="00AE73B0">
            <w:pPr>
              <w:pStyle w:val="ListBullet"/>
            </w:pPr>
            <w:r w:rsidRPr="00AE73B0">
              <w:t>business or workplace operations, policies and practices:</w:t>
            </w:r>
          </w:p>
          <w:p w:rsidR="00000000" w:rsidRPr="00AE73B0" w:rsidP="00AE73B0">
            <w:pPr>
              <w:pStyle w:val="ListBullet2"/>
            </w:pPr>
            <w:r w:rsidRPr="00AE73B0">
              <w:t xml:space="preserve">commercial law, including fair trading and trade practices </w:t>
            </w:r>
          </w:p>
          <w:p w:rsidR="00000000" w:rsidRPr="00AE73B0" w:rsidP="00AE73B0">
            <w:pPr>
              <w:pStyle w:val="ListBullet2"/>
            </w:pPr>
            <w:r w:rsidRPr="00AE73B0">
              <w:t>consumer law</w:t>
            </w:r>
          </w:p>
          <w:p w:rsidR="00000000" w:rsidRPr="00AE73B0" w:rsidP="00AE73B0">
            <w:pPr>
              <w:pStyle w:val="ListBullet2"/>
            </w:pPr>
            <w:r w:rsidRPr="00AE73B0">
              <w:t xml:space="preserve">corporate law, including registration, licensing and financial reporting </w:t>
            </w:r>
          </w:p>
          <w:p w:rsidR="00000000" w:rsidRPr="00AE73B0" w:rsidP="00AE73B0">
            <w:pPr>
              <w:pStyle w:val="ListBullet2"/>
            </w:pPr>
            <w:r w:rsidRPr="00AE73B0">
              <w:t>di</w:t>
            </w:r>
            <w:r w:rsidRPr="00AE73B0">
              <w:t>sability policies and practices</w:t>
            </w:r>
          </w:p>
          <w:p w:rsidR="00000000" w:rsidRPr="00AE73B0" w:rsidP="00AE73B0">
            <w:pPr>
              <w:pStyle w:val="ListBullet2"/>
            </w:pPr>
            <w:r w:rsidRPr="00AE73B0">
              <w:t xml:space="preserve">equal opportunity, anti-discrimination and sexual harassment </w:t>
            </w:r>
          </w:p>
          <w:p w:rsidR="00000000" w:rsidRPr="00AE73B0" w:rsidP="00AE73B0">
            <w:pPr>
              <w:pStyle w:val="ListBullet2"/>
            </w:pPr>
            <w:r w:rsidRPr="00AE73B0">
              <w:t>industrial relations and awards, individual employment contracts and share of catch agreements</w:t>
            </w:r>
          </w:p>
          <w:p w:rsidR="00000000" w:rsidRPr="00AE73B0" w:rsidP="00AE73B0">
            <w:pPr>
              <w:pStyle w:val="ListBullet2"/>
            </w:pPr>
            <w:r w:rsidRPr="00AE73B0">
              <w:t>jurisdictional variations</w:t>
            </w:r>
          </w:p>
          <w:p w:rsidR="00000000" w:rsidRPr="00AE73B0" w:rsidP="00AE73B0">
            <w:pPr>
              <w:pStyle w:val="ListBullet2"/>
            </w:pPr>
            <w:r w:rsidRPr="00AE73B0">
              <w:t>superannuation</w:t>
            </w:r>
          </w:p>
          <w:p w:rsidR="00000000" w:rsidRPr="00AE73B0" w:rsidP="00AE73B0">
            <w:pPr>
              <w:pStyle w:val="ListBullet2"/>
            </w:pPr>
            <w:r w:rsidRPr="00AE73B0">
              <w:t>taxation</w:t>
            </w:r>
          </w:p>
          <w:p w:rsidR="00000000" w:rsidRPr="00AE73B0" w:rsidP="00AE73B0">
            <w:pPr>
              <w:pStyle w:val="ListBullet2"/>
            </w:pPr>
            <w:r w:rsidRPr="00AE73B0">
              <w:t xml:space="preserve">trade practices </w:t>
            </w:r>
          </w:p>
          <w:p w:rsidR="00000000" w:rsidRPr="00AE73B0" w:rsidP="00AE73B0">
            <w:pPr>
              <w:pStyle w:val="ListBullet2"/>
            </w:pPr>
            <w:r w:rsidRPr="00AE73B0">
              <w:t>warnings and dismissals</w:t>
            </w:r>
          </w:p>
          <w:p w:rsidR="00000000" w:rsidRPr="00AE73B0" w:rsidP="00AE73B0">
            <w:pPr>
              <w:pStyle w:val="ListBullet2"/>
            </w:pPr>
            <w:r w:rsidRPr="00AE73B0">
              <w:t>worker's compensation</w:t>
            </w:r>
          </w:p>
          <w:p w:rsidR="00000000" w:rsidRPr="00AE73B0" w:rsidP="00AE73B0">
            <w:pPr>
              <w:pStyle w:val="ListBullet"/>
            </w:pPr>
            <w:r w:rsidRPr="00AE73B0">
              <w:t>occupational health and safety (OHS) hazard identification, risk assessment and control</w:t>
            </w:r>
          </w:p>
          <w:p w:rsidR="00000000" w:rsidRPr="00AE73B0" w:rsidP="00AE73B0">
            <w:pPr>
              <w:pStyle w:val="ListBullet"/>
            </w:pPr>
            <w:r w:rsidRPr="00AE73B0">
              <w:t>product quality assurance:</w:t>
            </w:r>
          </w:p>
          <w:p w:rsidR="00000000" w:rsidRPr="00AE73B0" w:rsidP="00AE73B0">
            <w:pPr>
              <w:pStyle w:val="ListBullet2"/>
            </w:pPr>
            <w:r w:rsidRPr="00AE73B0">
              <w:t xml:space="preserve">correct naming and labelling (e.g. country of origin, Australian Fish Names Standard and </w:t>
            </w:r>
            <w:r w:rsidRPr="00AE73B0">
              <w:t>eco-labelling)</w:t>
            </w:r>
          </w:p>
          <w:p w:rsidR="00000000" w:rsidRPr="00AE73B0" w:rsidP="00AE73B0">
            <w:pPr>
              <w:pStyle w:val="ListBullet2"/>
            </w:pPr>
            <w:r w:rsidRPr="00AE73B0">
              <w:t>correct quantities, sizes and other customer requirements</w:t>
            </w:r>
          </w:p>
          <w:p w:rsidR="00000000" w:rsidP="00AE73B0">
            <w:pPr>
              <w:pStyle w:val="ListBullet2"/>
              <w:rPr>
                <w:lang w:val="en-NZ"/>
              </w:rPr>
            </w:pPr>
            <w:r w:rsidRPr="00AE73B0">
              <w:t>third-party certification (e.g. Australian Grown and ISO 14001:2004 Environmental management systems).</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Food safety and hygiene regulations and procedures</w:t>
            </w:r>
            <w:r w:rsidRPr="00AE73B0">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Australian Shel</w:t>
            </w:r>
            <w:r w:rsidRPr="00AE73B0">
              <w:t>lfish Sanitation program</w:t>
            </w:r>
          </w:p>
          <w:p w:rsidR="00000000" w:rsidRPr="00AE73B0" w:rsidP="00AE73B0">
            <w:pPr>
              <w:pStyle w:val="ListBullet"/>
            </w:pPr>
            <w:r w:rsidRPr="00AE73B0">
              <w:t>display, packaging and sale of food, including seafood and aquatic products</w:t>
            </w:r>
          </w:p>
          <w:p w:rsidR="00000000" w:rsidRPr="00AE73B0" w:rsidP="00AE73B0">
            <w:pPr>
              <w:pStyle w:val="ListBullet"/>
            </w:pPr>
            <w:r w:rsidRPr="00AE73B0">
              <w:t xml:space="preserve">equipment design, use, cleaning and maintenance </w:t>
            </w:r>
          </w:p>
          <w:p w:rsidR="00000000" w:rsidRPr="00AE73B0" w:rsidP="00AE73B0">
            <w:pPr>
              <w:pStyle w:val="ListBullet"/>
            </w:pPr>
            <w:r w:rsidRPr="00AE73B0">
              <w:t>exporting requirements, including AQIS Export Control (Fish) orders</w:t>
            </w:r>
          </w:p>
          <w:p w:rsidR="00000000" w:rsidRPr="00AE73B0" w:rsidP="00AE73B0">
            <w:pPr>
              <w:pStyle w:val="ListBullet"/>
            </w:pPr>
            <w:r w:rsidRPr="00AE73B0">
              <w:t xml:space="preserve">handling and disposal of condemned or </w:t>
            </w:r>
            <w:r w:rsidRPr="00AE73B0">
              <w:t>recalled seafood products</w:t>
            </w:r>
          </w:p>
          <w:p w:rsidR="00000000" w:rsidRPr="00AE73B0" w:rsidP="00AE73B0">
            <w:pPr>
              <w:pStyle w:val="ListBullet"/>
            </w:pPr>
            <w:r w:rsidRPr="00AE73B0">
              <w:t>HACCP, food safety program, and other risk minimisation and quality assurance systems</w:t>
            </w:r>
          </w:p>
          <w:p w:rsidR="00000000" w:rsidRPr="00AE73B0" w:rsidP="00AE73B0">
            <w:pPr>
              <w:pStyle w:val="ListBullet"/>
            </w:pPr>
            <w:r w:rsidRPr="00AE73B0">
              <w:t xml:space="preserve">location, construction and servicing of seafood premises </w:t>
            </w:r>
          </w:p>
          <w:p w:rsidR="00000000" w:rsidRPr="00AE73B0" w:rsidP="00AE73B0">
            <w:pPr>
              <w:pStyle w:val="ListBullet"/>
            </w:pPr>
            <w:r w:rsidRPr="00AE73B0">
              <w:t>people, product and place hygiene and sanitation requirements</w:t>
            </w:r>
          </w:p>
          <w:p w:rsidR="00000000" w:rsidRPr="00AE73B0" w:rsidP="00AE73B0">
            <w:pPr>
              <w:pStyle w:val="ListBullet"/>
            </w:pPr>
            <w:r w:rsidRPr="00AE73B0">
              <w:t xml:space="preserve">Primary Products Standard and the Australian Seafood Standard (voluntary) </w:t>
            </w:r>
          </w:p>
          <w:p w:rsidR="00000000" w:rsidRPr="00AE73B0" w:rsidP="00AE73B0">
            <w:pPr>
              <w:pStyle w:val="ListBullet"/>
            </w:pPr>
            <w:r w:rsidRPr="00AE73B0">
              <w:t xml:space="preserve">processing, further processing and preparation of food, including seafood and aquatic products </w:t>
            </w:r>
          </w:p>
          <w:p w:rsidR="00000000" w:rsidRPr="00AE73B0" w:rsidP="00AE73B0">
            <w:pPr>
              <w:pStyle w:val="ListBullet"/>
            </w:pPr>
            <w:r w:rsidRPr="00AE73B0">
              <w:t>product labelling, tracing and re-call</w:t>
            </w:r>
          </w:p>
          <w:p w:rsidR="00000000" w:rsidRPr="00AE73B0" w:rsidP="00AE73B0">
            <w:pPr>
              <w:pStyle w:val="ListBullet"/>
            </w:pPr>
            <w:r w:rsidRPr="00AE73B0">
              <w:t>receipt, storage and transportation of food, i</w:t>
            </w:r>
            <w:r w:rsidRPr="00AE73B0">
              <w:t>ncluding seafood and aquatic products</w:t>
            </w:r>
          </w:p>
          <w:p w:rsidR="00000000" w:rsidRPr="00AE73B0" w:rsidP="00AE73B0">
            <w:pPr>
              <w:pStyle w:val="ListBullet"/>
            </w:pPr>
            <w:r w:rsidRPr="00AE73B0">
              <w:t>requirements set out in Australian and New Zealand Food Authority (ANZFA) Food Standards Code and state and territory food regulations</w:t>
            </w:r>
          </w:p>
          <w:p w:rsidR="00000000" w:rsidP="00AE73B0">
            <w:pPr>
              <w:pStyle w:val="ListBullet"/>
              <w:rPr>
                <w:lang w:val="en-NZ"/>
              </w:rPr>
            </w:pPr>
            <w:r w:rsidRPr="00AE73B0">
              <w:t>temperature and contamination control along chain of custody.</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Costs factors</w:t>
            </w:r>
            <w:r w:rsidRPr="00AE73B0">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direct</w:t>
            </w:r>
          </w:p>
          <w:p w:rsidR="00000000" w:rsidRPr="00AE73B0" w:rsidP="00AE73B0">
            <w:pPr>
              <w:pStyle w:val="ListBullet"/>
            </w:pPr>
            <w:r w:rsidRPr="00AE73B0">
              <w:t>fixed</w:t>
            </w:r>
          </w:p>
          <w:p w:rsidR="00000000" w:rsidRPr="00AE73B0" w:rsidP="00AE73B0">
            <w:pPr>
              <w:pStyle w:val="ListBullet"/>
            </w:pPr>
            <w:r w:rsidRPr="00AE73B0">
              <w:t>indirect</w:t>
            </w:r>
          </w:p>
          <w:p w:rsidR="00000000" w:rsidRPr="00AE73B0" w:rsidP="00AE73B0">
            <w:pPr>
              <w:pStyle w:val="ListBullet"/>
            </w:pPr>
            <w:r w:rsidRPr="00AE73B0">
              <w:t>overhead</w:t>
            </w:r>
          </w:p>
          <w:p w:rsidR="00000000" w:rsidRPr="00AE73B0" w:rsidP="00AE73B0">
            <w:pPr>
              <w:pStyle w:val="ListBullet"/>
            </w:pPr>
            <w:r w:rsidRPr="00AE73B0">
              <w:t>period</w:t>
            </w:r>
          </w:p>
          <w:p w:rsidR="00000000" w:rsidRPr="00AE73B0" w:rsidP="00AE73B0">
            <w:pPr>
              <w:pStyle w:val="ListBullet"/>
            </w:pPr>
            <w:r w:rsidRPr="00AE73B0">
              <w:t>product</w:t>
            </w:r>
          </w:p>
          <w:p w:rsidR="00000000" w:rsidP="00AE73B0">
            <w:pPr>
              <w:pStyle w:val="ListBullet"/>
              <w:rPr>
                <w:lang w:val="en-NZ"/>
              </w:rPr>
            </w:pPr>
            <w:r w:rsidRPr="00AE73B0">
              <w:t>variable.</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Costing methods</w:t>
            </w:r>
            <w:r w:rsidRPr="00AE73B0">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direct labour costs</w:t>
            </w:r>
          </w:p>
          <w:p w:rsidR="00000000" w:rsidRPr="00AE73B0" w:rsidP="00AE73B0">
            <w:pPr>
              <w:pStyle w:val="ListBullet"/>
            </w:pPr>
            <w:r w:rsidRPr="00AE73B0">
              <w:t>direct labour hours</w:t>
            </w:r>
          </w:p>
          <w:p w:rsidR="00000000" w:rsidRPr="00AE73B0" w:rsidP="00AE73B0">
            <w:pPr>
              <w:pStyle w:val="ListBullet"/>
            </w:pPr>
            <w:r w:rsidRPr="00AE73B0">
              <w:t>machine hours</w:t>
            </w:r>
          </w:p>
          <w:p w:rsidR="00000000" w:rsidRPr="00AE73B0" w:rsidP="00AE73B0">
            <w:pPr>
              <w:pStyle w:val="ListBullet"/>
            </w:pPr>
            <w:r w:rsidRPr="00AE73B0">
              <w:t>materials</w:t>
            </w:r>
          </w:p>
          <w:p w:rsidR="00000000" w:rsidRPr="00AE73B0" w:rsidP="00AE73B0">
            <w:pPr>
              <w:pStyle w:val="ListBullet"/>
            </w:pPr>
            <w:r w:rsidRPr="00AE73B0">
              <w:t>overheads</w:t>
            </w:r>
          </w:p>
          <w:p w:rsidR="00000000" w:rsidP="00AE73B0">
            <w:pPr>
              <w:pStyle w:val="ListBullet"/>
              <w:rPr>
                <w:lang w:val="en-NZ"/>
              </w:rPr>
            </w:pPr>
            <w:r w:rsidRPr="00AE73B0">
              <w:t>work in progress.</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Costing options</w:t>
            </w:r>
            <w:r w:rsidRPr="00AE73B0">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external suppliers</w:t>
            </w:r>
          </w:p>
          <w:p w:rsidR="00000000" w:rsidRPr="00AE73B0" w:rsidP="00AE73B0">
            <w:pPr>
              <w:pStyle w:val="ListBullet"/>
            </w:pPr>
            <w:r w:rsidRPr="00AE73B0">
              <w:t>inventory</w:t>
            </w:r>
          </w:p>
          <w:p w:rsidR="00000000" w:rsidRPr="00AE73B0" w:rsidP="00AE73B0">
            <w:pPr>
              <w:pStyle w:val="ListBullet"/>
            </w:pPr>
            <w:r w:rsidRPr="00AE73B0">
              <w:t>labour</w:t>
            </w:r>
          </w:p>
          <w:p w:rsidR="00000000" w:rsidRPr="00AE73B0" w:rsidP="00AE73B0">
            <w:pPr>
              <w:pStyle w:val="ListBullet"/>
            </w:pPr>
            <w:r w:rsidRPr="00AE73B0">
              <w:t>machine hours</w:t>
            </w:r>
          </w:p>
          <w:p w:rsidR="00000000" w:rsidRPr="00AE73B0" w:rsidP="00AE73B0">
            <w:pPr>
              <w:pStyle w:val="ListBullet"/>
            </w:pPr>
            <w:r w:rsidRPr="00AE73B0">
              <w:t>materials</w:t>
            </w:r>
          </w:p>
          <w:p w:rsidR="00000000" w:rsidRPr="00AE73B0" w:rsidP="00AE73B0">
            <w:pPr>
              <w:pStyle w:val="ListBullet"/>
            </w:pPr>
            <w:r w:rsidRPr="00AE73B0">
              <w:t>overheads</w:t>
            </w:r>
          </w:p>
          <w:p w:rsidR="00000000" w:rsidRPr="00AE73B0" w:rsidP="00AE73B0">
            <w:pPr>
              <w:pStyle w:val="ListBullet"/>
            </w:pPr>
            <w:r w:rsidRPr="00AE73B0">
              <w:t>process costing</w:t>
            </w:r>
          </w:p>
          <w:p w:rsidR="00000000" w:rsidRPr="00AE73B0" w:rsidP="00AE73B0">
            <w:pPr>
              <w:pStyle w:val="ListBullet"/>
            </w:pPr>
            <w:r w:rsidRPr="00AE73B0">
              <w:t>service costing</w:t>
            </w:r>
          </w:p>
          <w:p w:rsidR="00000000" w:rsidP="00AE73B0">
            <w:pPr>
              <w:pStyle w:val="ListBullet"/>
              <w:rPr>
                <w:lang w:val="en-NZ"/>
              </w:rPr>
            </w:pPr>
            <w:r w:rsidRPr="00AE73B0">
              <w:t>specialised requirements.</w:t>
            </w:r>
          </w:p>
        </w:tc>
      </w:tr>
      <w:tr w:rsidTr="00EB09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BoldandItalics"/>
              </w:rPr>
              <w:t>Terms of sale and payment conditions</w:t>
            </w:r>
            <w:r w:rsidRPr="00AE73B0">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ListBullet"/>
            </w:pPr>
            <w:r w:rsidRPr="00AE73B0">
              <w:t>bank draft</w:t>
            </w:r>
          </w:p>
          <w:p w:rsidR="00000000" w:rsidRPr="00AE73B0" w:rsidP="00AE73B0">
            <w:pPr>
              <w:pStyle w:val="ListBullet"/>
            </w:pPr>
            <w:r w:rsidRPr="00AE73B0">
              <w:t>cash</w:t>
            </w:r>
          </w:p>
          <w:p w:rsidR="00000000" w:rsidRPr="00AE73B0" w:rsidP="00AE73B0">
            <w:pPr>
              <w:pStyle w:val="ListBullet"/>
            </w:pPr>
            <w:r w:rsidRPr="00AE73B0">
              <w:t>credit</w:t>
            </w:r>
          </w:p>
          <w:p w:rsidR="00000000" w:rsidRPr="00AE73B0" w:rsidP="00AE73B0">
            <w:pPr>
              <w:pStyle w:val="ListBullet"/>
            </w:pPr>
            <w:r w:rsidRPr="00AE73B0">
              <w:t>credit cards</w:t>
            </w:r>
          </w:p>
          <w:p w:rsidR="00000000" w:rsidRPr="00AE73B0" w:rsidP="00AE73B0">
            <w:pPr>
              <w:pStyle w:val="ListBullet"/>
            </w:pPr>
            <w:r w:rsidRPr="00AE73B0">
              <w:t>discounts (e.g. prompt payment, volume discount and trade discount)</w:t>
            </w:r>
          </w:p>
          <w:p w:rsidR="00000000" w:rsidRPr="00AE73B0" w:rsidP="00AE73B0">
            <w:pPr>
              <w:pStyle w:val="ListBullet"/>
            </w:pPr>
            <w:r w:rsidRPr="00AE73B0">
              <w:t>EFTPOS</w:t>
            </w:r>
          </w:p>
          <w:p w:rsidR="00000000" w:rsidRPr="00AE73B0" w:rsidP="00AE73B0">
            <w:pPr>
              <w:pStyle w:val="ListBullet"/>
            </w:pPr>
            <w:r w:rsidRPr="00AE73B0">
              <w:t>letter of credit.</w:t>
            </w:r>
          </w:p>
        </w:tc>
      </w:tr>
    </w:tbl>
    <w:p w:rsidR="00EB0988" w:rsidP="00AE73B0">
      <w:pPr>
        <w:pStyle w:val="BodyText"/>
      </w:pPr>
    </w:p>
    <w:p w:rsidR="00EB0988" w:rsidP="00AE73B0">
      <w:pPr>
        <w:pStyle w:val="BodyText"/>
      </w:pPr>
    </w:p>
    <w:p w:rsidR="00000000" w:rsidRPr="00AE73B0" w:rsidP="00AE73B0">
      <w:pPr>
        <w:pStyle w:val="Heading1"/>
      </w:pPr>
      <w:bookmarkStart w:id="12" w:name="O_218618"/>
      <w:bookmarkEnd w:id="12"/>
      <w:r w:rsidRPr="00AE73B0">
        <w:t>Unit Sector(s)</w:t>
      </w:r>
    </w:p>
    <w:tbl>
      <w:tblPr>
        <w:tblW w:w="0" w:type="auto"/>
        <w:tblLayout w:type="fixed"/>
        <w:tblCellMar>
          <w:left w:w="62" w:type="dxa"/>
          <w:right w:w="62" w:type="dxa"/>
        </w:tblCellMar>
        <w:tblLook w:val="0000"/>
      </w:tblPr>
      <w:tblGrid>
        <w:gridCol w:w="2615"/>
        <w:gridCol w:w="5907"/>
      </w:tblGrid>
      <w:tr w:rsidTr="00EB098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r w:rsidRPr="00AE73B0">
              <w:t>Seafood processing</w:t>
            </w:r>
          </w:p>
        </w:tc>
      </w:tr>
    </w:tbl>
    <w:p w:rsidR="00EB0988" w:rsidP="00AE73B0">
      <w:pPr>
        <w:pStyle w:val="BodyText"/>
      </w:pPr>
    </w:p>
    <w:p w:rsidR="00EB0988" w:rsidP="00AE73B0">
      <w:pPr>
        <w:pStyle w:val="BodyText"/>
      </w:pPr>
    </w:p>
    <w:p w:rsidR="00000000" w:rsidRPr="00AE73B0" w:rsidP="00AE73B0">
      <w:pPr>
        <w:pStyle w:val="Heading1"/>
      </w:pPr>
      <w:bookmarkStart w:id="13" w:name="O_218615"/>
      <w:bookmarkEnd w:id="13"/>
      <w:r w:rsidRPr="00AE73B0">
        <w:t>Co-requisite units</w:t>
      </w:r>
    </w:p>
    <w:tbl>
      <w:tblPr>
        <w:tblW w:w="0" w:type="auto"/>
        <w:tblLayout w:type="fixed"/>
        <w:tblCellMar>
          <w:left w:w="62" w:type="dxa"/>
          <w:right w:w="62" w:type="dxa"/>
        </w:tblCellMar>
        <w:tblLook w:val="0000"/>
      </w:tblPr>
      <w:tblGrid>
        <w:gridCol w:w="2641"/>
        <w:gridCol w:w="1322"/>
        <w:gridCol w:w="4559"/>
      </w:tblGrid>
      <w:tr w:rsidTr="00EB09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p>
        </w:tc>
      </w:tr>
      <w:tr w:rsidTr="00EB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p>
        </w:tc>
      </w:tr>
      <w:tr w:rsidTr="00EB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p>
        </w:tc>
      </w:tr>
    </w:tbl>
    <w:p w:rsidR="00EB0988" w:rsidP="00AE73B0">
      <w:pPr>
        <w:pStyle w:val="BodyText"/>
      </w:pPr>
    </w:p>
    <w:p w:rsidR="00EB0988" w:rsidP="00AE73B0">
      <w:pPr>
        <w:pStyle w:val="BodyText"/>
      </w:pPr>
    </w:p>
    <w:p w:rsidR="00000000" w:rsidRPr="00AE73B0" w:rsidP="00AE73B0">
      <w:pPr>
        <w:pStyle w:val="Heading1"/>
      </w:pPr>
      <w:bookmarkStart w:id="14" w:name="O_218617"/>
      <w:bookmarkEnd w:id="14"/>
      <w:r w:rsidRPr="00AE73B0">
        <w:t>Competency field</w:t>
      </w:r>
    </w:p>
    <w:tbl>
      <w:tblPr>
        <w:tblW w:w="0" w:type="auto"/>
        <w:tblLayout w:type="fixed"/>
        <w:tblCellMar>
          <w:left w:w="62" w:type="dxa"/>
          <w:right w:w="62" w:type="dxa"/>
        </w:tblCellMar>
        <w:tblLook w:val="0000"/>
      </w:tblPr>
      <w:tblGrid>
        <w:gridCol w:w="2784"/>
        <w:gridCol w:w="5738"/>
      </w:tblGrid>
      <w:tr w:rsidTr="00EB09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3B0">
            <w:pPr>
              <w:pStyle w:val="BodyText"/>
              <w:rPr>
                <w:lang w:val="en-NZ"/>
              </w:rPr>
            </w:pPr>
            <w:r w:rsidRPr="00AE73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3B0" w:rsidP="00AE73B0">
            <w:pPr>
              <w:pStyle w:val="BodyText"/>
            </w:pPr>
          </w:p>
        </w:tc>
      </w:tr>
    </w:tbl>
    <w:p w:rsidR="00EB0988" w:rsidP="00AE73B0">
      <w:pPr>
        <w:pStyle w:val="BodyText"/>
      </w:pPr>
    </w:p>
    <w:p w:rsidR="00EB0988" w:rsidP="00AE73B0">
      <w:pPr>
        <w:pStyle w:val="BodyText"/>
      </w:pPr>
    </w:p>
    <w:p w:rsidR="00000000" w:rsidRPr="00AE73B0" w:rsidP="00AE73B0"/>
    <w:sectPr w:rsidSect="00AE7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988" w:rsidP="00EB09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88" w:rsidP="00AE73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B0988" w:rsidP="00AE7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0988" w:rsidP="00AE7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0" w:rsidRPr="00EB0988" w:rsidP="00EB09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88" w:rsidRPr="002D2AF8" w:rsidP="00AE73B0">
    <w:pPr>
      <w:pStyle w:val="Header"/>
      <w:framePr w:wrap="around"/>
    </w:pPr>
    <w:r>
      <w:fldChar w:fldCharType="begin"/>
    </w:r>
    <w:r>
      <w:instrText xml:space="preserve"> TITLE   \* MERGEFORMAT </w:instrText>
    </w:r>
    <w:r>
      <w:fldChar w:fldCharType="separate"/>
    </w:r>
    <w:r>
      <w:t>SFIPROC601C Establish costs and/or conditions for sale of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B0988" w:rsidP="00AE7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0C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2E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2D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3B0"/>
    <w:pPr>
      <w:spacing w:before="360" w:after="60"/>
      <w:outlineLvl w:val="0"/>
    </w:pPr>
    <w:rPr>
      <w:sz w:val="32"/>
    </w:rPr>
  </w:style>
  <w:style w:type="paragraph" w:styleId="Heading2">
    <w:name w:val="heading 2"/>
    <w:basedOn w:val="HeadingBase"/>
    <w:next w:val="BodyText"/>
    <w:link w:val="Heading2Char"/>
    <w:qFormat/>
    <w:rsid w:val="00AE73B0"/>
    <w:pPr>
      <w:keepLines/>
      <w:spacing w:before="240" w:after="120"/>
      <w:outlineLvl w:val="1"/>
    </w:pPr>
    <w:rPr>
      <w:sz w:val="28"/>
      <w:szCs w:val="40"/>
    </w:rPr>
  </w:style>
  <w:style w:type="paragraph" w:styleId="Heading3">
    <w:name w:val="heading 3"/>
    <w:basedOn w:val="HeadingBase"/>
    <w:next w:val="BodyText"/>
    <w:link w:val="Heading3Char"/>
    <w:qFormat/>
    <w:rsid w:val="00AE73B0"/>
    <w:pPr>
      <w:spacing w:before="180" w:after="120"/>
      <w:outlineLvl w:val="2"/>
    </w:pPr>
    <w:rPr>
      <w:spacing w:val="-10"/>
      <w:kern w:val="32"/>
    </w:rPr>
  </w:style>
  <w:style w:type="paragraph" w:styleId="Heading4">
    <w:name w:val="heading 4"/>
    <w:basedOn w:val="HeadingBase"/>
    <w:next w:val="BodyText"/>
    <w:link w:val="Heading4Char"/>
    <w:qFormat/>
    <w:rsid w:val="00AE73B0"/>
    <w:pPr>
      <w:spacing w:before="160" w:after="120"/>
      <w:outlineLvl w:val="3"/>
    </w:pPr>
    <w:rPr>
      <w:sz w:val="22"/>
    </w:rPr>
  </w:style>
  <w:style w:type="paragraph" w:styleId="Heading5">
    <w:name w:val="heading 5"/>
    <w:basedOn w:val="HeadingBase"/>
    <w:next w:val="Normal"/>
    <w:link w:val="Heading5Char"/>
    <w:qFormat/>
    <w:rsid w:val="00AE73B0"/>
    <w:pPr>
      <w:spacing w:before="80"/>
      <w:outlineLvl w:val="4"/>
    </w:pPr>
    <w:rPr>
      <w:color w:val="918585"/>
      <w:sz w:val="20"/>
    </w:rPr>
  </w:style>
  <w:style w:type="paragraph" w:styleId="Heading6">
    <w:name w:val="heading 6"/>
    <w:basedOn w:val="HeadingBase"/>
    <w:next w:val="Normal"/>
    <w:link w:val="Heading6Char"/>
    <w:qFormat/>
    <w:rsid w:val="00AE73B0"/>
    <w:pPr>
      <w:spacing w:before="60"/>
      <w:outlineLvl w:val="5"/>
    </w:pPr>
    <w:rPr>
      <w:color w:val="918585"/>
      <w:sz w:val="20"/>
    </w:rPr>
  </w:style>
  <w:style w:type="paragraph" w:styleId="Heading7">
    <w:name w:val="heading 7"/>
    <w:basedOn w:val="Normal"/>
    <w:next w:val="Normal"/>
    <w:link w:val="Heading7Char"/>
    <w:qFormat/>
    <w:rsid w:val="00AE73B0"/>
    <w:pPr>
      <w:ind w:left="720"/>
      <w:outlineLvl w:val="6"/>
    </w:pPr>
    <w:rPr>
      <w:i/>
    </w:rPr>
  </w:style>
  <w:style w:type="paragraph" w:styleId="Heading8">
    <w:name w:val="heading 8"/>
    <w:basedOn w:val="Normal"/>
    <w:next w:val="Normal"/>
    <w:link w:val="Heading8Char"/>
    <w:qFormat/>
    <w:rsid w:val="00AE73B0"/>
    <w:pPr>
      <w:ind w:left="720"/>
      <w:outlineLvl w:val="7"/>
    </w:pPr>
    <w:rPr>
      <w:i/>
    </w:rPr>
  </w:style>
  <w:style w:type="paragraph" w:styleId="Heading9">
    <w:name w:val="heading 9"/>
    <w:basedOn w:val="Normal"/>
    <w:next w:val="Normal"/>
    <w:link w:val="Heading9Char"/>
    <w:qFormat/>
    <w:rsid w:val="00AE73B0"/>
    <w:pPr>
      <w:ind w:left="720"/>
      <w:outlineLvl w:val="8"/>
    </w:pPr>
    <w:rPr>
      <w:i/>
    </w:rPr>
  </w:style>
  <w:style w:type="character" w:default="1" w:styleId="DefaultParagraphFont">
    <w:name w:val="Default Paragraph Font"/>
    <w:uiPriority w:val="1"/>
    <w:unhideWhenUsed/>
    <w:rsid w:val="00AE7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3B0"/>
  </w:style>
  <w:style w:type="character" w:customStyle="1" w:styleId="Heading1Char">
    <w:name w:val="Heading 1 Char"/>
    <w:basedOn w:val="DefaultParagraphFont"/>
    <w:link w:val="Heading1"/>
    <w:rsid w:val="00AE73B0"/>
    <w:rPr>
      <w:rFonts w:ascii="Times New Roman" w:eastAsia="Times New Roman" w:hAnsi="Times New Roman" w:cs="Times New Roman"/>
      <w:b/>
      <w:sz w:val="32"/>
      <w:szCs w:val="20"/>
      <w:lang w:eastAsia="en-US"/>
    </w:rPr>
  </w:style>
  <w:style w:type="paragraph" w:styleId="BodyText">
    <w:name w:val="Body Text"/>
    <w:basedOn w:val="Normal"/>
    <w:link w:val="BodyTextChar"/>
    <w:rsid w:val="00AE7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3B0"/>
    <w:rPr>
      <w:rFonts w:ascii="Times New Roman" w:eastAsia="Times New Roman" w:hAnsi="Times New Roman" w:cs="Times New Roman"/>
      <w:sz w:val="24"/>
      <w:lang w:eastAsia="en-US"/>
    </w:rPr>
  </w:style>
  <w:style w:type="paragraph" w:styleId="Footer">
    <w:name w:val="footer"/>
    <w:basedOn w:val="Normal"/>
    <w:link w:val="FooterChar"/>
    <w:rsid w:val="00AE7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3B0"/>
    <w:rPr>
      <w:rFonts w:ascii="Times New Roman" w:eastAsia="Times New Roman" w:hAnsi="Times New Roman" w:cs="Times New Roman"/>
      <w:sz w:val="16"/>
      <w:lang w:eastAsia="en-US"/>
    </w:rPr>
  </w:style>
  <w:style w:type="paragraph" w:styleId="List">
    <w:name w:val="List"/>
    <w:basedOn w:val="BodyText"/>
    <w:next w:val="BodyText"/>
    <w:rsid w:val="00AE73B0"/>
    <w:pPr>
      <w:tabs>
        <w:tab w:val="left" w:pos="340"/>
      </w:tabs>
      <w:spacing w:before="60" w:after="60"/>
      <w:ind w:left="340" w:hanging="340"/>
    </w:pPr>
  </w:style>
  <w:style w:type="paragraph" w:styleId="ListBullet">
    <w:name w:val="List Bullet"/>
    <w:basedOn w:val="List"/>
    <w:rsid w:val="00AE73B0"/>
    <w:pPr>
      <w:numPr>
        <w:numId w:val="13"/>
      </w:numPr>
      <w:tabs>
        <w:tab w:val="clear" w:pos="340"/>
      </w:tabs>
      <w:spacing w:before="40" w:after="40"/>
    </w:pPr>
  </w:style>
  <w:style w:type="character" w:customStyle="1" w:styleId="SpecialBold">
    <w:name w:val="Special Bold"/>
    <w:basedOn w:val="DefaultParagraphFont"/>
    <w:rsid w:val="00AE73B0"/>
    <w:rPr>
      <w:b/>
      <w:spacing w:val="0"/>
    </w:rPr>
  </w:style>
  <w:style w:type="paragraph" w:styleId="ListBullet2">
    <w:name w:val="List Bullet 2"/>
    <w:basedOn w:val="List2"/>
    <w:rsid w:val="00AE73B0"/>
    <w:pPr>
      <w:numPr>
        <w:numId w:val="14"/>
      </w:numPr>
      <w:tabs>
        <w:tab w:val="clear" w:pos="680"/>
      </w:tabs>
    </w:pPr>
  </w:style>
  <w:style w:type="paragraph" w:customStyle="1" w:styleId="SuperHeading">
    <w:name w:val="SuperHeading"/>
    <w:basedOn w:val="Normal"/>
    <w:rsid w:val="00AE73B0"/>
    <w:pPr>
      <w:spacing w:before="240" w:after="120"/>
      <w:outlineLvl w:val="0"/>
    </w:pPr>
    <w:rPr>
      <w:rFonts w:ascii="Times New Roman" w:hAnsi="Times New Roman"/>
      <w:b/>
      <w:sz w:val="28"/>
    </w:rPr>
  </w:style>
  <w:style w:type="paragraph" w:customStyle="1" w:styleId="AllowPageBreak">
    <w:name w:val="AllowPageBreak"/>
    <w:rsid w:val="00AE73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3B0"/>
    <w:pPr>
      <w:tabs>
        <w:tab w:val="left" w:pos="680"/>
      </w:tabs>
      <w:spacing w:before="60" w:after="60"/>
      <w:ind w:left="680" w:hanging="340"/>
    </w:pPr>
  </w:style>
  <w:style w:type="character" w:customStyle="1" w:styleId="BoldandItalics">
    <w:name w:val="Bold and Italics"/>
    <w:qFormat/>
    <w:rsid w:val="00AE73B0"/>
    <w:rPr>
      <w:b/>
      <w:i/>
      <w:u w:val="none"/>
    </w:rPr>
  </w:style>
  <w:style w:type="character" w:customStyle="1" w:styleId="Heading2Char">
    <w:name w:val="Heading 2 Char"/>
    <w:basedOn w:val="DefaultParagraphFont"/>
    <w:link w:val="Heading2"/>
    <w:rsid w:val="00AE7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3B0"/>
    <w:rPr>
      <w:rFonts w:ascii="Courier New" w:eastAsia="Times New Roman" w:hAnsi="Courier New" w:cs="Times New Roman"/>
      <w:i/>
      <w:szCs w:val="20"/>
      <w:lang w:eastAsia="en-US"/>
    </w:rPr>
  </w:style>
  <w:style w:type="paragraph" w:customStyle="1" w:styleId="HeadingBase">
    <w:name w:val="Heading Base"/>
    <w:rsid w:val="00AE7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3B0"/>
    <w:pPr>
      <w:tabs>
        <w:tab w:val="right" w:leader="dot" w:pos="9072"/>
      </w:tabs>
      <w:ind w:left="567"/>
    </w:pPr>
    <w:rPr>
      <w:szCs w:val="22"/>
    </w:rPr>
  </w:style>
  <w:style w:type="paragraph" w:customStyle="1" w:styleId="TOCBase">
    <w:name w:val="TOC Base"/>
    <w:rsid w:val="00AE7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3B0"/>
    <w:pPr>
      <w:tabs>
        <w:tab w:val="right" w:leader="dot" w:pos="9072"/>
      </w:tabs>
      <w:spacing w:before="40" w:after="40"/>
      <w:ind w:left="284"/>
    </w:pPr>
    <w:rPr>
      <w:rFonts w:ascii="Times New Roman" w:hAnsi="Times New Roman"/>
    </w:rPr>
  </w:style>
  <w:style w:type="paragraph" w:styleId="TOC1">
    <w:name w:val="toc 1"/>
    <w:basedOn w:val="TOCBase"/>
    <w:next w:val="Normal"/>
    <w:rsid w:val="00AE7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3B0"/>
    <w:pPr>
      <w:spacing w:before="5040"/>
      <w:jc w:val="center"/>
    </w:pPr>
    <w:rPr>
      <w:sz w:val="48"/>
      <w:szCs w:val="72"/>
      <w:lang w:val="en-US"/>
    </w:rPr>
  </w:style>
  <w:style w:type="character" w:customStyle="1" w:styleId="TitleChar">
    <w:name w:val="Title Char"/>
    <w:basedOn w:val="DefaultParagraphFont"/>
    <w:link w:val="Title"/>
    <w:rsid w:val="00AE7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3B0"/>
    <w:pPr>
      <w:tabs>
        <w:tab w:val="left" w:pos="3600"/>
        <w:tab w:val="left" w:pos="3958"/>
      </w:tabs>
    </w:pPr>
  </w:style>
  <w:style w:type="paragraph" w:customStyle="1" w:styleId="Note">
    <w:name w:val="Note"/>
    <w:basedOn w:val="BodyText"/>
    <w:rsid w:val="00AE7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3B0"/>
    <w:pPr>
      <w:framePr w:wrap="auto" w:hAnchor="text" w:y="6049"/>
    </w:pPr>
    <w:rPr>
      <w:color w:val="000000"/>
      <w:sz w:val="40"/>
    </w:rPr>
  </w:style>
  <w:style w:type="paragraph" w:customStyle="1" w:styleId="TOCTitle">
    <w:name w:val="TOCTitle"/>
    <w:basedOn w:val="Heading1"/>
    <w:rsid w:val="00AE73B0"/>
    <w:pPr>
      <w:spacing w:after="240"/>
      <w:jc w:val="center"/>
      <w:outlineLvl w:val="9"/>
    </w:pPr>
    <w:rPr>
      <w:caps/>
    </w:rPr>
  </w:style>
  <w:style w:type="paragraph" w:customStyle="1" w:styleId="Version">
    <w:name w:val="Version"/>
    <w:rsid w:val="00AE7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3B0"/>
    <w:pPr>
      <w:keepNext w:val="0"/>
      <w:tabs>
        <w:tab w:val="right" w:pos="4176"/>
      </w:tabs>
      <w:ind w:left="198" w:hanging="198"/>
    </w:pPr>
    <w:rPr>
      <w:rFonts w:ascii="Garamond" w:hAnsi="Garamond"/>
    </w:rPr>
  </w:style>
  <w:style w:type="paragraph" w:styleId="IndexHeading">
    <w:name w:val="index heading"/>
    <w:basedOn w:val="Normal"/>
    <w:next w:val="Index1"/>
    <w:semiHidden/>
    <w:rsid w:val="00AE73B0"/>
    <w:pPr>
      <w:spacing w:before="120" w:after="120"/>
    </w:pPr>
    <w:rPr>
      <w:rFonts w:ascii="Arial" w:hAnsi="Arial"/>
      <w:b/>
      <w:color w:val="918585"/>
      <w:sz w:val="24"/>
    </w:rPr>
  </w:style>
  <w:style w:type="paragraph" w:styleId="Header">
    <w:name w:val="header"/>
    <w:basedOn w:val="Normal"/>
    <w:link w:val="HeaderChar"/>
    <w:rsid w:val="00AE7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3B0"/>
    <w:rPr>
      <w:rFonts w:ascii="Times New Roman" w:eastAsia="Times New Roman" w:hAnsi="Times New Roman" w:cs="Times New Roman"/>
      <w:sz w:val="16"/>
      <w:szCs w:val="20"/>
      <w:lang w:val="en-GB" w:eastAsia="en-US"/>
    </w:rPr>
  </w:style>
  <w:style w:type="paragraph" w:customStyle="1" w:styleId="Chapter">
    <w:name w:val="Chapter"/>
    <w:basedOn w:val="Normal"/>
    <w:rsid w:val="00AE73B0"/>
    <w:pPr>
      <w:spacing w:before="240"/>
    </w:pPr>
    <w:rPr>
      <w:rFonts w:ascii="Times New Roman" w:hAnsi="Times New Roman"/>
      <w:smallCaps/>
      <w:spacing w:val="80"/>
      <w:sz w:val="28"/>
    </w:rPr>
  </w:style>
  <w:style w:type="paragraph" w:customStyle="1" w:styleId="InChapter">
    <w:name w:val="InChapter"/>
    <w:basedOn w:val="Heading3"/>
    <w:rsid w:val="00AE73B0"/>
    <w:pPr>
      <w:spacing w:after="240"/>
      <w:outlineLvl w:val="9"/>
    </w:pPr>
    <w:rPr>
      <w:noProof/>
    </w:rPr>
  </w:style>
  <w:style w:type="paragraph" w:styleId="Index2">
    <w:name w:val="index 2"/>
    <w:basedOn w:val="Normal"/>
    <w:next w:val="Normal"/>
    <w:semiHidden/>
    <w:rsid w:val="00AE73B0"/>
    <w:pPr>
      <w:tabs>
        <w:tab w:val="right" w:pos="4176"/>
      </w:tabs>
      <w:ind w:left="568" w:hanging="284"/>
    </w:pPr>
    <w:rPr>
      <w:rFonts w:ascii="Garamond" w:hAnsi="Garamond"/>
    </w:rPr>
  </w:style>
  <w:style w:type="paragraph" w:customStyle="1" w:styleId="Byline">
    <w:name w:val="Byline"/>
    <w:rsid w:val="00AE7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3B0"/>
    <w:pPr>
      <w:tabs>
        <w:tab w:val="clear" w:pos="3600"/>
        <w:tab w:val="clear" w:pos="3958"/>
      </w:tabs>
      <w:jc w:val="right"/>
    </w:pPr>
  </w:style>
  <w:style w:type="character" w:styleId="Emphasis">
    <w:name w:val="Emphasis"/>
    <w:basedOn w:val="DefaultParagraphFont"/>
    <w:qFormat/>
    <w:rsid w:val="00AE73B0"/>
    <w:rPr>
      <w:i/>
    </w:rPr>
  </w:style>
  <w:style w:type="paragraph" w:styleId="Caption">
    <w:name w:val="caption"/>
    <w:basedOn w:val="BodyText"/>
    <w:next w:val="Normal"/>
    <w:qFormat/>
    <w:rsid w:val="00AE73B0"/>
    <w:pPr>
      <w:framePr w:w="2268" w:hSpace="181" w:vSpace="181" w:wrap="around" w:vAnchor="text" w:hAnchor="page" w:x="1135" w:y="285" w:anchorLock="1"/>
    </w:pPr>
    <w:rPr>
      <w:i/>
    </w:rPr>
  </w:style>
  <w:style w:type="paragraph" w:customStyle="1" w:styleId="MiniTOCTitle">
    <w:name w:val="MiniTOCTitle"/>
    <w:basedOn w:val="Heading4"/>
    <w:rsid w:val="00AE73B0"/>
    <w:pPr>
      <w:spacing w:before="240"/>
      <w:outlineLvl w:val="9"/>
    </w:pPr>
    <w:rPr>
      <w:noProof/>
      <w:sz w:val="24"/>
    </w:rPr>
  </w:style>
  <w:style w:type="paragraph" w:customStyle="1" w:styleId="MiniTOCItem">
    <w:name w:val="MiniTOCItem"/>
    <w:basedOn w:val="ListBullet"/>
    <w:rsid w:val="00AE73B0"/>
    <w:pPr>
      <w:numPr>
        <w:numId w:val="0"/>
      </w:numPr>
      <w:tabs>
        <w:tab w:val="right" w:leader="dot" w:pos="6521"/>
      </w:tabs>
      <w:spacing w:before="0" w:after="0"/>
    </w:pPr>
  </w:style>
  <w:style w:type="paragraph" w:customStyle="1" w:styleId="TOFTitle">
    <w:name w:val="TOFTitle"/>
    <w:basedOn w:val="TOCTitle"/>
    <w:rsid w:val="00AE73B0"/>
  </w:style>
  <w:style w:type="paragraph" w:styleId="TableofFigures">
    <w:name w:val="table of figures"/>
    <w:basedOn w:val="Normal"/>
    <w:next w:val="Normal"/>
    <w:semiHidden/>
    <w:rsid w:val="00AE73B0"/>
    <w:pPr>
      <w:tabs>
        <w:tab w:val="right" w:leader="dot" w:pos="9072"/>
      </w:tabs>
      <w:ind w:left="970" w:hanging="403"/>
    </w:pPr>
    <w:rPr>
      <w:rFonts w:ascii="Times New Roman" w:hAnsi="Times New Roman"/>
      <w:b/>
    </w:rPr>
  </w:style>
  <w:style w:type="paragraph" w:styleId="ListNumber">
    <w:name w:val="List Number"/>
    <w:basedOn w:val="List"/>
    <w:rsid w:val="00AE73B0"/>
    <w:pPr>
      <w:numPr>
        <w:numId w:val="11"/>
      </w:numPr>
    </w:pPr>
  </w:style>
  <w:style w:type="character" w:customStyle="1" w:styleId="WingdingSymbols">
    <w:name w:val="Wingding Symbols"/>
    <w:rsid w:val="00AE73B0"/>
    <w:rPr>
      <w:rFonts w:ascii="Wingdings" w:hAnsi="Wingdings"/>
    </w:rPr>
  </w:style>
  <w:style w:type="paragraph" w:customStyle="1" w:styleId="TableHeading">
    <w:name w:val="Table Heading"/>
    <w:basedOn w:val="HeadingBase"/>
    <w:rsid w:val="00AE73B0"/>
    <w:pPr>
      <w:keepLines/>
      <w:pBdr>
        <w:bottom w:val="single" w:sz="6" w:space="1" w:color="918585"/>
      </w:pBdr>
      <w:spacing w:before="240"/>
    </w:pPr>
  </w:style>
  <w:style w:type="character" w:customStyle="1" w:styleId="HotSpot">
    <w:name w:val="HotSpot"/>
    <w:rsid w:val="00AE73B0"/>
    <w:rPr>
      <w:color w:val="0033CC"/>
      <w:u w:val="none"/>
    </w:rPr>
  </w:style>
  <w:style w:type="paragraph" w:customStyle="1" w:styleId="BodyTextRight">
    <w:name w:val="Body Text Right"/>
    <w:basedOn w:val="BodyText"/>
    <w:rsid w:val="00AE73B0"/>
    <w:pPr>
      <w:spacing w:before="0" w:after="0"/>
      <w:jc w:val="right"/>
    </w:pPr>
  </w:style>
  <w:style w:type="paragraph" w:styleId="Index3">
    <w:name w:val="index 3"/>
    <w:basedOn w:val="ListNumber2"/>
    <w:next w:val="Normal"/>
    <w:semiHidden/>
    <w:rsid w:val="00AE73B0"/>
    <w:pPr>
      <w:numPr>
        <w:numId w:val="0"/>
      </w:numPr>
      <w:tabs>
        <w:tab w:val="right" w:leader="dot" w:pos="4176"/>
      </w:tabs>
    </w:pPr>
  </w:style>
  <w:style w:type="paragraph" w:styleId="ListNumber2">
    <w:name w:val="List Number 2"/>
    <w:basedOn w:val="List2"/>
    <w:rsid w:val="00AE73B0"/>
    <w:pPr>
      <w:numPr>
        <w:numId w:val="10"/>
      </w:numPr>
      <w:tabs>
        <w:tab w:val="clear" w:pos="1060"/>
      </w:tabs>
    </w:pPr>
  </w:style>
  <w:style w:type="paragraph" w:customStyle="1" w:styleId="MarginNote">
    <w:name w:val="Margin Note"/>
    <w:basedOn w:val="BodyText"/>
    <w:rsid w:val="00AE7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3B0"/>
    <w:rPr>
      <w:sz w:val="32"/>
    </w:rPr>
  </w:style>
  <w:style w:type="paragraph" w:customStyle="1" w:styleId="HeadingProcedure">
    <w:name w:val="Heading Procedure"/>
    <w:basedOn w:val="HeadingBase"/>
    <w:next w:val="Normal"/>
    <w:rsid w:val="00AE73B0"/>
    <w:pPr>
      <w:tabs>
        <w:tab w:val="left" w:pos="0"/>
      </w:tabs>
      <w:spacing w:before="120" w:after="60"/>
    </w:pPr>
    <w:rPr>
      <w:i/>
      <w:color w:val="918585"/>
      <w:sz w:val="22"/>
    </w:rPr>
  </w:style>
  <w:style w:type="paragraph" w:customStyle="1" w:styleId="TableBodyText">
    <w:name w:val="Table Body Text"/>
    <w:basedOn w:val="BodyText"/>
    <w:rsid w:val="00AE73B0"/>
    <w:pPr>
      <w:spacing w:before="60" w:after="60"/>
    </w:pPr>
  </w:style>
  <w:style w:type="paragraph" w:styleId="ListContinue">
    <w:name w:val="List Continue"/>
    <w:basedOn w:val="List"/>
    <w:rsid w:val="00AE73B0"/>
    <w:pPr>
      <w:ind w:firstLine="0"/>
    </w:pPr>
  </w:style>
  <w:style w:type="paragraph" w:customStyle="1" w:styleId="ListNote">
    <w:name w:val="List Note"/>
    <w:basedOn w:val="List"/>
    <w:rsid w:val="00AE73B0"/>
    <w:pPr>
      <w:pBdr>
        <w:top w:val="single" w:sz="6" w:space="2" w:color="918585"/>
        <w:bottom w:val="single" w:sz="6" w:space="2" w:color="918585"/>
      </w:pBdr>
      <w:tabs>
        <w:tab w:val="left" w:pos="1021"/>
      </w:tabs>
      <w:ind w:firstLine="0"/>
    </w:pPr>
  </w:style>
  <w:style w:type="paragraph" w:customStyle="1" w:styleId="Warning">
    <w:name w:val="Warning"/>
    <w:basedOn w:val="BodyText"/>
    <w:rsid w:val="00AE73B0"/>
    <w:pPr>
      <w:shd w:val="clear" w:color="auto" w:fill="D9D9D9"/>
      <w:tabs>
        <w:tab w:val="left" w:pos="992"/>
      </w:tabs>
      <w:ind w:left="119" w:right="119"/>
    </w:pPr>
    <w:rPr>
      <w:sz w:val="20"/>
    </w:rPr>
  </w:style>
  <w:style w:type="paragraph" w:customStyle="1" w:styleId="MarginIcons">
    <w:name w:val="Margin Icons"/>
    <w:basedOn w:val="BodyText"/>
    <w:rsid w:val="00AE7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3B0"/>
    <w:rPr>
      <w:rFonts w:ascii="Courier New" w:hAnsi="Courier New"/>
    </w:rPr>
  </w:style>
  <w:style w:type="paragraph" w:customStyle="1" w:styleId="NoteBullet">
    <w:name w:val="Note Bullet"/>
    <w:basedOn w:val="Note"/>
    <w:rsid w:val="00AE73B0"/>
    <w:pPr>
      <w:tabs>
        <w:tab w:val="clear" w:pos="680"/>
      </w:tabs>
      <w:spacing w:before="60" w:after="60"/>
    </w:pPr>
  </w:style>
  <w:style w:type="paragraph" w:customStyle="1" w:styleId="SubHeading2">
    <w:name w:val="SubHeading2"/>
    <w:basedOn w:val="HeadingBase"/>
    <w:rsid w:val="00AE73B0"/>
    <w:pPr>
      <w:spacing w:before="240" w:after="60"/>
    </w:pPr>
    <w:rPr>
      <w:sz w:val="20"/>
    </w:rPr>
  </w:style>
  <w:style w:type="paragraph" w:customStyle="1" w:styleId="SubHeading1">
    <w:name w:val="SubHeading1"/>
    <w:basedOn w:val="HeadingBase"/>
    <w:rsid w:val="00AE73B0"/>
    <w:pPr>
      <w:spacing w:before="240" w:after="60"/>
    </w:pPr>
    <w:rPr>
      <w:color w:val="918585"/>
      <w:sz w:val="22"/>
    </w:rPr>
  </w:style>
  <w:style w:type="paragraph" w:customStyle="1" w:styleId="SideHeading">
    <w:name w:val="Side Heading"/>
    <w:basedOn w:val="HeadingBase"/>
    <w:rsid w:val="00AE7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3B0"/>
    <w:pPr>
      <w:numPr>
        <w:numId w:val="12"/>
      </w:numPr>
    </w:pPr>
  </w:style>
  <w:style w:type="paragraph" w:styleId="PlainText">
    <w:name w:val="Plain Text"/>
    <w:basedOn w:val="Normal"/>
    <w:link w:val="PlainTextChar"/>
    <w:rsid w:val="00AE73B0"/>
    <w:rPr>
      <w:sz w:val="20"/>
    </w:rPr>
  </w:style>
  <w:style w:type="character" w:customStyle="1" w:styleId="PlainTextChar">
    <w:name w:val="Plain Text Char"/>
    <w:basedOn w:val="DefaultParagraphFont"/>
    <w:link w:val="PlainText"/>
    <w:rsid w:val="00AE73B0"/>
    <w:rPr>
      <w:rFonts w:ascii="Courier New" w:eastAsia="Times New Roman" w:hAnsi="Courier New" w:cs="Times New Roman"/>
      <w:sz w:val="20"/>
      <w:szCs w:val="20"/>
      <w:lang w:eastAsia="en-US"/>
    </w:rPr>
  </w:style>
  <w:style w:type="character" w:customStyle="1" w:styleId="MenuOption">
    <w:name w:val="Menu Option"/>
    <w:basedOn w:val="DefaultParagraphFont"/>
    <w:rsid w:val="00AE73B0"/>
    <w:rPr>
      <w:b/>
      <w:smallCaps/>
    </w:rPr>
  </w:style>
  <w:style w:type="paragraph" w:customStyle="1" w:styleId="TableListNumber">
    <w:name w:val="Table List Number"/>
    <w:basedOn w:val="ListNumber"/>
    <w:rsid w:val="00AE73B0"/>
    <w:pPr>
      <w:numPr>
        <w:numId w:val="0"/>
      </w:numPr>
    </w:pPr>
  </w:style>
  <w:style w:type="paragraph" w:styleId="TOC4">
    <w:name w:val="toc 4"/>
    <w:basedOn w:val="TOCBase"/>
    <w:next w:val="Normal"/>
    <w:semiHidden/>
    <w:rsid w:val="00AE73B0"/>
    <w:pPr>
      <w:tabs>
        <w:tab w:val="right" w:leader="dot" w:pos="9071"/>
      </w:tabs>
      <w:ind w:left="1701"/>
    </w:pPr>
  </w:style>
  <w:style w:type="paragraph" w:customStyle="1" w:styleId="ListAlpha">
    <w:name w:val="List Alpha"/>
    <w:basedOn w:val="List"/>
    <w:rsid w:val="00AE73B0"/>
    <w:pPr>
      <w:numPr>
        <w:numId w:val="9"/>
      </w:numPr>
    </w:pPr>
  </w:style>
  <w:style w:type="paragraph" w:customStyle="1" w:styleId="ListAlpha2">
    <w:name w:val="List Alpha 2"/>
    <w:basedOn w:val="List2"/>
    <w:rsid w:val="00AE73B0"/>
    <w:pPr>
      <w:numPr>
        <w:numId w:val="8"/>
      </w:numPr>
    </w:pPr>
  </w:style>
  <w:style w:type="paragraph" w:styleId="List3">
    <w:name w:val="List 3"/>
    <w:basedOn w:val="BodyText"/>
    <w:rsid w:val="00AE73B0"/>
    <w:pPr>
      <w:tabs>
        <w:tab w:val="left" w:pos="1021"/>
      </w:tabs>
      <w:spacing w:before="60" w:after="60"/>
      <w:ind w:left="1020" w:hanging="340"/>
    </w:pPr>
  </w:style>
  <w:style w:type="paragraph" w:styleId="List4">
    <w:name w:val="List 4"/>
    <w:basedOn w:val="BodyText"/>
    <w:rsid w:val="00AE73B0"/>
    <w:pPr>
      <w:tabs>
        <w:tab w:val="left" w:pos="1361"/>
      </w:tabs>
      <w:spacing w:before="60" w:after="60"/>
      <w:ind w:left="1361" w:hanging="340"/>
    </w:pPr>
  </w:style>
  <w:style w:type="paragraph" w:styleId="List5">
    <w:name w:val="List 5"/>
    <w:basedOn w:val="BodyText"/>
    <w:rsid w:val="00AE73B0"/>
    <w:pPr>
      <w:tabs>
        <w:tab w:val="left" w:pos="1701"/>
      </w:tabs>
      <w:spacing w:before="60" w:after="60"/>
      <w:ind w:left="1701" w:hanging="340"/>
    </w:pPr>
  </w:style>
  <w:style w:type="paragraph" w:styleId="ListBullet3">
    <w:name w:val="List Bullet 3"/>
    <w:basedOn w:val="List3"/>
    <w:rsid w:val="00AE73B0"/>
    <w:pPr>
      <w:numPr>
        <w:numId w:val="15"/>
      </w:numPr>
      <w:tabs>
        <w:tab w:val="clear" w:pos="1021"/>
      </w:tabs>
      <w:ind w:left="1037" w:hanging="357"/>
    </w:pPr>
  </w:style>
  <w:style w:type="paragraph" w:styleId="ListBullet4">
    <w:name w:val="List Bullet 4"/>
    <w:basedOn w:val="List4"/>
    <w:rsid w:val="00AE73B0"/>
    <w:pPr>
      <w:numPr>
        <w:numId w:val="3"/>
      </w:numPr>
    </w:pPr>
  </w:style>
  <w:style w:type="paragraph" w:styleId="ListBullet5">
    <w:name w:val="List Bullet 5"/>
    <w:basedOn w:val="List5"/>
    <w:rsid w:val="00AE73B0"/>
    <w:pPr>
      <w:numPr>
        <w:numId w:val="4"/>
      </w:numPr>
    </w:pPr>
  </w:style>
  <w:style w:type="paragraph" w:styleId="ListContinue2">
    <w:name w:val="List Continue 2"/>
    <w:basedOn w:val="List2"/>
    <w:rsid w:val="00AE73B0"/>
    <w:pPr>
      <w:ind w:firstLine="0"/>
    </w:pPr>
  </w:style>
  <w:style w:type="paragraph" w:styleId="ListContinue3">
    <w:name w:val="List Continue 3"/>
    <w:basedOn w:val="List3"/>
    <w:rsid w:val="00AE73B0"/>
    <w:pPr>
      <w:ind w:left="1021" w:firstLine="0"/>
    </w:pPr>
  </w:style>
  <w:style w:type="paragraph" w:styleId="ListContinue4">
    <w:name w:val="List Continue 4"/>
    <w:basedOn w:val="List4"/>
    <w:rsid w:val="00AE73B0"/>
    <w:pPr>
      <w:ind w:firstLine="0"/>
    </w:pPr>
  </w:style>
  <w:style w:type="paragraph" w:styleId="ListContinue5">
    <w:name w:val="List Continue 5"/>
    <w:basedOn w:val="List5"/>
    <w:rsid w:val="00AE73B0"/>
    <w:pPr>
      <w:ind w:firstLine="0"/>
    </w:pPr>
  </w:style>
  <w:style w:type="paragraph" w:styleId="ListNumber3">
    <w:name w:val="List Number 3"/>
    <w:basedOn w:val="List3"/>
    <w:rsid w:val="00AE73B0"/>
    <w:pPr>
      <w:numPr>
        <w:numId w:val="5"/>
      </w:numPr>
    </w:pPr>
  </w:style>
  <w:style w:type="paragraph" w:styleId="ListNumber4">
    <w:name w:val="List Number 4"/>
    <w:basedOn w:val="List4"/>
    <w:rsid w:val="00AE73B0"/>
    <w:pPr>
      <w:numPr>
        <w:numId w:val="6"/>
      </w:numPr>
    </w:pPr>
  </w:style>
  <w:style w:type="paragraph" w:styleId="ListNumber5">
    <w:name w:val="List Number 5"/>
    <w:basedOn w:val="List5"/>
    <w:rsid w:val="00AE73B0"/>
    <w:pPr>
      <w:numPr>
        <w:numId w:val="7"/>
      </w:numPr>
    </w:pPr>
  </w:style>
  <w:style w:type="paragraph" w:styleId="BlockText">
    <w:name w:val="Block Text"/>
    <w:basedOn w:val="Normal"/>
    <w:rsid w:val="00AE73B0"/>
    <w:pPr>
      <w:spacing w:after="120"/>
      <w:ind w:left="1440" w:right="1440"/>
    </w:pPr>
  </w:style>
  <w:style w:type="character" w:customStyle="1" w:styleId="Subscript">
    <w:name w:val="Subscript"/>
    <w:basedOn w:val="DefaultParagraphFont"/>
    <w:rsid w:val="00AE73B0"/>
    <w:rPr>
      <w:sz w:val="16"/>
      <w:vertAlign w:val="subscript"/>
    </w:rPr>
  </w:style>
  <w:style w:type="character" w:customStyle="1" w:styleId="Superscript">
    <w:name w:val="Superscript"/>
    <w:basedOn w:val="DefaultParagraphFont"/>
    <w:rsid w:val="00AE73B0"/>
    <w:rPr>
      <w:sz w:val="16"/>
      <w:vertAlign w:val="superscript"/>
    </w:rPr>
  </w:style>
  <w:style w:type="character" w:customStyle="1" w:styleId="Symbols">
    <w:name w:val="Symbols"/>
    <w:basedOn w:val="DefaultParagraphFont"/>
    <w:rsid w:val="00AE73B0"/>
    <w:rPr>
      <w:rFonts w:ascii="Symbol" w:hAnsi="Symbol"/>
    </w:rPr>
  </w:style>
  <w:style w:type="character" w:customStyle="1" w:styleId="MenuOptions">
    <w:name w:val="Menu Options"/>
    <w:basedOn w:val="DefaultParagraphFont"/>
    <w:rsid w:val="00AE73B0"/>
    <w:rPr>
      <w:rFonts w:ascii="Arial Narrow" w:hAnsi="Arial Narrow"/>
      <w:smallCaps/>
    </w:rPr>
  </w:style>
  <w:style w:type="character" w:customStyle="1" w:styleId="Buttons">
    <w:name w:val="Buttons"/>
    <w:basedOn w:val="DefaultParagraphFont"/>
    <w:rsid w:val="00AE73B0"/>
    <w:rPr>
      <w:b/>
    </w:rPr>
  </w:style>
  <w:style w:type="character" w:customStyle="1" w:styleId="Underlined">
    <w:name w:val="Underlined"/>
    <w:basedOn w:val="DefaultParagraphFont"/>
    <w:rsid w:val="00AE73B0"/>
    <w:rPr>
      <w:u w:val="single"/>
    </w:rPr>
  </w:style>
  <w:style w:type="paragraph" w:customStyle="1" w:styleId="TableBodyTextRight">
    <w:name w:val="Table Body Text Right"/>
    <w:basedOn w:val="TableBodyText"/>
    <w:rsid w:val="00AE73B0"/>
    <w:pPr>
      <w:widowControl w:val="0"/>
      <w:autoSpaceDE w:val="0"/>
      <w:autoSpaceDN w:val="0"/>
      <w:adjustRightInd w:val="0"/>
      <w:jc w:val="right"/>
    </w:pPr>
    <w:rPr>
      <w:rFonts w:cs="Arial"/>
      <w:szCs w:val="18"/>
    </w:rPr>
  </w:style>
  <w:style w:type="paragraph" w:customStyle="1" w:styleId="CopyrightText">
    <w:name w:val="Copyright Text"/>
    <w:basedOn w:val="BodyText"/>
    <w:rsid w:val="00AE73B0"/>
    <w:rPr>
      <w:sz w:val="18"/>
    </w:rPr>
  </w:style>
  <w:style w:type="paragraph" w:customStyle="1" w:styleId="BodySmallRight">
    <w:name w:val="Body Small Right"/>
    <w:basedOn w:val="BodyTextRight"/>
    <w:rsid w:val="00AE73B0"/>
    <w:rPr>
      <w:sz w:val="18"/>
      <w:szCs w:val="18"/>
    </w:rPr>
  </w:style>
  <w:style w:type="paragraph" w:customStyle="1" w:styleId="MarginEdition">
    <w:name w:val="Margin Edition"/>
    <w:basedOn w:val="MarginNote"/>
    <w:rsid w:val="00AE73B0"/>
    <w:pPr>
      <w:spacing w:before="0" w:after="0"/>
    </w:pPr>
    <w:rPr>
      <w:rFonts w:ascii="Times New Roman" w:hAnsi="Times New Roman"/>
      <w:color w:val="999999"/>
    </w:rPr>
  </w:style>
  <w:style w:type="paragraph" w:customStyle="1" w:styleId="Spacer">
    <w:name w:val="Spacer"/>
    <w:basedOn w:val="Normal"/>
    <w:rsid w:val="00AE73B0"/>
    <w:rPr>
      <w:sz w:val="2"/>
      <w:szCs w:val="2"/>
    </w:rPr>
  </w:style>
  <w:style w:type="character" w:customStyle="1" w:styleId="Small">
    <w:name w:val="Small"/>
    <w:basedOn w:val="DefaultParagraphFont"/>
    <w:rsid w:val="00AE73B0"/>
    <w:rPr>
      <w:sz w:val="16"/>
    </w:rPr>
  </w:style>
  <w:style w:type="paragraph" w:customStyle="1" w:styleId="WideTable">
    <w:name w:val="Wide Table"/>
    <w:basedOn w:val="Normal"/>
    <w:rsid w:val="00AE73B0"/>
    <w:pPr>
      <w:ind w:left="-1418"/>
    </w:pPr>
    <w:rPr>
      <w:sz w:val="2"/>
      <w:szCs w:val="2"/>
    </w:rPr>
  </w:style>
  <w:style w:type="character" w:styleId="PageNumber">
    <w:name w:val="page number"/>
    <w:basedOn w:val="DefaultParagraphFont"/>
    <w:rsid w:val="00AE73B0"/>
  </w:style>
  <w:style w:type="paragraph" w:styleId="Quote">
    <w:name w:val="Quote"/>
    <w:basedOn w:val="Heading1"/>
    <w:link w:val="QuoteChar"/>
    <w:qFormat/>
    <w:rsid w:val="00AE73B0"/>
    <w:rPr>
      <w:b w:val="0"/>
      <w:sz w:val="72"/>
      <w:szCs w:val="72"/>
      <w:lang w:val="en-NZ"/>
    </w:rPr>
  </w:style>
  <w:style w:type="character" w:customStyle="1" w:styleId="QuoteChar">
    <w:name w:val="Quote Char"/>
    <w:basedOn w:val="DefaultParagraphFont"/>
    <w:link w:val="Quote"/>
    <w:rsid w:val="00AE7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3B0"/>
    <w:pPr>
      <w:pageBreakBefore/>
    </w:pPr>
  </w:style>
  <w:style w:type="paragraph" w:customStyle="1" w:styleId="Border">
    <w:name w:val="Border"/>
    <w:basedOn w:val="Normal"/>
    <w:qFormat/>
    <w:rsid w:val="00AE7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3B0"/>
    <w:rPr>
      <w:b/>
      <w:bCs/>
      <w:i/>
      <w:iCs/>
      <w:color w:val="auto"/>
    </w:rPr>
  </w:style>
  <w:style w:type="paragraph" w:styleId="IntenseQuote">
    <w:name w:val="Intense Quote"/>
    <w:basedOn w:val="Normal"/>
    <w:next w:val="Normal"/>
    <w:link w:val="IntenseQuoteChar"/>
    <w:uiPriority w:val="30"/>
    <w:qFormat/>
    <w:rsid w:val="00AE7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3B0"/>
    <w:rPr>
      <w:smallCaps/>
      <w:color w:val="auto"/>
      <w:u w:val="single"/>
    </w:rPr>
  </w:style>
  <w:style w:type="character" w:styleId="IntenseReference">
    <w:name w:val="Intense Reference"/>
    <w:basedOn w:val="DefaultParagraphFont"/>
    <w:uiPriority w:val="32"/>
    <w:qFormat/>
    <w:rsid w:val="00AE73B0"/>
    <w:rPr>
      <w:b/>
      <w:bCs/>
      <w:smallCaps/>
      <w:color w:val="auto"/>
      <w:spacing w:val="5"/>
      <w:u w:val="single"/>
    </w:rPr>
  </w:style>
  <w:style w:type="paragraph" w:customStyle="1" w:styleId="2ColumnHeading">
    <w:name w:val="2Column Heading"/>
    <w:basedOn w:val="BodyText"/>
    <w:qFormat/>
    <w:rsid w:val="00AE73B0"/>
    <w:pPr>
      <w:spacing w:after="60"/>
      <w:ind w:left="-2268"/>
    </w:pPr>
    <w:rPr>
      <w:b/>
    </w:rPr>
  </w:style>
  <w:style w:type="paragraph" w:customStyle="1" w:styleId="Heading1TOC">
    <w:name w:val="Heading1 TOC"/>
    <w:basedOn w:val="Normal"/>
    <w:qFormat/>
    <w:rsid w:val="00AE73B0"/>
    <w:pPr>
      <w:spacing w:before="240" w:after="120"/>
    </w:pPr>
    <w:rPr>
      <w:rFonts w:ascii="Times New Roman" w:hAnsi="Times New Roman"/>
      <w:b/>
      <w:sz w:val="32"/>
    </w:rPr>
  </w:style>
  <w:style w:type="paragraph" w:customStyle="1" w:styleId="Heading2TOC">
    <w:name w:val="Heading2 TOC"/>
    <w:basedOn w:val="Normal"/>
    <w:qFormat/>
    <w:rsid w:val="00AE73B0"/>
    <w:pPr>
      <w:spacing w:before="240" w:after="60"/>
    </w:pPr>
    <w:rPr>
      <w:rFonts w:ascii="Times New Roman" w:hAnsi="Times New Roman"/>
      <w:b/>
      <w:sz w:val="28"/>
    </w:rPr>
  </w:style>
  <w:style w:type="character" w:customStyle="1" w:styleId="Underline">
    <w:name w:val="Underline"/>
    <w:basedOn w:val="DefaultParagraphFont"/>
    <w:qFormat/>
    <w:rsid w:val="00AE73B0"/>
    <w:rPr>
      <w:u w:val="single"/>
    </w:rPr>
  </w:style>
  <w:style w:type="paragraph" w:styleId="BalloonText">
    <w:name w:val="Balloon Text"/>
    <w:basedOn w:val="Normal"/>
    <w:link w:val="BalloonTextChar"/>
    <w:rsid w:val="00AE73B0"/>
    <w:rPr>
      <w:rFonts w:ascii="Tahoma" w:hAnsi="Tahoma" w:cs="Tahoma"/>
      <w:sz w:val="16"/>
      <w:szCs w:val="16"/>
    </w:rPr>
  </w:style>
  <w:style w:type="character" w:customStyle="1" w:styleId="BalloonTextChar">
    <w:name w:val="Balloon Text Char"/>
    <w:basedOn w:val="DefaultParagraphFont"/>
    <w:link w:val="BalloonText"/>
    <w:rsid w:val="00AE7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3B0"/>
    <w:rPr>
      <w:b/>
      <w:color w:val="660033"/>
      <w:spacing w:val="0"/>
    </w:rPr>
  </w:style>
  <w:style w:type="paragraph" w:customStyle="1" w:styleId="Nameditemlist">
    <w:name w:val="Named item list"/>
    <w:basedOn w:val="BodyText"/>
    <w:qFormat/>
    <w:rsid w:val="00AE73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1588</Words>
  <Characters>10412</Characters>
  <Application>Microsoft Office Word</Application>
  <DocSecurity>0</DocSecurity>
  <Lines>387</Lines>
  <Paragraphs>206</Paragraphs>
  <ScaleCrop>false</ScaleCrop>
  <Company>Author-it Software Corporation Ltd.</Company>
  <LinksUpToDate>false</LinksUpToDate>
  <CharactersWithSpaces>11928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SFIPROC601C Establish costs and/or conditions for sale of seafood product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2012-10-11T22:52:00Z</dcterms:created>
  <dcterms:modified xsi:type="dcterms:W3CDTF">2012-10-11T22:52:00Z</dcterms:modified>
</cp:coreProperties>
</file>