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3703" w:rsidP="00E73703">
      <w:pPr>
        <w:pStyle w:val="Title"/>
      </w:pPr>
      <w:r>
        <w:fldChar w:fldCharType="begin"/>
      </w:r>
      <w:r>
        <w:instrText xml:space="preserve"> TITLE   \* MERGEFORMAT </w:instrText>
      </w:r>
      <w:r>
        <w:fldChar w:fldCharType="separate"/>
      </w:r>
      <w:r>
        <w:t>SFIPROC504C Design and manage a product recall</w:t>
      </w:r>
      <w:r>
        <w:fldChar w:fldCharType="end"/>
      </w:r>
    </w:p>
    <w:p w:rsidR="00E73703" w:rsidP="00E73703">
      <w:pPr>
        <w:pStyle w:val="Version"/>
        <w:sectPr w:rsidSect="00AD785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785E" w:rsidP="00AD785E">
      <w:pPr>
        <w:pStyle w:val="SuperHeading"/>
      </w:pPr>
      <w:r w:rsidRPr="00AD785E">
        <w:t>SFIPROC504C Design and manage a product recall</w:t>
      </w:r>
    </w:p>
    <w:p w:rsidR="00000000" w:rsidRPr="00AD785E" w:rsidP="00AD785E">
      <w:pPr>
        <w:pStyle w:val="Heading1"/>
      </w:pPr>
      <w:bookmarkStart w:id="1" w:name="O_273302"/>
      <w:bookmarkEnd w:id="1"/>
      <w:r w:rsidRPr="00AD785E">
        <w:t>Modification History</w:t>
      </w:r>
    </w:p>
    <w:p w:rsidR="00000000" w:rsidRPr="00AD785E" w:rsidP="00AD785E">
      <w:pPr>
        <w:pStyle w:val="BodyText"/>
      </w:pPr>
      <w:r w:rsidRPr="00AD785E">
        <w:t>Not Applicable</w:t>
      </w:r>
    </w:p>
    <w:p w:rsidR="00000000" w:rsidRPr="00AD785E" w:rsidP="00AD785E">
      <w:pPr>
        <w:pStyle w:val="AllowPageBreak"/>
      </w:pPr>
    </w:p>
    <w:p w:rsidR="00000000" w:rsidRPr="00AD785E" w:rsidP="00AD785E">
      <w:pPr>
        <w:pStyle w:val="Heading1"/>
      </w:pPr>
      <w:bookmarkStart w:id="2" w:name="O_218605"/>
      <w:bookmarkEnd w:id="2"/>
      <w:r w:rsidRPr="00AD785E">
        <w:t>Unit Descriptor</w:t>
      </w:r>
    </w:p>
    <w:tbl>
      <w:tblPr>
        <w:tblW w:w="0" w:type="auto"/>
        <w:tblLayout w:type="fixed"/>
        <w:tblCellMar>
          <w:left w:w="62" w:type="dxa"/>
          <w:right w:w="62" w:type="dxa"/>
        </w:tblCellMar>
        <w:tblLook w:val="0000"/>
      </w:tblPr>
      <w:tblGrid>
        <w:gridCol w:w="2659"/>
        <w:gridCol w:w="5863"/>
      </w:tblGrid>
      <w:tr w:rsidTr="00E73703">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85E">
            <w:pPr>
              <w:pStyle w:val="BodyText"/>
              <w:rPr>
                <w:lang w:val="en-NZ"/>
              </w:rPr>
            </w:pPr>
            <w:r w:rsidRPr="00AD785E">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85E" w:rsidP="00AD785E">
            <w:pPr>
              <w:pStyle w:val="BodyText"/>
            </w:pPr>
            <w:r w:rsidRPr="00AD785E">
              <w:t>This unit of competency describes the activities involved in product recall decision making, and managin</w:t>
            </w:r>
            <w:r w:rsidRPr="00AD785E">
              <w:t xml:space="preserve">g the processes involved in accepting and disposing of recalled product in the event of a seafood emergency. </w:t>
            </w:r>
          </w:p>
          <w:p w:rsidR="00000000" w:rsidRPr="00AD785E" w:rsidP="00AD785E">
            <w:pPr>
              <w:pStyle w:val="BodyText"/>
            </w:pPr>
            <w:r w:rsidRPr="00AD785E">
              <w:t xml:space="preserve">It also involves the recognition of activities relating to the withdrawal of products that are found to be an unacceptable risk, such as might be </w:t>
            </w:r>
            <w:r w:rsidRPr="00AD785E">
              <w:t>represented by those items recalled/returned in the course of normal production, and low-risk situations, such as product returned for re-processing or re-packaging.</w:t>
            </w:r>
          </w:p>
          <w:p w:rsidR="00000000" w:rsidRPr="00AD785E" w:rsidP="00AD785E">
            <w:pPr>
              <w:pStyle w:val="BodyText"/>
            </w:pPr>
            <w:r w:rsidRPr="00AD785E">
              <w:t>Licensing, legislative, regulatory or certification requirements may apply to this unit. T</w:t>
            </w:r>
            <w:r w:rsidRPr="00AD785E">
              <w:t>herefore it will be necessary to check with the relevant state or territory regulators for current licensing, legislative or regulatory requirements before undertaking this unit.</w:t>
            </w:r>
          </w:p>
        </w:tc>
      </w:tr>
    </w:tbl>
    <w:p w:rsidR="00E73703" w:rsidP="00AD785E">
      <w:pPr>
        <w:pStyle w:val="BodyText"/>
      </w:pPr>
    </w:p>
    <w:p w:rsidR="00E73703" w:rsidP="00AD785E">
      <w:pPr>
        <w:pStyle w:val="BodyText"/>
      </w:pPr>
    </w:p>
    <w:p w:rsidR="00000000" w:rsidRPr="00AD785E" w:rsidP="00AD785E">
      <w:pPr>
        <w:pStyle w:val="Heading1"/>
      </w:pPr>
      <w:bookmarkStart w:id="3" w:name="O_218609"/>
      <w:bookmarkEnd w:id="3"/>
      <w:r w:rsidRPr="00AD785E">
        <w:t>Application of the Unit</w:t>
      </w:r>
    </w:p>
    <w:tbl>
      <w:tblPr>
        <w:tblW w:w="0" w:type="auto"/>
        <w:tblLayout w:type="fixed"/>
        <w:tblCellMar>
          <w:left w:w="62" w:type="dxa"/>
          <w:right w:w="62" w:type="dxa"/>
        </w:tblCellMar>
        <w:tblLook w:val="0000"/>
      </w:tblPr>
      <w:tblGrid>
        <w:gridCol w:w="2733"/>
        <w:gridCol w:w="5789"/>
      </w:tblGrid>
      <w:tr w:rsidTr="00E73703">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85E">
            <w:pPr>
              <w:pStyle w:val="BodyText"/>
              <w:rPr>
                <w:lang w:val="en-NZ"/>
              </w:rPr>
            </w:pPr>
            <w:r w:rsidRPr="00AD785E">
              <w:rPr>
                <w:rStyle w:val="SpecialBold"/>
              </w:rPr>
              <w:t>Application of the unit</w:t>
            </w:r>
          </w:p>
        </w:tc>
        <w:tc>
          <w:tcPr>
            <w:tcW w:w="57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85E" w:rsidP="00AD785E">
            <w:pPr>
              <w:pStyle w:val="BodyText"/>
            </w:pPr>
            <w:r w:rsidRPr="00AD785E">
              <w:t xml:space="preserve">All enterprise or workplace procedures and activities are carried out according to </w:t>
            </w:r>
            <w:r w:rsidRPr="00AD785E">
              <w:rPr>
                <w:rStyle w:val="BoldandItalics"/>
              </w:rPr>
              <w:t>relevant government regulations</w:t>
            </w:r>
            <w:r w:rsidRPr="00AD785E">
              <w:t xml:space="preserve">, </w:t>
            </w:r>
            <w:r w:rsidRPr="00AD785E">
              <w:rPr>
                <w:rStyle w:val="BoldandItalics"/>
              </w:rPr>
              <w:t>licensing and other compliance requirements</w:t>
            </w:r>
            <w:r w:rsidRPr="00AD785E">
              <w:t xml:space="preserve">, including </w:t>
            </w:r>
            <w:r w:rsidRPr="00AD785E">
              <w:rPr>
                <w:rStyle w:val="BoldandItalics"/>
              </w:rPr>
              <w:t>occupational health and safety</w:t>
            </w:r>
            <w:r w:rsidRPr="00AD785E">
              <w:t xml:space="preserve"> (</w:t>
            </w:r>
            <w:r w:rsidRPr="00AD785E">
              <w:rPr>
                <w:rStyle w:val="BoldandItalics"/>
              </w:rPr>
              <w:t>OHS</w:t>
            </w:r>
            <w:r w:rsidRPr="00AD785E">
              <w:t xml:space="preserve">) </w:t>
            </w:r>
            <w:r w:rsidRPr="00AD785E">
              <w:rPr>
                <w:rStyle w:val="BoldandItalics"/>
              </w:rPr>
              <w:t>guidelines</w:t>
            </w:r>
            <w:r w:rsidRPr="00AD785E">
              <w:t xml:space="preserve">, </w:t>
            </w:r>
            <w:r w:rsidRPr="00AD785E">
              <w:rPr>
                <w:rStyle w:val="BoldandItalics"/>
              </w:rPr>
              <w:t>food safety and hygiene procedures</w:t>
            </w:r>
            <w:r w:rsidRPr="00AD785E">
              <w:t xml:space="preserve"> and </w:t>
            </w:r>
            <w:r w:rsidRPr="00AD785E">
              <w:rPr>
                <w:rStyle w:val="BoldandItalics"/>
              </w:rPr>
              <w:t>ecologically sustainable development</w:t>
            </w:r>
            <w:r w:rsidRPr="00AD785E">
              <w:t xml:space="preserve"> (</w:t>
            </w:r>
            <w:r w:rsidRPr="00AD785E">
              <w:rPr>
                <w:rStyle w:val="BoldandItalics"/>
              </w:rPr>
              <w:t>ESD</w:t>
            </w:r>
            <w:r w:rsidRPr="00AD785E">
              <w:t xml:space="preserve">) </w:t>
            </w:r>
            <w:r w:rsidRPr="00AD785E">
              <w:rPr>
                <w:rStyle w:val="BoldandItalics"/>
              </w:rPr>
              <w:t>principles</w:t>
            </w:r>
            <w:r w:rsidRPr="00AD785E">
              <w:t>.</w:t>
            </w:r>
          </w:p>
        </w:tc>
      </w:tr>
    </w:tbl>
    <w:p w:rsidR="00E73703" w:rsidP="00AD785E">
      <w:pPr>
        <w:pStyle w:val="BodyText"/>
      </w:pPr>
    </w:p>
    <w:p w:rsidR="00E73703" w:rsidP="00AD785E">
      <w:pPr>
        <w:pStyle w:val="BodyText"/>
      </w:pPr>
    </w:p>
    <w:p w:rsidR="00000000" w:rsidRPr="00AD785E" w:rsidP="00AD785E">
      <w:pPr>
        <w:pStyle w:val="Heading1"/>
      </w:pPr>
      <w:bookmarkStart w:id="4" w:name="O_281562"/>
      <w:bookmarkEnd w:id="4"/>
      <w:r w:rsidRPr="00AD785E">
        <w:t>Licensing/Regulatory Information</w:t>
      </w:r>
    </w:p>
    <w:p w:rsidR="00000000" w:rsidRPr="00AD785E" w:rsidP="00AD785E">
      <w:pPr>
        <w:pStyle w:val="BodyText"/>
      </w:pPr>
      <w:r w:rsidRPr="00AD785E">
        <w:t>Refer to Unit Descriptor</w:t>
      </w:r>
    </w:p>
    <w:p w:rsidR="00000000" w:rsidRPr="00AD785E" w:rsidP="00AD785E">
      <w:pPr>
        <w:pStyle w:val="AllowPageBreak"/>
      </w:pPr>
    </w:p>
    <w:p w:rsidR="00000000" w:rsidRPr="00AD785E" w:rsidP="00AD785E">
      <w:pPr>
        <w:pStyle w:val="Heading1"/>
      </w:pPr>
      <w:bookmarkStart w:id="5" w:name="O_218607"/>
      <w:bookmarkEnd w:id="5"/>
      <w:r w:rsidRPr="00AD785E">
        <w:t>Pre-Requisites</w:t>
      </w:r>
    </w:p>
    <w:tbl>
      <w:tblPr>
        <w:tblW w:w="0" w:type="auto"/>
        <w:tblLayout w:type="fixed"/>
        <w:tblCellMar>
          <w:left w:w="62" w:type="dxa"/>
          <w:right w:w="62" w:type="dxa"/>
        </w:tblCellMar>
        <w:tblLook w:val="0000"/>
      </w:tblPr>
      <w:tblGrid>
        <w:gridCol w:w="2775"/>
        <w:gridCol w:w="1295"/>
        <w:gridCol w:w="4452"/>
      </w:tblGrid>
      <w:tr w:rsidTr="00E7370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85E">
            <w:pPr>
              <w:pStyle w:val="BodyText"/>
              <w:rPr>
                <w:lang w:val="en-NZ"/>
              </w:rPr>
            </w:pPr>
            <w:r w:rsidRPr="00AD785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85E">
            <w:pPr>
              <w:pStyle w:val="BodyText"/>
              <w:rPr>
                <w:lang w:val="en-NZ"/>
              </w:rPr>
            </w:pPr>
          </w:p>
        </w:tc>
      </w:tr>
      <w:tr w:rsidTr="00E7370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85E">
            <w:pPr>
              <w:pStyle w:val="BodyText"/>
              <w:rPr>
                <w:lang w:val="en-NZ"/>
              </w:rPr>
            </w:pPr>
          </w:p>
        </w:tc>
      </w:tr>
      <w:tr w:rsidTr="00E7370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85E" w:rsidP="00AD785E">
            <w:pPr>
              <w:pStyle w:val="BodyText"/>
            </w:pPr>
          </w:p>
        </w:tc>
      </w:tr>
    </w:tbl>
    <w:p w:rsidR="00E73703" w:rsidP="00AD785E">
      <w:pPr>
        <w:pStyle w:val="BodyText"/>
      </w:pPr>
    </w:p>
    <w:p w:rsidR="00E73703" w:rsidP="00AD785E">
      <w:pPr>
        <w:pStyle w:val="BodyText"/>
      </w:pPr>
    </w:p>
    <w:p w:rsidR="00000000" w:rsidRPr="00AD785E" w:rsidP="00AD785E">
      <w:pPr>
        <w:pStyle w:val="Heading1"/>
      </w:pPr>
      <w:bookmarkStart w:id="6" w:name="O_218606"/>
      <w:bookmarkEnd w:id="6"/>
      <w:r w:rsidRPr="00AD785E">
        <w:t>Employability Skills Information</w:t>
      </w:r>
    </w:p>
    <w:tbl>
      <w:tblPr>
        <w:tblW w:w="0" w:type="auto"/>
        <w:tblLayout w:type="fixed"/>
        <w:tblCellMar>
          <w:left w:w="62" w:type="dxa"/>
          <w:right w:w="62" w:type="dxa"/>
        </w:tblCellMar>
        <w:tblLook w:val="0000"/>
      </w:tblPr>
      <w:tblGrid>
        <w:gridCol w:w="2802"/>
        <w:gridCol w:w="5720"/>
      </w:tblGrid>
      <w:tr w:rsidTr="00E7370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85E">
            <w:pPr>
              <w:pStyle w:val="BodyText"/>
              <w:rPr>
                <w:lang w:val="en-NZ"/>
              </w:rPr>
            </w:pPr>
            <w:r w:rsidRPr="00AD785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85E" w:rsidP="00AD785E">
            <w:pPr>
              <w:pStyle w:val="BodyText"/>
            </w:pPr>
            <w:r w:rsidRPr="00AD785E">
              <w:t xml:space="preserve">This unit contains employability skills. </w:t>
            </w:r>
          </w:p>
        </w:tc>
      </w:tr>
    </w:tbl>
    <w:p w:rsidR="00E73703" w:rsidP="00AD785E">
      <w:pPr>
        <w:pStyle w:val="BodyText"/>
      </w:pPr>
    </w:p>
    <w:p w:rsidR="00E73703" w:rsidP="00AD785E">
      <w:pPr>
        <w:pStyle w:val="BodyText"/>
      </w:pPr>
    </w:p>
    <w:p w:rsidR="00000000" w:rsidRPr="00AD785E" w:rsidP="00AD785E">
      <w:pPr>
        <w:pStyle w:val="Heading1"/>
      </w:pPr>
      <w:bookmarkStart w:id="7" w:name="O_291348"/>
      <w:bookmarkEnd w:id="7"/>
      <w:r w:rsidRPr="00AD785E">
        <w:t>Elements and Performance Criteria Pre-Content</w:t>
      </w:r>
    </w:p>
    <w:tbl>
      <w:tblPr>
        <w:tblW w:w="0" w:type="auto"/>
        <w:tblLayout w:type="fixed"/>
        <w:tblCellMar>
          <w:left w:w="62" w:type="dxa"/>
          <w:right w:w="62" w:type="dxa"/>
        </w:tblCellMar>
        <w:tblLook w:val="0000"/>
      </w:tblPr>
      <w:tblGrid>
        <w:gridCol w:w="2513"/>
        <w:gridCol w:w="6009"/>
      </w:tblGrid>
      <w:tr w:rsidTr="00E73703">
        <w:tblPrEx>
          <w:tblW w:w="0" w:type="auto"/>
          <w:tblLayout w:type="fixed"/>
          <w:tblCellMar>
            <w:left w:w="62" w:type="dxa"/>
            <w:right w:w="62" w:type="dxa"/>
          </w:tblCellMar>
          <w:tblLook w:val="0000"/>
        </w:tblPrEx>
        <w:tc>
          <w:tcPr>
            <w:tcW w:w="2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85E">
            <w:pPr>
              <w:pStyle w:val="BodyText"/>
              <w:rPr>
                <w:lang w:val="en-NZ"/>
              </w:rPr>
            </w:pPr>
            <w:r w:rsidRPr="00AD785E">
              <w:t>Elements describe the essential outcomes of a unit of competency.</w:t>
            </w:r>
          </w:p>
        </w:tc>
        <w:tc>
          <w:tcPr>
            <w:tcW w:w="6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85E" w:rsidP="00AD785E">
            <w:pPr>
              <w:pStyle w:val="BodyText"/>
            </w:pPr>
            <w:r w:rsidRPr="00AD785E">
              <w:t>Performance criteria describe the performance needed to demon</w:t>
            </w:r>
            <w:r w:rsidRPr="00AD785E">
              <w:t>strate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AD785E" w:rsidP="00AD785E">
      <w:pPr>
        <w:pStyle w:val="BodyText"/>
      </w:pPr>
    </w:p>
    <w:p w:rsidR="00000000" w:rsidRPr="00AD785E" w:rsidP="00AD785E">
      <w:pPr>
        <w:pStyle w:val="AllowPageBreak"/>
      </w:pPr>
    </w:p>
    <w:p w:rsidR="00000000" w:rsidRPr="00AD785E" w:rsidP="00AD785E">
      <w:pPr>
        <w:pStyle w:val="Heading1"/>
      </w:pPr>
      <w:bookmarkStart w:id="8" w:name="O_238016"/>
      <w:bookmarkEnd w:id="8"/>
      <w:r w:rsidRPr="00AD785E">
        <w:t>Elements and Performance Criteria</w:t>
      </w:r>
    </w:p>
    <w:tbl>
      <w:tblPr>
        <w:tblW w:w="0" w:type="auto"/>
        <w:tblLayout w:type="fixed"/>
        <w:tblCellMar>
          <w:left w:w="62" w:type="dxa"/>
          <w:right w:w="62" w:type="dxa"/>
        </w:tblCellMar>
        <w:tblLook w:val="0000"/>
      </w:tblPr>
      <w:tblGrid>
        <w:gridCol w:w="2513"/>
        <w:gridCol w:w="6009"/>
      </w:tblGrid>
      <w:tr w:rsidTr="00E73703">
        <w:tblPrEx>
          <w:tblW w:w="0" w:type="auto"/>
          <w:tblLayout w:type="fixed"/>
          <w:tblCellMar>
            <w:left w:w="62" w:type="dxa"/>
            <w:right w:w="62" w:type="dxa"/>
          </w:tblCellMar>
          <w:tblLook w:val="0000"/>
        </w:tblPrEx>
        <w:trPr>
          <w:tblHeader/>
        </w:trPr>
        <w:tc>
          <w:tcPr>
            <w:tcW w:w="2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85E" w:rsidP="00AD785E">
            <w:pPr>
              <w:pStyle w:val="BodyText"/>
            </w:pPr>
            <w:r w:rsidRPr="00AD785E">
              <w:rPr>
                <w:rStyle w:val="SpecialBold"/>
              </w:rPr>
              <w:t>ELEMENT</w:t>
            </w:r>
          </w:p>
        </w:tc>
        <w:tc>
          <w:tcPr>
            <w:tcW w:w="6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85E">
            <w:pPr>
              <w:pStyle w:val="BodyText"/>
              <w:rPr>
                <w:lang w:val="en-NZ"/>
              </w:rPr>
            </w:pPr>
            <w:r w:rsidRPr="00AD785E">
              <w:rPr>
                <w:rStyle w:val="SpecialBold"/>
              </w:rPr>
              <w:t>PERFORMANCE CRITERIA</w:t>
            </w:r>
          </w:p>
        </w:tc>
      </w:tr>
      <w:tr w:rsidTr="00E73703">
        <w:tblPrEx>
          <w:tblW w:w="0" w:type="auto"/>
          <w:tblLayout w:type="fixed"/>
          <w:tblCellMar>
            <w:left w:w="62" w:type="dxa"/>
            <w:right w:w="62" w:type="dxa"/>
          </w:tblCellMar>
          <w:tblLook w:val="0000"/>
        </w:tblPrEx>
        <w:tc>
          <w:tcPr>
            <w:tcW w:w="2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85E">
            <w:pPr>
              <w:pStyle w:val="List"/>
              <w:rPr>
                <w:lang w:val="en-NZ"/>
              </w:rPr>
            </w:pPr>
            <w:r w:rsidRPr="00AD785E">
              <w:t>1.</w:t>
            </w:r>
            <w:r w:rsidRPr="00AD785E">
              <w:tab/>
              <w:t xml:space="preserve">Gather evidence to determine advisability of </w:t>
            </w:r>
            <w:r w:rsidRPr="00AD785E">
              <w:rPr>
                <w:rStyle w:val="BoldandItalics"/>
              </w:rPr>
              <w:t>product recall</w:t>
            </w:r>
          </w:p>
        </w:tc>
        <w:tc>
          <w:tcPr>
            <w:tcW w:w="6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85E" w:rsidP="00AD785E">
            <w:pPr>
              <w:pStyle w:val="List2"/>
            </w:pPr>
            <w:r w:rsidRPr="00AD785E">
              <w:t>1.1.</w:t>
            </w:r>
            <w:r w:rsidRPr="00AD785E">
              <w:tab/>
              <w:t xml:space="preserve">Information and/or inputs from production, regulators or customers are monitored to ensure </w:t>
            </w:r>
            <w:r w:rsidRPr="00AD785E">
              <w:rPr>
                <w:rStyle w:val="BoldandItalics"/>
              </w:rPr>
              <w:t>conformance with specifications</w:t>
            </w:r>
            <w:r w:rsidRPr="00AD785E">
              <w:t xml:space="preserve">. </w:t>
            </w:r>
          </w:p>
          <w:p w:rsidR="00000000" w:rsidRPr="00AD785E" w:rsidP="00AD785E">
            <w:pPr>
              <w:pStyle w:val="List2"/>
            </w:pPr>
            <w:r w:rsidRPr="00AD785E">
              <w:t>1.2.</w:t>
            </w:r>
            <w:r w:rsidRPr="00AD785E">
              <w:tab/>
              <w:t>Non-conformance is analysed and a risk assessment conducted to determine source of problem and potential outcome.</w:t>
            </w:r>
          </w:p>
          <w:p w:rsidR="00000000" w:rsidRPr="00AD785E" w:rsidP="00AD785E">
            <w:pPr>
              <w:pStyle w:val="List2"/>
            </w:pPr>
            <w:r w:rsidRPr="00AD785E">
              <w:t>1.3.</w:t>
            </w:r>
            <w:r w:rsidRPr="00AD785E">
              <w:tab/>
              <w:t>Non-conformance of a scale to warrant recall action is reported to appropriate personnel/agencies.</w:t>
            </w:r>
          </w:p>
          <w:p w:rsidR="00000000" w:rsidRPr="00AD785E" w:rsidP="00AD785E">
            <w:pPr>
              <w:pStyle w:val="List2"/>
            </w:pPr>
            <w:r w:rsidRPr="00AD785E">
              <w:t>1.4.</w:t>
            </w:r>
            <w:r w:rsidRPr="00AD785E">
              <w:tab/>
              <w:t>Decision to recall product is taken in a timely manner.</w:t>
            </w:r>
          </w:p>
          <w:p w:rsidR="00000000" w:rsidP="00AD785E">
            <w:pPr>
              <w:pStyle w:val="List2"/>
              <w:rPr>
                <w:lang w:val="en-NZ"/>
              </w:rPr>
            </w:pPr>
            <w:r w:rsidRPr="00AD785E">
              <w:t>1.5.</w:t>
            </w:r>
            <w:r w:rsidRPr="00AD785E">
              <w:tab/>
              <w:t xml:space="preserve">Protocol for </w:t>
            </w:r>
            <w:r w:rsidRPr="00AD785E">
              <w:rPr>
                <w:rStyle w:val="BoldandItalics"/>
              </w:rPr>
              <w:t>engaging the media</w:t>
            </w:r>
            <w:r w:rsidRPr="00AD785E">
              <w:t xml:space="preserve"> during the recall is developed and agreed between the </w:t>
            </w:r>
            <w:r w:rsidRPr="00AD785E">
              <w:rPr>
                <w:rStyle w:val="BoldandItalics"/>
              </w:rPr>
              <w:t>relevant parties</w:t>
            </w:r>
            <w:r w:rsidRPr="00AD785E">
              <w:t xml:space="preserve">. </w:t>
            </w:r>
          </w:p>
        </w:tc>
      </w:tr>
      <w:tr w:rsidTr="00E73703">
        <w:tblPrEx>
          <w:tblW w:w="0" w:type="auto"/>
          <w:tblLayout w:type="fixed"/>
          <w:tblCellMar>
            <w:left w:w="62" w:type="dxa"/>
            <w:right w:w="62" w:type="dxa"/>
          </w:tblCellMar>
          <w:tblLook w:val="0000"/>
        </w:tblPrEx>
        <w:tc>
          <w:tcPr>
            <w:tcW w:w="2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85E">
            <w:pPr>
              <w:pStyle w:val="List"/>
              <w:rPr>
                <w:lang w:val="en-NZ"/>
              </w:rPr>
            </w:pPr>
            <w:r w:rsidRPr="00AD785E">
              <w:t>2.</w:t>
            </w:r>
            <w:r w:rsidRPr="00AD785E">
              <w:tab/>
              <w:t>Manage recall process and associated record keeping</w:t>
            </w:r>
          </w:p>
        </w:tc>
        <w:tc>
          <w:tcPr>
            <w:tcW w:w="6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85E" w:rsidP="00AD785E">
            <w:pPr>
              <w:pStyle w:val="List2"/>
            </w:pPr>
            <w:r w:rsidRPr="00AD785E">
              <w:t>2.1.</w:t>
            </w:r>
            <w:r w:rsidRPr="00AD785E">
              <w:tab/>
              <w:t>Protocol for acceptance</w:t>
            </w:r>
            <w:r w:rsidRPr="00AD785E">
              <w:t xml:space="preserve"> of recalled product is developed and agreed between the relevant parties.</w:t>
            </w:r>
          </w:p>
          <w:p w:rsidR="00000000" w:rsidRPr="00AD785E" w:rsidP="00AD785E">
            <w:pPr>
              <w:pStyle w:val="List2"/>
            </w:pPr>
            <w:r w:rsidRPr="00AD785E">
              <w:t>2.2.</w:t>
            </w:r>
            <w:r w:rsidRPr="00AD785E">
              <w:tab/>
              <w:t xml:space="preserve">The need for, and level of, </w:t>
            </w:r>
            <w:r w:rsidRPr="00AD785E">
              <w:rPr>
                <w:rStyle w:val="BoldandItalics"/>
              </w:rPr>
              <w:t>isolation</w:t>
            </w:r>
            <w:r w:rsidRPr="00AD785E">
              <w:t xml:space="preserve"> of returned product is communicated to all personnel. </w:t>
            </w:r>
          </w:p>
          <w:p w:rsidR="00000000" w:rsidRPr="00AD785E" w:rsidP="00AD785E">
            <w:pPr>
              <w:pStyle w:val="List2"/>
            </w:pPr>
            <w:r w:rsidRPr="00AD785E">
              <w:t>2.3.</w:t>
            </w:r>
            <w:r w:rsidRPr="00AD785E">
              <w:tab/>
              <w:t>Accurate records of current stocks and returned product are maintained through</w:t>
            </w:r>
            <w:r w:rsidRPr="00AD785E">
              <w:t>out recall period.</w:t>
            </w:r>
          </w:p>
          <w:p w:rsidR="00000000" w:rsidP="00AD785E">
            <w:pPr>
              <w:pStyle w:val="List2"/>
              <w:rPr>
                <w:lang w:val="en-NZ"/>
              </w:rPr>
            </w:pPr>
            <w:r w:rsidRPr="00AD785E">
              <w:t>2.4.</w:t>
            </w:r>
            <w:r w:rsidRPr="00AD785E">
              <w:tab/>
              <w:t>Records are stored according to third-party requirements.</w:t>
            </w:r>
          </w:p>
        </w:tc>
      </w:tr>
      <w:tr w:rsidTr="00E73703">
        <w:tblPrEx>
          <w:tblW w:w="0" w:type="auto"/>
          <w:tblLayout w:type="fixed"/>
          <w:tblCellMar>
            <w:left w:w="62" w:type="dxa"/>
            <w:right w:w="62" w:type="dxa"/>
          </w:tblCellMar>
          <w:tblLook w:val="0000"/>
        </w:tblPrEx>
        <w:tc>
          <w:tcPr>
            <w:tcW w:w="2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85E">
            <w:pPr>
              <w:pStyle w:val="List"/>
              <w:rPr>
                <w:lang w:val="en-NZ"/>
              </w:rPr>
            </w:pPr>
            <w:r w:rsidRPr="00AD785E">
              <w:t>3.</w:t>
            </w:r>
            <w:r w:rsidRPr="00AD785E">
              <w:tab/>
              <w:t>Oversee re-introduction, disposal and/or destruction of recalled product</w:t>
            </w:r>
          </w:p>
        </w:tc>
        <w:tc>
          <w:tcPr>
            <w:tcW w:w="6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85E" w:rsidP="00AD785E">
            <w:pPr>
              <w:pStyle w:val="List2"/>
            </w:pPr>
            <w:r w:rsidRPr="00AD785E">
              <w:t>3.1.</w:t>
            </w:r>
            <w:r w:rsidRPr="00AD785E">
              <w:tab/>
            </w:r>
            <w:r w:rsidRPr="00AD785E">
              <w:t>Returned product is isolated from current stocks, product or facilities in a manner consistent with the level of recall.</w:t>
            </w:r>
          </w:p>
          <w:p w:rsidR="00000000" w:rsidP="00AD785E">
            <w:pPr>
              <w:pStyle w:val="List2"/>
              <w:rPr>
                <w:lang w:val="en-NZ"/>
              </w:rPr>
            </w:pPr>
            <w:r w:rsidRPr="00AD785E">
              <w:t>3.2.</w:t>
            </w:r>
            <w:r w:rsidRPr="00AD785E">
              <w:tab/>
            </w:r>
            <w:r w:rsidRPr="00AD785E">
              <w:rPr>
                <w:rStyle w:val="BoldandItalics"/>
              </w:rPr>
              <w:t>Disposal or destruction processes</w:t>
            </w:r>
            <w:r w:rsidRPr="00AD785E">
              <w:t xml:space="preserve"> are implemented according to third-party procedures. </w:t>
            </w:r>
          </w:p>
        </w:tc>
      </w:tr>
      <w:tr w:rsidTr="00E73703">
        <w:tblPrEx>
          <w:tblW w:w="0" w:type="auto"/>
          <w:tblLayout w:type="fixed"/>
          <w:tblCellMar>
            <w:left w:w="62" w:type="dxa"/>
            <w:right w:w="62" w:type="dxa"/>
          </w:tblCellMar>
          <w:tblLook w:val="0000"/>
        </w:tblPrEx>
        <w:tc>
          <w:tcPr>
            <w:tcW w:w="2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85E">
            <w:pPr>
              <w:pStyle w:val="List"/>
              <w:rPr>
                <w:lang w:val="en-NZ"/>
              </w:rPr>
            </w:pPr>
            <w:r w:rsidRPr="00AD785E">
              <w:t>4.</w:t>
            </w:r>
            <w:r w:rsidRPr="00AD785E">
              <w:tab/>
              <w:t>Conduct post-recall review</w:t>
            </w:r>
          </w:p>
        </w:tc>
        <w:tc>
          <w:tcPr>
            <w:tcW w:w="6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85E" w:rsidP="00AD785E">
            <w:pPr>
              <w:pStyle w:val="List2"/>
            </w:pPr>
            <w:r w:rsidRPr="00AD785E">
              <w:t>4.1.</w:t>
            </w:r>
            <w:r w:rsidRPr="00AD785E">
              <w:tab/>
              <w:t>A revi</w:t>
            </w:r>
            <w:r w:rsidRPr="00AD785E">
              <w:t>ew encompassing all aspects of recall is initiated.</w:t>
            </w:r>
          </w:p>
          <w:p w:rsidR="00000000" w:rsidRPr="00AD785E" w:rsidP="00AD785E">
            <w:pPr>
              <w:pStyle w:val="List2"/>
            </w:pPr>
            <w:r w:rsidRPr="00AD785E">
              <w:t>4.2.</w:t>
            </w:r>
            <w:r w:rsidRPr="00AD785E">
              <w:tab/>
              <w:t>A comprehensive report identifying source of problem is prepared.</w:t>
            </w:r>
          </w:p>
          <w:p w:rsidR="00000000" w:rsidRPr="00AD785E" w:rsidP="00AD785E">
            <w:pPr>
              <w:pStyle w:val="List2"/>
            </w:pPr>
            <w:r w:rsidRPr="00AD785E">
              <w:t>4.3.</w:t>
            </w:r>
            <w:r w:rsidRPr="00AD785E">
              <w:tab/>
              <w:t>Recommendations to prevent re-occurrence are developed and forwarded to appropriate personnel/agencies.</w:t>
            </w:r>
          </w:p>
        </w:tc>
      </w:tr>
    </w:tbl>
    <w:p w:rsidR="00E73703" w:rsidP="00AD785E">
      <w:pPr>
        <w:pStyle w:val="BodyText"/>
      </w:pPr>
    </w:p>
    <w:p w:rsidR="00E73703" w:rsidP="00AD785E">
      <w:pPr>
        <w:pStyle w:val="BodyText"/>
      </w:pPr>
    </w:p>
    <w:p w:rsidR="00000000" w:rsidRPr="00AD785E" w:rsidP="00AD785E">
      <w:pPr>
        <w:pStyle w:val="Heading1"/>
      </w:pPr>
      <w:bookmarkStart w:id="9" w:name="O_261807"/>
      <w:bookmarkEnd w:id="9"/>
      <w:r w:rsidRPr="00AD785E">
        <w:t>Required Skills and Knowledge</w:t>
      </w:r>
    </w:p>
    <w:tbl>
      <w:tblPr>
        <w:tblW w:w="0" w:type="auto"/>
        <w:tblLayout w:type="fixed"/>
        <w:tblCellMar>
          <w:left w:w="62" w:type="dxa"/>
          <w:right w:w="62" w:type="dxa"/>
        </w:tblCellMar>
        <w:tblLook w:val="0000"/>
      </w:tblPr>
      <w:tblGrid>
        <w:gridCol w:w="8522"/>
      </w:tblGrid>
      <w:tr w:rsidTr="00E7370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85E">
            <w:pPr>
              <w:pStyle w:val="BodyText"/>
              <w:rPr>
                <w:lang w:val="en-NZ"/>
              </w:rPr>
            </w:pPr>
            <w:r w:rsidRPr="00AD785E">
              <w:rPr>
                <w:rStyle w:val="SpecialBold"/>
              </w:rPr>
              <w:t>REQUIRED SKILLS AND KNOWLEDGE</w:t>
            </w:r>
          </w:p>
        </w:tc>
      </w:tr>
      <w:tr w:rsidTr="00E7370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85E">
            <w:pPr>
              <w:pStyle w:val="BodyText"/>
              <w:rPr>
                <w:lang w:val="en-NZ"/>
              </w:rPr>
            </w:pPr>
            <w:r w:rsidRPr="00AD785E">
              <w:t>This section describes the skills and knowledge required for this unit.</w:t>
            </w:r>
          </w:p>
        </w:tc>
      </w:tr>
      <w:tr w:rsidTr="00E7370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85E">
            <w:pPr>
              <w:pStyle w:val="BodyText"/>
              <w:rPr>
                <w:lang w:val="en-NZ"/>
              </w:rPr>
            </w:pPr>
            <w:r w:rsidRPr="00AD785E">
              <w:rPr>
                <w:rStyle w:val="SpecialBold"/>
              </w:rPr>
              <w:t>Required skills</w:t>
            </w:r>
          </w:p>
        </w:tc>
      </w:tr>
      <w:tr w:rsidTr="00E7370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85E" w:rsidP="00AD785E">
            <w:pPr>
              <w:pStyle w:val="ListBullet"/>
            </w:pPr>
            <w:r w:rsidRPr="00AD785E">
              <w:t xml:space="preserve">communicating food standards to staff </w:t>
            </w:r>
          </w:p>
          <w:p w:rsidR="00000000" w:rsidRPr="00AD785E" w:rsidP="00AD785E">
            <w:pPr>
              <w:pStyle w:val="ListBullet"/>
            </w:pPr>
            <w:r w:rsidRPr="00AD785E">
              <w:t>communicating with management and other key stakeholders</w:t>
            </w:r>
          </w:p>
          <w:p w:rsidR="00000000" w:rsidRPr="00AD785E" w:rsidP="00AD785E">
            <w:pPr>
              <w:pStyle w:val="ListBullet"/>
            </w:pPr>
            <w:r w:rsidRPr="00AD785E">
              <w:t>discriminating between the need to recall food product in the normal course of business and a recall based on a serious public health risk</w:t>
            </w:r>
          </w:p>
          <w:p w:rsidR="00000000" w:rsidRPr="00AD785E" w:rsidP="00AD785E">
            <w:pPr>
              <w:pStyle w:val="ListBullet"/>
            </w:pPr>
            <w:r w:rsidRPr="00AD785E">
              <w:t>implementing recall measures in a timely manner</w:t>
            </w:r>
          </w:p>
          <w:p w:rsidR="00000000" w:rsidRPr="00AD785E" w:rsidP="00AD785E">
            <w:pPr>
              <w:pStyle w:val="ListBullet"/>
            </w:pPr>
            <w:r w:rsidRPr="00AD785E">
              <w:t xml:space="preserve">maintaining </w:t>
            </w:r>
            <w:r w:rsidRPr="00AD785E">
              <w:t>relationships with clients and customers during the course of a product recall</w:t>
            </w:r>
          </w:p>
          <w:p w:rsidR="00000000" w:rsidRPr="00AD785E" w:rsidP="00AD785E">
            <w:pPr>
              <w:pStyle w:val="ListBullet"/>
            </w:pPr>
            <w:r w:rsidRPr="00AD785E">
              <w:t>maintaining safe working practices in an emergency setting</w:t>
            </w:r>
          </w:p>
          <w:p w:rsidR="00000000" w:rsidRPr="00AD785E" w:rsidP="00AD785E">
            <w:pPr>
              <w:pStyle w:val="ListBullet"/>
            </w:pPr>
            <w:r w:rsidRPr="00AD785E">
              <w:t>managing media contact</w:t>
            </w:r>
          </w:p>
          <w:p w:rsidR="00000000" w:rsidRPr="00AD785E" w:rsidP="00AD785E">
            <w:pPr>
              <w:pStyle w:val="ListBullet"/>
            </w:pPr>
            <w:r w:rsidRPr="00AD785E">
              <w:t>managing own work and that of work teams while under close scrutiny</w:t>
            </w:r>
          </w:p>
          <w:p w:rsidR="00000000" w:rsidRPr="00AD785E" w:rsidP="00AD785E">
            <w:pPr>
              <w:pStyle w:val="ListBullet"/>
            </w:pPr>
            <w:r w:rsidRPr="00AD785E">
              <w:t>sorting, collecting, treati</w:t>
            </w:r>
            <w:r w:rsidRPr="00AD785E">
              <w:t>ng, disposing and/or recycling of returned product or wastes.</w:t>
            </w:r>
          </w:p>
          <w:p w:rsidR="00000000" w:rsidRPr="00AD785E" w:rsidP="00AD785E">
            <w:pPr>
              <w:pStyle w:val="BodyText"/>
            </w:pPr>
          </w:p>
          <w:p w:rsidR="00000000" w:rsidRPr="00AD785E" w:rsidP="00AD785E">
            <w:pPr>
              <w:pStyle w:val="BodyText"/>
            </w:pPr>
            <w:r w:rsidRPr="00AD785E">
              <w:rPr>
                <w:rStyle w:val="SpecialBold"/>
              </w:rPr>
              <w:t>Literacy skills used for</w:t>
            </w:r>
            <w:r w:rsidRPr="00AD785E">
              <w:t>:</w:t>
            </w:r>
          </w:p>
          <w:p w:rsidR="00000000" w:rsidRPr="00AD785E" w:rsidP="00AD785E">
            <w:pPr>
              <w:pStyle w:val="ListBullet"/>
            </w:pPr>
            <w:r w:rsidRPr="00AD785E">
              <w:t>analysing reports to determine improvements</w:t>
            </w:r>
          </w:p>
          <w:p w:rsidR="00000000" w:rsidRPr="00AD785E" w:rsidP="00AD785E">
            <w:pPr>
              <w:pStyle w:val="ListBullet"/>
            </w:pPr>
            <w:r w:rsidRPr="00AD785E">
              <w:t>preparing reports</w:t>
            </w:r>
          </w:p>
          <w:p w:rsidR="00000000" w:rsidRPr="00AD785E" w:rsidP="00AD785E">
            <w:pPr>
              <w:pStyle w:val="ListBullet"/>
            </w:pPr>
            <w:r w:rsidRPr="00AD785E">
              <w:t>recording and reporting information</w:t>
            </w:r>
          </w:p>
          <w:p w:rsidR="00000000" w:rsidRPr="00AD785E" w:rsidP="00AD785E">
            <w:pPr>
              <w:pStyle w:val="ListBullet"/>
            </w:pPr>
            <w:r w:rsidRPr="00AD785E">
              <w:t>reading and interpreting food standards and recall protocols</w:t>
            </w:r>
          </w:p>
          <w:p w:rsidR="00000000" w:rsidRPr="00AD785E" w:rsidP="00AD785E">
            <w:pPr>
              <w:pStyle w:val="ListBullet"/>
            </w:pPr>
            <w:r w:rsidRPr="00AD785E">
              <w:t>writing media releases</w:t>
            </w:r>
          </w:p>
          <w:p w:rsidR="00000000" w:rsidRPr="00AD785E" w:rsidP="00AD785E">
            <w:pPr>
              <w:pStyle w:val="ListBullet"/>
            </w:pPr>
            <w:r w:rsidRPr="00AD785E">
              <w:t>using records for traceability.</w:t>
            </w:r>
          </w:p>
          <w:p w:rsidR="00000000" w:rsidRPr="00AD785E" w:rsidP="00AD785E">
            <w:pPr>
              <w:pStyle w:val="BodyText"/>
            </w:pPr>
          </w:p>
          <w:p w:rsidR="00000000" w:rsidRPr="00AD785E" w:rsidP="00AD785E">
            <w:pPr>
              <w:pStyle w:val="BodyText"/>
            </w:pPr>
            <w:r w:rsidRPr="00AD785E">
              <w:rPr>
                <w:rStyle w:val="SpecialBold"/>
              </w:rPr>
              <w:t>Numeracy skills used for</w:t>
            </w:r>
            <w:r w:rsidRPr="00AD785E">
              <w:t xml:space="preserve">: </w:t>
            </w:r>
          </w:p>
          <w:p w:rsidR="00000000" w:rsidRPr="00AD785E" w:rsidP="00AD785E">
            <w:pPr>
              <w:pStyle w:val="ListBullet"/>
            </w:pPr>
            <w:r w:rsidRPr="00AD785E">
              <w:t>calculating volumes</w:t>
            </w:r>
          </w:p>
          <w:p w:rsidR="00000000" w:rsidRPr="00AD785E" w:rsidP="00AD785E">
            <w:pPr>
              <w:pStyle w:val="ListBullet"/>
            </w:pPr>
            <w:r w:rsidRPr="00AD785E">
              <w:t>estimating time including use-by-dates and product shelf life</w:t>
            </w:r>
          </w:p>
          <w:p w:rsidR="00000000" w:rsidP="00AD785E">
            <w:pPr>
              <w:pStyle w:val="ListBullet"/>
              <w:rPr>
                <w:lang w:val="en-NZ"/>
              </w:rPr>
            </w:pPr>
            <w:r w:rsidRPr="00AD785E">
              <w:t>reading and analysing production data.</w:t>
            </w:r>
          </w:p>
        </w:tc>
      </w:tr>
      <w:tr w:rsidTr="00E7370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85E">
            <w:pPr>
              <w:pStyle w:val="BodyText"/>
              <w:rPr>
                <w:lang w:val="en-NZ"/>
              </w:rPr>
            </w:pPr>
            <w:r w:rsidRPr="00AD785E">
              <w:rPr>
                <w:rStyle w:val="SpecialBold"/>
              </w:rPr>
              <w:t>Required knowledge</w:t>
            </w:r>
          </w:p>
        </w:tc>
      </w:tr>
      <w:tr w:rsidTr="00E7370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85E" w:rsidP="00AD785E">
            <w:pPr>
              <w:pStyle w:val="ListBullet"/>
            </w:pPr>
            <w:r w:rsidRPr="00AD785E">
              <w:t>causes and effects of contami</w:t>
            </w:r>
            <w:r w:rsidRPr="00AD785E">
              <w:t>nation and cross-contamination and corrective actions required</w:t>
            </w:r>
          </w:p>
          <w:p w:rsidR="00000000" w:rsidRPr="00AD785E" w:rsidP="00AD785E">
            <w:pPr>
              <w:pStyle w:val="ListBullet"/>
            </w:pPr>
            <w:r w:rsidRPr="00AD785E">
              <w:t>procedures for recall and/or return of product in the normal course of business</w:t>
            </w:r>
          </w:p>
          <w:p w:rsidR="00000000" w:rsidRPr="00AD785E" w:rsidP="00AD785E">
            <w:pPr>
              <w:pStyle w:val="ListBullet"/>
            </w:pPr>
            <w:r w:rsidRPr="00AD785E">
              <w:t>quality assurance principles and practices</w:t>
            </w:r>
          </w:p>
          <w:p w:rsidR="00000000" w:rsidRPr="00AD785E" w:rsidP="00AD785E">
            <w:pPr>
              <w:pStyle w:val="ListBullet"/>
            </w:pPr>
            <w:r w:rsidRPr="00AD785E">
              <w:t>procedures to handle food recalls required by Australian Food Standard</w:t>
            </w:r>
            <w:r w:rsidRPr="00AD785E">
              <w:t xml:space="preserve"> 3.2.2 </w:t>
            </w:r>
            <w:r w:rsidRPr="00AD785E">
              <w:rPr>
                <w:rStyle w:val="Emphasis"/>
              </w:rPr>
              <w:t>Food Safety Practices and General Requirements</w:t>
            </w:r>
            <w:r w:rsidRPr="00AD785E">
              <w:t xml:space="preserve">, or its successor standard </w:t>
            </w:r>
          </w:p>
          <w:p w:rsidR="00000000" w:rsidRPr="00AD785E" w:rsidP="00AD785E">
            <w:pPr>
              <w:pStyle w:val="ListBullet"/>
            </w:pPr>
            <w:r w:rsidRPr="00AD785E">
              <w:t>roles and responsibilities of stakeholders in a product (emergency) recall</w:t>
            </w:r>
          </w:p>
          <w:p w:rsidR="00000000" w:rsidRPr="00AD785E" w:rsidP="00AD785E">
            <w:pPr>
              <w:pStyle w:val="ListBullet"/>
            </w:pPr>
            <w:r w:rsidRPr="00AD785E">
              <w:t>state, territory or national health agency requirements for notification in the event of a food recall</w:t>
            </w:r>
          </w:p>
          <w:p w:rsidR="00000000" w:rsidRPr="00AD785E" w:rsidP="00AD785E">
            <w:pPr>
              <w:pStyle w:val="ListBullet"/>
            </w:pPr>
            <w:r w:rsidRPr="00AD785E">
              <w:t>work instructions relating to relevant processing tasks</w:t>
            </w:r>
          </w:p>
          <w:p w:rsidR="00000000" w:rsidRPr="00AD785E" w:rsidP="00AD785E">
            <w:pPr>
              <w:pStyle w:val="ListBullet"/>
            </w:pPr>
            <w:r w:rsidRPr="00AD785E">
              <w:t>workplace hygiene and sanitisation policies and procedures</w:t>
            </w:r>
          </w:p>
          <w:p w:rsidR="00000000" w:rsidRPr="00AD785E" w:rsidP="00AD785E">
            <w:pPr>
              <w:pStyle w:val="ListBullet"/>
            </w:pPr>
            <w:r w:rsidRPr="00AD785E">
              <w:t>work team dynamics and leadership.</w:t>
            </w:r>
          </w:p>
        </w:tc>
      </w:tr>
    </w:tbl>
    <w:p w:rsidR="00E73703" w:rsidP="00AD785E">
      <w:pPr>
        <w:pStyle w:val="BodyText"/>
      </w:pPr>
    </w:p>
    <w:p w:rsidR="00E73703" w:rsidP="00AD785E">
      <w:pPr>
        <w:pStyle w:val="BodyText"/>
      </w:pPr>
    </w:p>
    <w:p w:rsidR="00000000" w:rsidRPr="00AD785E" w:rsidP="00AD785E">
      <w:pPr>
        <w:pStyle w:val="AllowPageBreak"/>
      </w:pPr>
    </w:p>
    <w:p w:rsidR="00000000" w:rsidRPr="00AD785E" w:rsidP="00AD785E">
      <w:pPr>
        <w:pStyle w:val="Heading1"/>
      </w:pPr>
      <w:bookmarkStart w:id="10" w:name="O_246000"/>
      <w:bookmarkEnd w:id="10"/>
      <w:r w:rsidRPr="00AD785E">
        <w:t>Evidence Guide</w:t>
      </w:r>
    </w:p>
    <w:tbl>
      <w:tblPr>
        <w:tblW w:w="9570" w:type="dxa"/>
        <w:tblLayout w:type="fixed"/>
        <w:tblCellMar>
          <w:left w:w="62" w:type="dxa"/>
          <w:right w:w="62" w:type="dxa"/>
        </w:tblCellMar>
        <w:tblLook w:val="0000"/>
      </w:tblPr>
      <w:tblGrid>
        <w:gridCol w:w="3908"/>
        <w:gridCol w:w="5662"/>
      </w:tblGrid>
      <w:tr w:rsidTr="00E7370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85E">
            <w:pPr>
              <w:pStyle w:val="BodyText"/>
              <w:rPr>
                <w:lang w:val="en-NZ"/>
              </w:rPr>
            </w:pPr>
            <w:r w:rsidRPr="00AD785E">
              <w:rPr>
                <w:rStyle w:val="SpecialBold"/>
              </w:rPr>
              <w:t>EVIDENCE GUIDE</w:t>
            </w:r>
          </w:p>
        </w:tc>
      </w:tr>
      <w:tr w:rsidTr="00E7370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85E">
            <w:pPr>
              <w:pStyle w:val="BodyText"/>
              <w:rPr>
                <w:lang w:val="en-NZ"/>
              </w:rPr>
            </w:pPr>
            <w:r w:rsidRPr="00AD785E">
              <w:t xml:space="preserve">The evidence guide provides advice on assessment and must be read in conjunction with the performance criteria, required skills and knowledge, </w:t>
            </w:r>
            <w:r w:rsidRPr="00AD785E">
              <w:t>range statement and the Assessment Guidelines for the Training Package.</w:t>
            </w:r>
          </w:p>
        </w:tc>
      </w:tr>
      <w:tr w:rsidTr="00E7370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85E">
            <w:pPr>
              <w:pStyle w:val="BodyText"/>
              <w:rPr>
                <w:lang w:val="en-NZ"/>
              </w:rPr>
            </w:pPr>
            <w:r w:rsidRPr="00AD785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85E">
            <w:pPr>
              <w:pStyle w:val="BodyText"/>
              <w:rPr>
                <w:lang w:val="en-NZ"/>
              </w:rPr>
            </w:pPr>
          </w:p>
        </w:tc>
      </w:tr>
      <w:tr w:rsidTr="00E7370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85E">
            <w:pPr>
              <w:pStyle w:val="BodyText"/>
              <w:rPr>
                <w:lang w:val="en-NZ"/>
              </w:rPr>
            </w:pPr>
            <w:r w:rsidRPr="00AD785E">
              <w:rPr>
                <w:rStyle w:val="SpecialBold"/>
              </w:rPr>
              <w:t>Critical aspects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85E" w:rsidP="00AD785E">
            <w:pPr>
              <w:pStyle w:val="BodyText"/>
            </w:pPr>
            <w:r w:rsidRPr="00AD785E">
              <w:t xml:space="preserve">Assessment must confirm the ability to: </w:t>
            </w:r>
          </w:p>
          <w:p w:rsidR="00000000" w:rsidRPr="00AD785E" w:rsidP="00AD785E">
            <w:pPr>
              <w:pStyle w:val="ListBullet"/>
            </w:pPr>
            <w:r w:rsidRPr="00AD785E">
              <w:t>design and manage a product recall which addresses both the day-to-day needs of the food business, and an emergency recall situation which will involve cooperation and communication with numerous external agencies.</w:t>
            </w:r>
          </w:p>
          <w:p w:rsidR="00000000" w:rsidRPr="00AD785E" w:rsidP="00AD785E">
            <w:pPr>
              <w:pStyle w:val="BodyText"/>
            </w:pPr>
          </w:p>
          <w:p w:rsidR="00000000" w:rsidRPr="00AD785E" w:rsidP="00AD785E">
            <w:pPr>
              <w:pStyle w:val="BodyText"/>
            </w:pPr>
            <w:r w:rsidRPr="00AD785E">
              <w:t xml:space="preserve">Assessment must confirm knowledge of: </w:t>
            </w:r>
          </w:p>
          <w:p w:rsidR="00000000" w:rsidRPr="00AD785E" w:rsidP="00AD785E">
            <w:pPr>
              <w:pStyle w:val="ListBullet"/>
            </w:pPr>
            <w:r w:rsidRPr="00AD785E">
              <w:t>establishment and handling of media relationships during the course of a product recall</w:t>
            </w:r>
          </w:p>
          <w:p w:rsidR="00000000" w:rsidRPr="00AD785E" w:rsidP="00AD785E">
            <w:pPr>
              <w:pStyle w:val="ListBullet"/>
            </w:pPr>
            <w:r w:rsidRPr="00AD785E">
              <w:t>legal and financial issues relevant to the recall of food product</w:t>
            </w:r>
          </w:p>
          <w:p w:rsidR="00000000" w:rsidRPr="00AD785E" w:rsidP="00AD785E">
            <w:pPr>
              <w:pStyle w:val="ListBullet"/>
            </w:pPr>
            <w:r w:rsidRPr="00AD785E">
              <w:t>media involvement in emergency situations</w:t>
            </w:r>
          </w:p>
          <w:p w:rsidR="00000000" w:rsidRPr="00AD785E" w:rsidP="00AD785E">
            <w:pPr>
              <w:pStyle w:val="ListBullet"/>
            </w:pPr>
            <w:r w:rsidRPr="00AD785E">
              <w:t xml:space="preserve">procedures to handle food recalls required by Australian Food Standard 3.2.2 </w:t>
            </w:r>
            <w:r w:rsidRPr="00AD785E">
              <w:rPr>
                <w:rStyle w:val="Emphasis"/>
              </w:rPr>
              <w:t>Food Safety Practices and General Requirements</w:t>
            </w:r>
            <w:r w:rsidRPr="00AD785E">
              <w:t xml:space="preserve">, or its successor standard </w:t>
            </w:r>
          </w:p>
          <w:p w:rsidR="00000000" w:rsidRPr="00AD785E" w:rsidP="00AD785E">
            <w:pPr>
              <w:pStyle w:val="ListBullet"/>
            </w:pPr>
            <w:r w:rsidRPr="00AD785E">
              <w:t>product recall documentation, recording and reporting requirements</w:t>
            </w:r>
          </w:p>
          <w:p w:rsidR="00000000" w:rsidRPr="00AD785E" w:rsidP="00AD785E">
            <w:pPr>
              <w:pStyle w:val="ListBullet"/>
            </w:pPr>
            <w:r w:rsidRPr="00AD785E">
              <w:t>requirements of the enterprise food s</w:t>
            </w:r>
            <w:r w:rsidRPr="00AD785E">
              <w:t>afety plan</w:t>
            </w:r>
          </w:p>
          <w:p w:rsidR="00000000" w:rsidRPr="00AD785E" w:rsidP="00AD785E">
            <w:pPr>
              <w:pStyle w:val="ListBullet"/>
            </w:pPr>
            <w:r w:rsidRPr="00AD785E">
              <w:t>sampling and test schedules</w:t>
            </w:r>
          </w:p>
          <w:p w:rsidR="00000000" w:rsidP="00AD785E">
            <w:pPr>
              <w:pStyle w:val="ListBullet"/>
              <w:rPr>
                <w:lang w:val="en-NZ"/>
              </w:rPr>
            </w:pPr>
            <w:r w:rsidRPr="00AD785E">
              <w:t>the Food Business Priority Classification System.</w:t>
            </w:r>
          </w:p>
        </w:tc>
      </w:tr>
      <w:tr w:rsidTr="00E7370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85E">
            <w:pPr>
              <w:pStyle w:val="BodyText"/>
              <w:rPr>
                <w:lang w:val="en-NZ"/>
              </w:rPr>
            </w:pPr>
            <w:r w:rsidRPr="00AD785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85E" w:rsidP="00AD785E">
            <w:pPr>
              <w:pStyle w:val="BodyText"/>
            </w:pPr>
            <w:r w:rsidRPr="00AD785E">
              <w:t>Procedures and documentation used in an assessment should be typical of those used in the workplace for recalls/retur</w:t>
            </w:r>
            <w:r w:rsidRPr="00AD785E">
              <w:t xml:space="preserve">ns undertaken in the normal course of business. In the case of emergency recalls a set of documents, which may be untested but which satisfy the relevant requirements, may be used. </w:t>
            </w:r>
          </w:p>
          <w:p w:rsidR="00000000" w:rsidRPr="00AD785E" w:rsidP="00AD785E">
            <w:pPr>
              <w:pStyle w:val="BodyText"/>
            </w:pPr>
          </w:p>
          <w:p w:rsidR="00000000" w:rsidRPr="00AD785E" w:rsidP="00AD785E">
            <w:pPr>
              <w:pStyle w:val="BodyText"/>
            </w:pPr>
            <w:r w:rsidRPr="00AD785E">
              <w:t>Resources may include:</w:t>
            </w:r>
          </w:p>
          <w:p w:rsidR="00000000" w:rsidRPr="00AD785E" w:rsidP="00AD785E">
            <w:pPr>
              <w:pStyle w:val="ListBullet"/>
            </w:pPr>
            <w:r w:rsidRPr="00AD785E">
              <w:t>access to supervisors and or peers</w:t>
            </w:r>
          </w:p>
          <w:p w:rsidR="00000000" w:rsidRPr="00AD785E" w:rsidP="00AD785E">
            <w:pPr>
              <w:pStyle w:val="ListBullet"/>
            </w:pPr>
            <w:r w:rsidRPr="00AD785E">
              <w:t xml:space="preserve">documentation </w:t>
            </w:r>
            <w:r w:rsidRPr="00AD785E">
              <w:t>relating to past (recall) events</w:t>
            </w:r>
          </w:p>
          <w:p w:rsidR="00000000" w:rsidRPr="00AD785E" w:rsidP="00AD785E">
            <w:pPr>
              <w:pStyle w:val="ListBullet"/>
            </w:pPr>
            <w:r w:rsidRPr="00AD785E">
              <w:t>enterprise food safety plan</w:t>
            </w:r>
          </w:p>
          <w:p w:rsidR="00000000" w:rsidRPr="00AD785E" w:rsidP="00AD785E">
            <w:pPr>
              <w:pStyle w:val="ListBullet"/>
            </w:pPr>
            <w:r w:rsidRPr="00AD785E">
              <w:t>enterprise policy and procedures for the return and/or recall of product</w:t>
            </w:r>
          </w:p>
          <w:p w:rsidR="00000000" w:rsidRPr="00AD785E" w:rsidP="00AD785E">
            <w:pPr>
              <w:pStyle w:val="ListBullet"/>
            </w:pPr>
            <w:r w:rsidRPr="00AD785E">
              <w:t>food recall protocols</w:t>
            </w:r>
          </w:p>
          <w:p w:rsidR="00000000" w:rsidP="00AD785E">
            <w:pPr>
              <w:pStyle w:val="ListBullet"/>
              <w:rPr>
                <w:lang w:val="en-NZ"/>
              </w:rPr>
            </w:pPr>
            <w:r w:rsidRPr="00AD785E">
              <w:t>relevant standards.</w:t>
            </w:r>
          </w:p>
        </w:tc>
      </w:tr>
      <w:tr w:rsidTr="00E7370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85E">
            <w:pPr>
              <w:pStyle w:val="BodyText"/>
              <w:rPr>
                <w:lang w:val="en-NZ"/>
              </w:rPr>
            </w:pPr>
            <w:r w:rsidRPr="00AD785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85E" w:rsidP="00AD785E">
            <w:pPr>
              <w:pStyle w:val="BodyText"/>
            </w:pPr>
            <w:r w:rsidRPr="00AD785E">
              <w:t xml:space="preserve">The following assessment methods are suggested: </w:t>
            </w:r>
          </w:p>
          <w:p w:rsidR="00000000" w:rsidRPr="00AD785E" w:rsidP="00AD785E">
            <w:pPr>
              <w:pStyle w:val="ListBullet"/>
            </w:pPr>
            <w:r w:rsidRPr="00AD785E">
              <w:t>project (work or scenario based)</w:t>
            </w:r>
          </w:p>
          <w:p w:rsidR="00000000" w:rsidRPr="00AD785E" w:rsidP="00AD785E">
            <w:pPr>
              <w:pStyle w:val="ListBullet"/>
            </w:pPr>
            <w:r w:rsidRPr="00AD785E">
              <w:t>workplace documentation</w:t>
            </w:r>
          </w:p>
          <w:p w:rsidR="00000000" w:rsidP="00AD785E">
            <w:pPr>
              <w:pStyle w:val="ListBullet"/>
              <w:rPr>
                <w:lang w:val="en-NZ"/>
              </w:rPr>
            </w:pPr>
            <w:r w:rsidRPr="00AD785E">
              <w:t>written or oral questions.</w:t>
            </w:r>
          </w:p>
        </w:tc>
      </w:tr>
      <w:tr w:rsidTr="00E7370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85E">
            <w:pPr>
              <w:pStyle w:val="BodyText"/>
              <w:rPr>
                <w:lang w:val="en-NZ"/>
              </w:rPr>
            </w:pPr>
            <w:r w:rsidRPr="00AD785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85E" w:rsidP="00AD785E">
            <w:pPr>
              <w:pStyle w:val="BodyText"/>
            </w:pPr>
            <w:r w:rsidRPr="00AD785E">
              <w:t>This unit may be assessed holistically with other units within a qualification.</w:t>
            </w:r>
          </w:p>
        </w:tc>
      </w:tr>
    </w:tbl>
    <w:p w:rsidR="00E73703" w:rsidP="00AD785E">
      <w:pPr>
        <w:pStyle w:val="BodyText"/>
      </w:pPr>
    </w:p>
    <w:p w:rsidR="00E73703" w:rsidP="00AD785E">
      <w:pPr>
        <w:pStyle w:val="BodyText"/>
      </w:pPr>
    </w:p>
    <w:p w:rsidR="00000000" w:rsidRPr="00AD785E" w:rsidP="00AD785E">
      <w:pPr>
        <w:pStyle w:val="Heading1"/>
      </w:pPr>
      <w:bookmarkStart w:id="11" w:name="O_253983"/>
      <w:bookmarkEnd w:id="11"/>
      <w:r w:rsidRPr="00AD785E">
        <w:t>Range Statement</w:t>
      </w:r>
    </w:p>
    <w:tbl>
      <w:tblPr>
        <w:tblW w:w="0" w:type="auto"/>
        <w:tblLayout w:type="fixed"/>
        <w:tblCellMar>
          <w:left w:w="62" w:type="dxa"/>
          <w:right w:w="62" w:type="dxa"/>
        </w:tblCellMar>
        <w:tblLook w:val="0000"/>
      </w:tblPr>
      <w:tblGrid>
        <w:gridCol w:w="3449"/>
        <w:gridCol w:w="5073"/>
      </w:tblGrid>
      <w:tr w:rsidTr="00E7370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85E">
            <w:pPr>
              <w:pStyle w:val="BodyText"/>
              <w:rPr>
                <w:lang w:val="en-NZ"/>
              </w:rPr>
            </w:pPr>
            <w:r w:rsidRPr="00AD785E">
              <w:rPr>
                <w:rStyle w:val="SpecialBold"/>
              </w:rPr>
              <w:t>RANGE STATEMENT</w:t>
            </w:r>
          </w:p>
        </w:tc>
      </w:tr>
      <w:tr w:rsidTr="00E7370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85E">
            <w:pPr>
              <w:pStyle w:val="BodyText"/>
              <w:rPr>
                <w:lang w:val="en-NZ"/>
              </w:rPr>
            </w:pPr>
            <w:r w:rsidRPr="00AD785E">
              <w:t>The range statement relates to the unit of competency as a whole. It allows for different work environments and situations that may affect performance. Bold italicised wording, if used in the performance criteria, is detailed below. Essential operating co</w:t>
            </w:r>
            <w:r w:rsidRPr="00AD785E">
              <w:t>nditions that may be present with training and assessment (depending on the work situation, needs of the candidate, accessibility of the item, and local industry and regional contexts) may also be included.</w:t>
            </w:r>
          </w:p>
        </w:tc>
      </w:tr>
      <w:tr w:rsidTr="00E73703">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85E">
            <w:pPr>
              <w:pStyle w:val="BodyText"/>
              <w:rPr>
                <w:lang w:val="en-NZ"/>
              </w:rPr>
            </w:pPr>
            <w:r w:rsidRPr="00AD785E">
              <w:rPr>
                <w:rStyle w:val="BoldandItalics"/>
              </w:rPr>
              <w:t>Relevant government regulations</w:t>
            </w:r>
            <w:r w:rsidRPr="00AD785E">
              <w:t xml:space="preserve">, </w:t>
            </w:r>
            <w:r w:rsidRPr="00AD785E">
              <w:rPr>
                <w:rStyle w:val="BoldandItalics"/>
              </w:rPr>
              <w:t xml:space="preserve">licensing and </w:t>
            </w:r>
            <w:r w:rsidRPr="00AD785E">
              <w:rPr>
                <w:rStyle w:val="BoldandItalics"/>
              </w:rPr>
              <w:t>other compliance requirements</w:t>
            </w:r>
            <w:r w:rsidRPr="00AD785E">
              <w:t xml:space="preserve"> may include: </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85E" w:rsidP="00AD785E">
            <w:pPr>
              <w:pStyle w:val="ListBullet"/>
            </w:pPr>
            <w:r w:rsidRPr="00AD785E">
              <w:t>ESD principles, environmental hazard identification, risk assessment and control</w:t>
            </w:r>
          </w:p>
          <w:p w:rsidR="00000000" w:rsidRPr="00AD785E" w:rsidP="00AD785E">
            <w:pPr>
              <w:pStyle w:val="ListBullet"/>
            </w:pPr>
            <w:r w:rsidRPr="00AD785E">
              <w:t>food safety, Hazard Analysis Critical Control Point (HACCP), hygiene and temperature control along chain of custody</w:t>
            </w:r>
          </w:p>
          <w:p w:rsidR="00000000" w:rsidRPr="00AD785E" w:rsidP="00AD785E">
            <w:pPr>
              <w:pStyle w:val="ListBullet"/>
            </w:pPr>
            <w:r w:rsidRPr="00AD785E">
              <w:t>im</w:t>
            </w:r>
            <w:r w:rsidRPr="00AD785E">
              <w:t>ports quarantine and inspection, and importing approved arrangements for Australian Quarantine Inspection Service (AQIS), Australian Customs Service (ACS) and Biosecurity Australia (BA)</w:t>
            </w:r>
          </w:p>
          <w:p w:rsidR="00000000" w:rsidRPr="00AD785E" w:rsidP="00AD785E">
            <w:pPr>
              <w:pStyle w:val="ListBullet"/>
            </w:pPr>
            <w:r w:rsidRPr="00AD785E">
              <w:t>land, buildings and vehicles:</w:t>
            </w:r>
          </w:p>
          <w:p w:rsidR="00000000" w:rsidRPr="00AD785E" w:rsidP="00AD785E">
            <w:pPr>
              <w:pStyle w:val="ListBullet2"/>
            </w:pPr>
            <w:r w:rsidRPr="00AD785E">
              <w:t>road laws for use of motor vehicles, bi</w:t>
            </w:r>
            <w:r w:rsidRPr="00AD785E">
              <w:t>kes, trucks and other transport equipment</w:t>
            </w:r>
          </w:p>
          <w:p w:rsidR="00000000" w:rsidRPr="00AD785E" w:rsidP="00AD785E">
            <w:pPr>
              <w:pStyle w:val="ListBullet2"/>
            </w:pPr>
            <w:r w:rsidRPr="00AD785E">
              <w:t>use of utilities, including water, natural gas, electricity and sewage</w:t>
            </w:r>
          </w:p>
          <w:p w:rsidR="00000000" w:rsidRPr="00AD785E" w:rsidP="00AD785E">
            <w:pPr>
              <w:pStyle w:val="ListBullet"/>
            </w:pPr>
            <w:r w:rsidRPr="00AD785E">
              <w:t>business or workplace operations, policies and practices:</w:t>
            </w:r>
          </w:p>
          <w:p w:rsidR="00000000" w:rsidRPr="00AD785E" w:rsidP="00AD785E">
            <w:pPr>
              <w:pStyle w:val="ListBullet2"/>
            </w:pPr>
            <w:r w:rsidRPr="00AD785E">
              <w:t xml:space="preserve">commercial law, including fair trading and trade practices </w:t>
            </w:r>
          </w:p>
          <w:p w:rsidR="00000000" w:rsidRPr="00AD785E" w:rsidP="00AD785E">
            <w:pPr>
              <w:pStyle w:val="ListBullet2"/>
            </w:pPr>
            <w:r w:rsidRPr="00AD785E">
              <w:t>consumer law</w:t>
            </w:r>
          </w:p>
          <w:p w:rsidR="00000000" w:rsidRPr="00AD785E" w:rsidP="00AD785E">
            <w:pPr>
              <w:pStyle w:val="ListBullet2"/>
            </w:pPr>
            <w:r w:rsidRPr="00AD785E">
              <w:t xml:space="preserve">corporate </w:t>
            </w:r>
            <w:r w:rsidRPr="00AD785E">
              <w:t xml:space="preserve">law, including registration, licensing and financial reporting </w:t>
            </w:r>
          </w:p>
          <w:p w:rsidR="00000000" w:rsidRPr="00AD785E" w:rsidP="00AD785E">
            <w:pPr>
              <w:pStyle w:val="ListBullet2"/>
            </w:pPr>
            <w:r w:rsidRPr="00AD785E">
              <w:t>disability policies and practices</w:t>
            </w:r>
          </w:p>
          <w:p w:rsidR="00000000" w:rsidRPr="00AD785E" w:rsidP="00AD785E">
            <w:pPr>
              <w:pStyle w:val="ListBullet2"/>
            </w:pPr>
            <w:r w:rsidRPr="00AD785E">
              <w:t xml:space="preserve">equal opportunity, anti-discrimination and sexual harassment </w:t>
            </w:r>
          </w:p>
          <w:p w:rsidR="00000000" w:rsidRPr="00AD785E" w:rsidP="00AD785E">
            <w:pPr>
              <w:pStyle w:val="ListBullet2"/>
            </w:pPr>
            <w:r w:rsidRPr="00AD785E">
              <w:t>industrial relations and awards, individual employment contracts and share of catch agreements</w:t>
            </w:r>
          </w:p>
          <w:p w:rsidR="00000000" w:rsidRPr="00AD785E" w:rsidP="00AD785E">
            <w:pPr>
              <w:pStyle w:val="ListBullet2"/>
            </w:pPr>
            <w:r w:rsidRPr="00AD785E">
              <w:t>j</w:t>
            </w:r>
            <w:r w:rsidRPr="00AD785E">
              <w:t>urisdictional variations</w:t>
            </w:r>
          </w:p>
          <w:p w:rsidR="00000000" w:rsidRPr="00AD785E" w:rsidP="00AD785E">
            <w:pPr>
              <w:pStyle w:val="ListBullet2"/>
            </w:pPr>
            <w:r w:rsidRPr="00AD785E">
              <w:t>superannuation</w:t>
            </w:r>
          </w:p>
          <w:p w:rsidR="00000000" w:rsidRPr="00AD785E" w:rsidP="00AD785E">
            <w:pPr>
              <w:pStyle w:val="ListBullet2"/>
            </w:pPr>
            <w:r w:rsidRPr="00AD785E">
              <w:t>taxation</w:t>
            </w:r>
          </w:p>
          <w:p w:rsidR="00000000" w:rsidRPr="00AD785E" w:rsidP="00AD785E">
            <w:pPr>
              <w:pStyle w:val="ListBullet2"/>
            </w:pPr>
            <w:r w:rsidRPr="00AD785E">
              <w:t xml:space="preserve">trade practices </w:t>
            </w:r>
          </w:p>
          <w:p w:rsidR="00000000" w:rsidRPr="00AD785E" w:rsidP="00AD785E">
            <w:pPr>
              <w:pStyle w:val="ListBullet2"/>
            </w:pPr>
            <w:r w:rsidRPr="00AD785E">
              <w:t>warnings and dismissals</w:t>
            </w:r>
          </w:p>
          <w:p w:rsidR="00000000" w:rsidRPr="00AD785E" w:rsidP="00AD785E">
            <w:pPr>
              <w:pStyle w:val="ListBullet2"/>
            </w:pPr>
            <w:r w:rsidRPr="00AD785E">
              <w:t>worker's compensation</w:t>
            </w:r>
          </w:p>
          <w:p w:rsidR="00000000" w:rsidRPr="00AD785E" w:rsidP="00AD785E">
            <w:pPr>
              <w:pStyle w:val="ListBullet"/>
            </w:pPr>
            <w:r w:rsidRPr="00AD785E">
              <w:t>OHS hazard identification, risk assessment and control</w:t>
            </w:r>
          </w:p>
          <w:p w:rsidR="00000000" w:rsidRPr="00AD785E" w:rsidP="00AD785E">
            <w:pPr>
              <w:pStyle w:val="ListBullet"/>
            </w:pPr>
            <w:r w:rsidRPr="00AD785E">
              <w:t>product quality assurance:</w:t>
            </w:r>
          </w:p>
          <w:p w:rsidR="00000000" w:rsidRPr="00AD785E" w:rsidP="00AD785E">
            <w:pPr>
              <w:pStyle w:val="ListBullet2"/>
            </w:pPr>
            <w:r w:rsidRPr="00AD785E">
              <w:t>correct naming and labelling (e.g. country of origin, Australian Fish Names Standard and eco-labelling)</w:t>
            </w:r>
          </w:p>
          <w:p w:rsidR="00000000" w:rsidRPr="00AD785E" w:rsidP="00AD785E">
            <w:pPr>
              <w:pStyle w:val="ListBullet2"/>
            </w:pPr>
            <w:r w:rsidRPr="00AD785E">
              <w:t>correct quantities, sizes and other customer requirements</w:t>
            </w:r>
          </w:p>
          <w:p w:rsidR="00000000" w:rsidP="00AD785E">
            <w:pPr>
              <w:pStyle w:val="ListBullet2"/>
              <w:rPr>
                <w:lang w:val="en-NZ"/>
              </w:rPr>
            </w:pPr>
            <w:r w:rsidRPr="00AD785E">
              <w:t>third-party certification (e.g. Australian Grown and ISO 14001:2004 Environmental management s</w:t>
            </w:r>
            <w:r w:rsidRPr="00AD785E">
              <w:t>ystems).</w:t>
            </w:r>
          </w:p>
        </w:tc>
      </w:tr>
      <w:tr w:rsidTr="00E73703">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85E">
            <w:pPr>
              <w:pStyle w:val="BodyText"/>
              <w:rPr>
                <w:lang w:val="en-NZ"/>
              </w:rPr>
            </w:pPr>
            <w:r w:rsidRPr="00AD785E">
              <w:rPr>
                <w:rStyle w:val="BoldandItalics"/>
              </w:rPr>
              <w:t>OHS guidelines</w:t>
            </w:r>
            <w:r w:rsidRPr="00AD785E">
              <w:t xml:space="preserve"> may include: </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85E" w:rsidP="00AD785E">
            <w:pPr>
              <w:pStyle w:val="ListBullet"/>
            </w:pPr>
            <w:r w:rsidRPr="00AD785E">
              <w:t>appropriate workplace provision of first aid kits and fire extinguishers</w:t>
            </w:r>
          </w:p>
          <w:p w:rsidR="00000000" w:rsidRPr="00AD785E" w:rsidP="00AD785E">
            <w:pPr>
              <w:pStyle w:val="ListBullet"/>
            </w:pPr>
            <w:r w:rsidRPr="00AD785E">
              <w:t>clean, uncluttered, hygienic workplace</w:t>
            </w:r>
          </w:p>
          <w:p w:rsidR="00000000" w:rsidRPr="00AD785E" w:rsidP="00AD785E">
            <w:pPr>
              <w:pStyle w:val="ListBullet"/>
            </w:pPr>
            <w:r w:rsidRPr="00AD785E">
              <w:t>codes of practice, regulations and/or guidance notes which may apply in a jurisdiction or industry sector</w:t>
            </w:r>
          </w:p>
          <w:p w:rsidR="00000000" w:rsidRPr="00AD785E" w:rsidP="00AD785E">
            <w:pPr>
              <w:pStyle w:val="ListBullet"/>
            </w:pPr>
            <w:r w:rsidRPr="00AD785E">
              <w:t>enterprise-specific OHS procedures, policies or standards</w:t>
            </w:r>
          </w:p>
          <w:p w:rsidR="00000000" w:rsidRPr="00AD785E" w:rsidP="00AD785E">
            <w:pPr>
              <w:pStyle w:val="ListBullet"/>
            </w:pPr>
            <w:r w:rsidRPr="00AD785E">
              <w:t>hazard and risk assessment of workplace and maintenance activities and control measures</w:t>
            </w:r>
          </w:p>
          <w:p w:rsidR="00000000" w:rsidRPr="00AD785E" w:rsidP="00AD785E">
            <w:pPr>
              <w:pStyle w:val="ListBullet"/>
            </w:pPr>
            <w:r w:rsidRPr="00AD785E">
              <w:t>indu</w:t>
            </w:r>
            <w:r w:rsidRPr="00AD785E">
              <w:t xml:space="preserve">ction or training of staff, contractors and visitors in relevant OHS procedures and/or requirements to allow them to carry out their duties in a safe manner </w:t>
            </w:r>
          </w:p>
          <w:p w:rsidR="00000000" w:rsidRPr="00AD785E" w:rsidP="00AD785E">
            <w:pPr>
              <w:pStyle w:val="ListBullet"/>
            </w:pPr>
            <w:r w:rsidRPr="00AD785E">
              <w:t>OHS training register</w:t>
            </w:r>
          </w:p>
          <w:p w:rsidR="00000000" w:rsidRPr="00AD785E" w:rsidP="00AD785E">
            <w:pPr>
              <w:pStyle w:val="ListBullet"/>
            </w:pPr>
            <w:r w:rsidRPr="00AD785E">
              <w:t>safe lifting, carrying and handling technique, including manual handling, an</w:t>
            </w:r>
            <w:r w:rsidRPr="00AD785E">
              <w:t>d the handling and storage of hazardous substances</w:t>
            </w:r>
          </w:p>
          <w:p w:rsidR="00000000" w:rsidRPr="00AD785E" w:rsidP="00AD785E">
            <w:pPr>
              <w:pStyle w:val="ListBullet"/>
            </w:pPr>
            <w:r w:rsidRPr="00AD785E">
              <w:t>safe systems and procedures for outdoor work, including protection from solar radiation, fall protection, confined space entry and the protection of people in the workplace</w:t>
            </w:r>
          </w:p>
          <w:p w:rsidR="00000000" w:rsidRPr="00AD785E" w:rsidP="00AD785E">
            <w:pPr>
              <w:pStyle w:val="ListBullet"/>
            </w:pPr>
            <w:r w:rsidRPr="00AD785E">
              <w:t>systems and procedures for the s</w:t>
            </w:r>
            <w:r w:rsidRPr="00AD785E">
              <w:t>afe maintenance of property, machinery and equipment, including hydraulics and exposed moving parts</w:t>
            </w:r>
          </w:p>
          <w:p w:rsidR="00000000" w:rsidP="00AD785E">
            <w:pPr>
              <w:pStyle w:val="ListBullet"/>
              <w:rPr>
                <w:lang w:val="en-NZ"/>
              </w:rPr>
            </w:pPr>
            <w:r w:rsidRPr="00AD785E">
              <w:t>the appropriate use, maintenance and storage of PPE.</w:t>
            </w:r>
          </w:p>
        </w:tc>
      </w:tr>
      <w:tr w:rsidTr="00E73703">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85E">
            <w:pPr>
              <w:pStyle w:val="BodyText"/>
              <w:rPr>
                <w:lang w:val="en-NZ"/>
              </w:rPr>
            </w:pPr>
            <w:r w:rsidRPr="00AD785E">
              <w:rPr>
                <w:rStyle w:val="BoldandItalics"/>
              </w:rPr>
              <w:t>Food safety and hygiene regulations and procedures</w:t>
            </w:r>
            <w:r w:rsidRPr="00AD785E">
              <w:t xml:space="preserve"> may include:</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85E" w:rsidP="00AD785E">
            <w:pPr>
              <w:pStyle w:val="ListBullet"/>
            </w:pPr>
            <w:r w:rsidRPr="00AD785E">
              <w:t>Australian Shellfish Sanitation progr</w:t>
            </w:r>
            <w:r w:rsidRPr="00AD785E">
              <w:t>am</w:t>
            </w:r>
          </w:p>
          <w:p w:rsidR="00000000" w:rsidRPr="00AD785E" w:rsidP="00AD785E">
            <w:pPr>
              <w:pStyle w:val="ListBullet"/>
            </w:pPr>
            <w:r w:rsidRPr="00AD785E">
              <w:t>display, packaging and sale of food, including seafood and aquatic products</w:t>
            </w:r>
          </w:p>
          <w:p w:rsidR="00000000" w:rsidRPr="00AD785E" w:rsidP="00AD785E">
            <w:pPr>
              <w:pStyle w:val="ListBullet"/>
            </w:pPr>
            <w:r w:rsidRPr="00AD785E">
              <w:t xml:space="preserve">equipment design, use, cleaning and maintenance </w:t>
            </w:r>
          </w:p>
          <w:p w:rsidR="00000000" w:rsidRPr="00AD785E" w:rsidP="00AD785E">
            <w:pPr>
              <w:pStyle w:val="ListBullet"/>
            </w:pPr>
            <w:r w:rsidRPr="00AD785E">
              <w:t>exporting requirements, including AQIS Export Control (Fish) orders</w:t>
            </w:r>
          </w:p>
          <w:p w:rsidR="00000000" w:rsidRPr="00AD785E" w:rsidP="00AD785E">
            <w:pPr>
              <w:pStyle w:val="ListBullet"/>
            </w:pPr>
            <w:r w:rsidRPr="00AD785E">
              <w:t>handling and disposal of condemned or recalled seafood products</w:t>
            </w:r>
          </w:p>
          <w:p w:rsidR="00000000" w:rsidRPr="00AD785E" w:rsidP="00AD785E">
            <w:pPr>
              <w:pStyle w:val="ListBullet"/>
            </w:pPr>
            <w:r w:rsidRPr="00AD785E">
              <w:t>HACCP, food safety program, and other risk minimisation and quality assurance systems</w:t>
            </w:r>
          </w:p>
          <w:p w:rsidR="00000000" w:rsidRPr="00AD785E" w:rsidP="00AD785E">
            <w:pPr>
              <w:pStyle w:val="ListBullet"/>
            </w:pPr>
            <w:r w:rsidRPr="00AD785E">
              <w:t xml:space="preserve">location, construction and servicing of seafood premises </w:t>
            </w:r>
          </w:p>
          <w:p w:rsidR="00000000" w:rsidRPr="00AD785E" w:rsidP="00AD785E">
            <w:pPr>
              <w:pStyle w:val="ListBullet"/>
            </w:pPr>
            <w:r w:rsidRPr="00AD785E">
              <w:t>people, product and place hygiene and sanitation</w:t>
            </w:r>
            <w:r w:rsidRPr="00AD785E">
              <w:t xml:space="preserve"> requirements</w:t>
            </w:r>
          </w:p>
          <w:p w:rsidR="00000000" w:rsidRPr="00AD785E" w:rsidP="00AD785E">
            <w:pPr>
              <w:pStyle w:val="ListBullet"/>
            </w:pPr>
            <w:r w:rsidRPr="00AD785E">
              <w:t xml:space="preserve">Primary Products Standard and the Australian Seafood Standard (voluntary) </w:t>
            </w:r>
          </w:p>
          <w:p w:rsidR="00000000" w:rsidRPr="00AD785E" w:rsidP="00AD785E">
            <w:pPr>
              <w:pStyle w:val="ListBullet"/>
            </w:pPr>
            <w:r w:rsidRPr="00AD785E">
              <w:t xml:space="preserve">processing, further processing and preparation of food, including seafood and aquatic products </w:t>
            </w:r>
          </w:p>
          <w:p w:rsidR="00000000" w:rsidRPr="00AD785E" w:rsidP="00AD785E">
            <w:pPr>
              <w:pStyle w:val="ListBullet"/>
            </w:pPr>
            <w:r w:rsidRPr="00AD785E">
              <w:t>product labelling, tracing and recall</w:t>
            </w:r>
          </w:p>
          <w:p w:rsidR="00000000" w:rsidRPr="00AD785E" w:rsidP="00AD785E">
            <w:pPr>
              <w:pStyle w:val="ListBullet"/>
            </w:pPr>
            <w:r w:rsidRPr="00AD785E">
              <w:t>receipt, storage and transportati</w:t>
            </w:r>
            <w:r w:rsidRPr="00AD785E">
              <w:t>on of food, including seafood and aquatic products</w:t>
            </w:r>
          </w:p>
          <w:p w:rsidR="00000000" w:rsidRPr="00AD785E" w:rsidP="00AD785E">
            <w:pPr>
              <w:pStyle w:val="ListBullet"/>
            </w:pPr>
            <w:r w:rsidRPr="00AD785E">
              <w:t>requirements set out in Australian and New Zealand Food Authority (ANZFA) Food Standards Code and state and territory food regulations</w:t>
            </w:r>
          </w:p>
          <w:p w:rsidR="00000000" w:rsidP="00AD785E">
            <w:pPr>
              <w:pStyle w:val="ListBullet"/>
              <w:rPr>
                <w:lang w:val="en-NZ"/>
              </w:rPr>
            </w:pPr>
            <w:r w:rsidRPr="00AD785E">
              <w:t>temperature and contamination control along chain of custody.</w:t>
            </w:r>
          </w:p>
        </w:tc>
      </w:tr>
      <w:tr w:rsidTr="00E73703">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85E">
            <w:pPr>
              <w:pStyle w:val="BodyText"/>
              <w:rPr>
                <w:lang w:val="en-NZ"/>
              </w:rPr>
            </w:pPr>
            <w:r w:rsidRPr="00AD785E">
              <w:rPr>
                <w:rStyle w:val="BoldandItalics"/>
              </w:rPr>
              <w:t>ESD pri</w:t>
            </w:r>
            <w:r w:rsidRPr="00AD785E">
              <w:rPr>
                <w:rStyle w:val="BoldandItalics"/>
              </w:rPr>
              <w:t>nciples</w:t>
            </w:r>
            <w:r w:rsidRPr="00AD785E">
              <w:t xml:space="preserve"> may include:</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85E" w:rsidP="00AD785E">
            <w:pPr>
              <w:pStyle w:val="ListBullet"/>
            </w:pPr>
            <w:r w:rsidRPr="00AD785E">
              <w:t>controlling the use and recycling of water, and managing water quality and quantity</w:t>
            </w:r>
          </w:p>
          <w:p w:rsidR="00000000" w:rsidRPr="00AD785E" w:rsidP="00AD785E">
            <w:pPr>
              <w:pStyle w:val="ListBullet"/>
            </w:pPr>
            <w:r w:rsidRPr="00AD785E">
              <w:t>increasing use of renewable, recyclable and recoverable resources</w:t>
            </w:r>
          </w:p>
          <w:p w:rsidR="00000000" w:rsidRPr="00AD785E" w:rsidP="00AD785E">
            <w:pPr>
              <w:pStyle w:val="ListBullet"/>
            </w:pPr>
            <w:r w:rsidRPr="00AD785E">
              <w:t>managing environmental hazard identification, risk assessment and control</w:t>
            </w:r>
          </w:p>
          <w:p w:rsidR="00000000" w:rsidRPr="00AD785E" w:rsidP="00AD785E">
            <w:pPr>
              <w:pStyle w:val="ListBullet"/>
            </w:pPr>
            <w:r w:rsidRPr="00AD785E">
              <w:t>managing imported products quarantine and inspection, facility biosecurity, translocation of livestock and genetic material, and health certification</w:t>
            </w:r>
          </w:p>
          <w:p w:rsidR="00000000" w:rsidRPr="00AD785E" w:rsidP="00AD785E">
            <w:pPr>
              <w:pStyle w:val="ListBullet"/>
            </w:pPr>
            <w:r w:rsidRPr="00AD785E">
              <w:t xml:space="preserve">managing, controlling and treating effluents, chemical residues, contaminants, wastes and pollution </w:t>
            </w:r>
          </w:p>
          <w:p w:rsidR="00000000" w:rsidRPr="00AD785E" w:rsidP="00AD785E">
            <w:pPr>
              <w:pStyle w:val="ListBullet"/>
            </w:pPr>
            <w:r w:rsidRPr="00AD785E">
              <w:t>minim</w:t>
            </w:r>
            <w:r w:rsidRPr="00AD785E">
              <w:t xml:space="preserve">ising noise, dust, light or odour emissions </w:t>
            </w:r>
          </w:p>
          <w:p w:rsidR="00000000" w:rsidRPr="00AD785E" w:rsidP="00AD785E">
            <w:pPr>
              <w:pStyle w:val="ListBullet"/>
            </w:pPr>
            <w:r w:rsidRPr="00AD785E">
              <w:t>planning environmental and resource efficiency improvements</w:t>
            </w:r>
          </w:p>
          <w:p w:rsidR="00000000" w:rsidRPr="00AD785E" w:rsidP="00AD785E">
            <w:pPr>
              <w:pStyle w:val="ListBullet"/>
            </w:pPr>
            <w:r w:rsidRPr="00AD785E">
              <w:t>preventing genetically modified organisms and live cultured or held organisms from escaping into environment</w:t>
            </w:r>
          </w:p>
          <w:p w:rsidR="00000000" w:rsidRPr="00AD785E" w:rsidP="00AD785E">
            <w:pPr>
              <w:pStyle w:val="ListBullet"/>
            </w:pPr>
            <w:r w:rsidRPr="00AD785E">
              <w:t>reducing emissions of greenhouse gases</w:t>
            </w:r>
          </w:p>
          <w:p w:rsidR="00000000" w:rsidRPr="00AD785E" w:rsidP="00AD785E">
            <w:pPr>
              <w:pStyle w:val="ListBullet"/>
            </w:pPr>
            <w:r w:rsidRPr="00AD785E">
              <w:t>red</w:t>
            </w:r>
            <w:r w:rsidRPr="00AD785E">
              <w:t>ucing use of non-renewable resources</w:t>
            </w:r>
          </w:p>
          <w:p w:rsidR="00000000" w:rsidP="00AD785E">
            <w:pPr>
              <w:pStyle w:val="ListBullet"/>
              <w:rPr>
                <w:lang w:val="en-NZ"/>
              </w:rPr>
            </w:pPr>
            <w:r w:rsidRPr="00AD785E">
              <w:t>reducing energy use and introducing alternative energy sources.</w:t>
            </w:r>
          </w:p>
        </w:tc>
      </w:tr>
      <w:tr w:rsidTr="00E73703">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85E">
            <w:pPr>
              <w:pStyle w:val="BodyText"/>
              <w:rPr>
                <w:lang w:val="en-NZ"/>
              </w:rPr>
            </w:pPr>
            <w:r w:rsidRPr="00AD785E">
              <w:rPr>
                <w:rStyle w:val="BoldandItalics"/>
              </w:rPr>
              <w:t>Product recall</w:t>
            </w:r>
            <w:r w:rsidRPr="00AD785E">
              <w:t xml:space="preserve"> may:</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85E" w:rsidP="00AD785E">
            <w:pPr>
              <w:pStyle w:val="ListBullet"/>
            </w:pPr>
            <w:r w:rsidRPr="00AD785E">
              <w:t>be from wholesalers retailers and/or consumers</w:t>
            </w:r>
          </w:p>
          <w:p w:rsidR="00000000" w:rsidRPr="00AD785E" w:rsidP="00AD785E">
            <w:pPr>
              <w:pStyle w:val="ListBullet"/>
            </w:pPr>
            <w:r w:rsidRPr="00AD785E">
              <w:t>impose special transport and/or storage requirements</w:t>
            </w:r>
          </w:p>
          <w:p w:rsidR="00000000" w:rsidRPr="00AD785E" w:rsidP="00AD785E">
            <w:pPr>
              <w:pStyle w:val="ListBullet"/>
            </w:pPr>
            <w:r w:rsidRPr="00AD785E">
              <w:t>include withdrawal due to product defect, pending further investigation</w:t>
            </w:r>
          </w:p>
          <w:p w:rsidR="00000000" w:rsidRPr="00AD785E" w:rsidP="00AD785E">
            <w:pPr>
              <w:pStyle w:val="ListBullet"/>
            </w:pPr>
            <w:r w:rsidRPr="00AD785E">
              <w:t>need to conform to the food standards code or be in response to the seafood emergency plan</w:t>
            </w:r>
          </w:p>
          <w:p w:rsidR="00000000" w:rsidP="00AD785E">
            <w:pPr>
              <w:pStyle w:val="ListBullet"/>
              <w:rPr>
                <w:lang w:val="en-NZ"/>
              </w:rPr>
            </w:pPr>
            <w:r w:rsidRPr="00AD785E">
              <w:t>include recall of product due to hazard to consumers.</w:t>
            </w:r>
          </w:p>
        </w:tc>
      </w:tr>
      <w:tr w:rsidTr="00E73703">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85E">
            <w:pPr>
              <w:pStyle w:val="BodyText"/>
              <w:rPr>
                <w:lang w:val="en-NZ"/>
              </w:rPr>
            </w:pPr>
            <w:r w:rsidRPr="00AD785E">
              <w:rPr>
                <w:rStyle w:val="BoldandItalics"/>
              </w:rPr>
              <w:t>Conformance with specifications</w:t>
            </w:r>
            <w:r w:rsidRPr="00AD785E">
              <w:t xml:space="preserve"> may in</w:t>
            </w:r>
            <w:r w:rsidRPr="00AD785E">
              <w:t>clude:</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85E" w:rsidP="00AD785E">
            <w:pPr>
              <w:pStyle w:val="ListBullet"/>
            </w:pPr>
            <w:r w:rsidRPr="00AD785E">
              <w:t>food product life cycles</w:t>
            </w:r>
          </w:p>
          <w:p w:rsidR="00000000" w:rsidRPr="00AD785E" w:rsidP="00AD785E">
            <w:pPr>
              <w:pStyle w:val="ListBullet"/>
            </w:pPr>
            <w:r w:rsidRPr="00AD785E">
              <w:t>food recall protocols</w:t>
            </w:r>
          </w:p>
          <w:p w:rsidR="00000000" w:rsidP="00AD785E">
            <w:pPr>
              <w:pStyle w:val="ListBullet"/>
              <w:rPr>
                <w:lang w:val="en-NZ"/>
              </w:rPr>
            </w:pPr>
            <w:r w:rsidRPr="00AD785E">
              <w:t>food standards code.</w:t>
            </w:r>
          </w:p>
        </w:tc>
      </w:tr>
      <w:tr w:rsidTr="00E73703">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85E">
            <w:pPr>
              <w:pStyle w:val="BodyText"/>
              <w:rPr>
                <w:lang w:val="en-NZ"/>
              </w:rPr>
            </w:pPr>
            <w:r w:rsidRPr="00AD785E">
              <w:rPr>
                <w:rStyle w:val="BoldandItalics"/>
              </w:rPr>
              <w:t>Engaging the media</w:t>
            </w:r>
            <w:r w:rsidRPr="00AD785E">
              <w:t xml:space="preserve"> may include:</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85E" w:rsidP="00AD785E">
            <w:pPr>
              <w:pStyle w:val="ListBullet"/>
            </w:pPr>
            <w:r w:rsidRPr="00AD785E">
              <w:t>authority for initiating contact or responding to approach by media</w:t>
            </w:r>
          </w:p>
          <w:p w:rsidR="00000000" w:rsidRPr="00AD785E" w:rsidP="00AD785E">
            <w:pPr>
              <w:pStyle w:val="ListBullet"/>
            </w:pPr>
            <w:r w:rsidRPr="00AD785E">
              <w:t>liability considerations to the enterprise</w:t>
            </w:r>
          </w:p>
          <w:p w:rsidR="00000000" w:rsidP="00AD785E">
            <w:pPr>
              <w:pStyle w:val="ListBullet"/>
              <w:rPr>
                <w:lang w:val="en-NZ"/>
              </w:rPr>
            </w:pPr>
            <w:r w:rsidRPr="00AD785E">
              <w:t>nature of recall (i.e. voluntary or</w:t>
            </w:r>
            <w:r w:rsidRPr="00AD785E">
              <w:t xml:space="preserve"> compulsory).</w:t>
            </w:r>
          </w:p>
        </w:tc>
      </w:tr>
      <w:tr w:rsidTr="00E73703">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85E">
            <w:pPr>
              <w:pStyle w:val="BodyText"/>
              <w:rPr>
                <w:lang w:val="en-NZ"/>
              </w:rPr>
            </w:pPr>
            <w:r w:rsidRPr="00AD785E">
              <w:rPr>
                <w:rStyle w:val="BoldandItalics"/>
              </w:rPr>
              <w:t>Relevant parties</w:t>
            </w:r>
            <w:r w:rsidRPr="00AD785E">
              <w:t xml:space="preserve"> may include:</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85E" w:rsidP="00AD785E">
            <w:pPr>
              <w:pStyle w:val="ListBullet"/>
            </w:pPr>
            <w:r w:rsidRPr="00AD785E">
              <w:t>importer of raw materials used in the recalled product</w:t>
            </w:r>
          </w:p>
          <w:p w:rsidR="00000000" w:rsidRPr="00AD785E" w:rsidP="00AD785E">
            <w:pPr>
              <w:pStyle w:val="ListBullet"/>
            </w:pPr>
            <w:r w:rsidRPr="00AD785E">
              <w:t>insurers</w:t>
            </w:r>
          </w:p>
          <w:p w:rsidR="00000000" w:rsidRPr="00AD785E" w:rsidP="00AD785E">
            <w:pPr>
              <w:pStyle w:val="ListBullet"/>
            </w:pPr>
            <w:r w:rsidRPr="00AD785E">
              <w:t>legal advisers (own and others)</w:t>
            </w:r>
          </w:p>
          <w:p w:rsidR="00000000" w:rsidRPr="00AD785E" w:rsidP="00AD785E">
            <w:pPr>
              <w:pStyle w:val="ListBullet"/>
            </w:pPr>
            <w:r w:rsidRPr="00AD785E">
              <w:t>manufacturer of raw materials or end-product</w:t>
            </w:r>
          </w:p>
          <w:p w:rsidR="00000000" w:rsidRPr="00AD785E" w:rsidP="00AD785E">
            <w:pPr>
              <w:pStyle w:val="ListBullet"/>
            </w:pPr>
            <w:r w:rsidRPr="00AD785E">
              <w:t>police in the event of an extortion or an attempted extortion</w:t>
            </w:r>
          </w:p>
          <w:p w:rsidR="00000000" w:rsidRPr="00AD785E" w:rsidP="00AD785E">
            <w:pPr>
              <w:pStyle w:val="ListBullet"/>
            </w:pPr>
            <w:r w:rsidRPr="00AD785E">
              <w:t>recall sponsor which may include state or territory health authorities</w:t>
            </w:r>
          </w:p>
          <w:p w:rsidR="00000000" w:rsidP="00AD785E">
            <w:pPr>
              <w:pStyle w:val="ListBullet"/>
              <w:rPr>
                <w:lang w:val="en-NZ"/>
              </w:rPr>
            </w:pPr>
            <w:r w:rsidRPr="00AD785E">
              <w:t>suppliers relevant to the recall.</w:t>
            </w:r>
          </w:p>
        </w:tc>
      </w:tr>
      <w:tr w:rsidTr="00E73703">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85E">
            <w:pPr>
              <w:pStyle w:val="BodyText"/>
              <w:rPr>
                <w:lang w:val="en-NZ"/>
              </w:rPr>
            </w:pPr>
            <w:r w:rsidRPr="00AD785E">
              <w:rPr>
                <w:rStyle w:val="BoldandItalics"/>
              </w:rPr>
              <w:t>Isolation</w:t>
            </w:r>
            <w:r w:rsidRPr="00AD785E">
              <w:t xml:space="preserve"> may:</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85E" w:rsidP="00AD785E">
            <w:pPr>
              <w:pStyle w:val="ListBullet"/>
            </w:pPr>
            <w:r w:rsidRPr="00AD785E">
              <w:t>be undertaken with supervision by health authority</w:t>
            </w:r>
          </w:p>
          <w:p w:rsidR="00000000" w:rsidRPr="00AD785E" w:rsidP="00AD785E">
            <w:pPr>
              <w:pStyle w:val="ListBullet"/>
            </w:pPr>
            <w:r w:rsidRPr="00AD785E">
              <w:t>require a central collection site</w:t>
            </w:r>
          </w:p>
          <w:p w:rsidR="00000000" w:rsidP="00AD785E">
            <w:pPr>
              <w:pStyle w:val="ListBullet"/>
              <w:rPr>
                <w:lang w:val="en-NZ"/>
              </w:rPr>
            </w:pPr>
            <w:r w:rsidRPr="00AD785E">
              <w:t>include risk of contamination of manufacturing or storage facility.</w:t>
            </w:r>
          </w:p>
        </w:tc>
      </w:tr>
      <w:tr w:rsidTr="00E73703">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85E">
            <w:pPr>
              <w:pStyle w:val="BodyText"/>
              <w:rPr>
                <w:lang w:val="en-NZ"/>
              </w:rPr>
            </w:pPr>
            <w:r w:rsidRPr="00AD785E">
              <w:rPr>
                <w:rStyle w:val="BoldandItalics"/>
              </w:rPr>
              <w:t>Disposal or destruction processes</w:t>
            </w:r>
            <w:r w:rsidRPr="00AD785E">
              <w:t xml:space="preserve"> may include:</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85E" w:rsidP="00AD785E">
            <w:pPr>
              <w:pStyle w:val="ListBullet"/>
            </w:pPr>
            <w:r w:rsidRPr="00AD785E">
              <w:t>environmental requirements or obligations</w:t>
            </w:r>
          </w:p>
          <w:p w:rsidR="00000000" w:rsidRPr="00AD785E" w:rsidP="00AD785E">
            <w:pPr>
              <w:pStyle w:val="ListBullet"/>
            </w:pPr>
            <w:r w:rsidRPr="00AD785E">
              <w:t>food industry recall protocol.</w:t>
            </w:r>
          </w:p>
        </w:tc>
      </w:tr>
    </w:tbl>
    <w:p w:rsidR="00E73703" w:rsidP="00AD785E">
      <w:pPr>
        <w:pStyle w:val="BodyText"/>
      </w:pPr>
    </w:p>
    <w:p w:rsidR="00E73703" w:rsidP="00AD785E">
      <w:pPr>
        <w:pStyle w:val="BodyText"/>
      </w:pPr>
    </w:p>
    <w:p w:rsidR="00000000" w:rsidRPr="00AD785E" w:rsidP="00AD785E">
      <w:pPr>
        <w:pStyle w:val="Heading1"/>
      </w:pPr>
      <w:bookmarkStart w:id="12" w:name="O_218611"/>
      <w:bookmarkEnd w:id="12"/>
      <w:r w:rsidRPr="00AD785E">
        <w:t>Unit Sector(s)</w:t>
      </w:r>
    </w:p>
    <w:tbl>
      <w:tblPr>
        <w:tblW w:w="0" w:type="auto"/>
        <w:tblLayout w:type="fixed"/>
        <w:tblCellMar>
          <w:left w:w="62" w:type="dxa"/>
          <w:right w:w="62" w:type="dxa"/>
        </w:tblCellMar>
        <w:tblLook w:val="0000"/>
      </w:tblPr>
      <w:tblGrid>
        <w:gridCol w:w="2615"/>
        <w:gridCol w:w="5907"/>
      </w:tblGrid>
      <w:tr w:rsidTr="00E73703">
        <w:tblPrEx>
          <w:tblW w:w="0" w:type="auto"/>
          <w:tblLayout w:type="fixed"/>
          <w:tblCellMar>
            <w:left w:w="62" w:type="dxa"/>
            <w:right w:w="62" w:type="dxa"/>
          </w:tblCellMar>
          <w:tblLook w:val="0000"/>
        </w:tblPrEx>
        <w:trPr>
          <w:tblHeader/>
        </w:trPr>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85E">
            <w:pPr>
              <w:pStyle w:val="BodyText"/>
              <w:rPr>
                <w:lang w:val="en-NZ"/>
              </w:rPr>
            </w:pPr>
            <w:r w:rsidRPr="00AD785E">
              <w:rPr>
                <w:rStyle w:val="SpecialBold"/>
              </w:rPr>
              <w:t>Unit sector</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85E" w:rsidP="00AD785E">
            <w:pPr>
              <w:pStyle w:val="BodyText"/>
            </w:pPr>
            <w:r w:rsidRPr="00AD785E">
              <w:t>Seafood processing</w:t>
            </w:r>
          </w:p>
        </w:tc>
      </w:tr>
    </w:tbl>
    <w:p w:rsidR="00E73703" w:rsidP="00AD785E">
      <w:pPr>
        <w:pStyle w:val="BodyText"/>
      </w:pPr>
    </w:p>
    <w:p w:rsidR="00E73703" w:rsidP="00AD785E">
      <w:pPr>
        <w:pStyle w:val="BodyText"/>
      </w:pPr>
    </w:p>
    <w:p w:rsidR="00000000" w:rsidRPr="00AD785E" w:rsidP="00AD785E">
      <w:pPr>
        <w:pStyle w:val="Heading1"/>
      </w:pPr>
      <w:bookmarkStart w:id="13" w:name="O_218608"/>
      <w:bookmarkEnd w:id="13"/>
      <w:r w:rsidRPr="00AD785E">
        <w:t>Co-requisite units</w:t>
      </w:r>
    </w:p>
    <w:tbl>
      <w:tblPr>
        <w:tblW w:w="0" w:type="auto"/>
        <w:tblLayout w:type="fixed"/>
        <w:tblCellMar>
          <w:left w:w="62" w:type="dxa"/>
          <w:right w:w="62" w:type="dxa"/>
        </w:tblCellMar>
        <w:tblLook w:val="0000"/>
      </w:tblPr>
      <w:tblGrid>
        <w:gridCol w:w="2641"/>
        <w:gridCol w:w="1322"/>
        <w:gridCol w:w="4559"/>
      </w:tblGrid>
      <w:tr w:rsidTr="00E7370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85E">
            <w:pPr>
              <w:pStyle w:val="BodyText"/>
              <w:rPr>
                <w:lang w:val="en-NZ"/>
              </w:rPr>
            </w:pPr>
            <w:r w:rsidRPr="00AD785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E7370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85E">
            <w:pPr>
              <w:pStyle w:val="BodyText"/>
              <w:rPr>
                <w:lang w:val="en-NZ"/>
              </w:rPr>
            </w:pPr>
          </w:p>
        </w:tc>
      </w:tr>
      <w:tr w:rsidTr="00E7370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85E" w:rsidP="00AD785E">
            <w:pPr>
              <w:pStyle w:val="BodyText"/>
            </w:pPr>
          </w:p>
        </w:tc>
      </w:tr>
    </w:tbl>
    <w:p w:rsidR="00E73703" w:rsidP="00AD785E">
      <w:pPr>
        <w:pStyle w:val="BodyText"/>
      </w:pPr>
    </w:p>
    <w:p w:rsidR="00E73703" w:rsidP="00AD785E">
      <w:pPr>
        <w:pStyle w:val="BodyText"/>
      </w:pPr>
    </w:p>
    <w:p w:rsidR="00000000" w:rsidRPr="00AD785E" w:rsidP="00AD785E">
      <w:pPr>
        <w:pStyle w:val="Heading1"/>
      </w:pPr>
      <w:bookmarkStart w:id="14" w:name="O_218610"/>
      <w:bookmarkEnd w:id="14"/>
      <w:r w:rsidRPr="00AD785E">
        <w:t>Competency field</w:t>
      </w:r>
    </w:p>
    <w:tbl>
      <w:tblPr>
        <w:tblW w:w="0" w:type="auto"/>
        <w:tblLayout w:type="fixed"/>
        <w:tblCellMar>
          <w:left w:w="62" w:type="dxa"/>
          <w:right w:w="62" w:type="dxa"/>
        </w:tblCellMar>
        <w:tblLook w:val="0000"/>
      </w:tblPr>
      <w:tblGrid>
        <w:gridCol w:w="2784"/>
        <w:gridCol w:w="5738"/>
      </w:tblGrid>
      <w:tr w:rsidTr="00E7370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85E">
            <w:pPr>
              <w:pStyle w:val="BodyText"/>
              <w:rPr>
                <w:lang w:val="en-NZ"/>
              </w:rPr>
            </w:pPr>
            <w:r w:rsidRPr="00AD785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85E" w:rsidP="00AD785E">
            <w:pPr>
              <w:pStyle w:val="BodyText"/>
            </w:pPr>
          </w:p>
        </w:tc>
      </w:tr>
    </w:tbl>
    <w:p w:rsidR="00E73703" w:rsidP="00AD785E">
      <w:pPr>
        <w:pStyle w:val="BodyText"/>
      </w:pPr>
    </w:p>
    <w:p w:rsidR="00E73703" w:rsidP="00AD785E">
      <w:pPr>
        <w:pStyle w:val="BodyText"/>
      </w:pPr>
    </w:p>
    <w:p w:rsidR="00000000" w:rsidRPr="00AD785E" w:rsidP="00AD785E"/>
    <w:sectPr w:rsidSect="00AD785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8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73703" w:rsidP="00E737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8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703" w:rsidP="00AD78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E73703" w:rsidP="00AD785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E73703" w:rsidP="00AD785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8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73703" w:rsidP="00E7370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8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703" w:rsidP="00AD785E">
    <w:pPr>
      <w:pStyle w:val="Header"/>
      <w:framePr w:wrap="around"/>
    </w:pPr>
    <w:r>
      <w:fldChar w:fldCharType="begin"/>
    </w:r>
    <w:r>
      <w:instrText xml:space="preserve"> TITLE   \* MERGEFORMAT </w:instrText>
    </w:r>
    <w:r>
      <w:fldChar w:fldCharType="separate"/>
    </w:r>
    <w:r>
      <w:t>SFIPROC504C Design and manage a product recall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73703" w:rsidP="00AD785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4DE4A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EA675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C8C0F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785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D785E"/>
    <w:pPr>
      <w:spacing w:before="360" w:after="60"/>
      <w:outlineLvl w:val="0"/>
    </w:pPr>
    <w:rPr>
      <w:sz w:val="32"/>
    </w:rPr>
  </w:style>
  <w:style w:type="paragraph" w:styleId="Heading2">
    <w:name w:val="heading 2"/>
    <w:basedOn w:val="HeadingBase"/>
    <w:next w:val="BodyText"/>
    <w:link w:val="Heading2Char"/>
    <w:qFormat/>
    <w:rsid w:val="00AD785E"/>
    <w:pPr>
      <w:keepLines/>
      <w:spacing w:before="240" w:after="120"/>
      <w:outlineLvl w:val="1"/>
    </w:pPr>
    <w:rPr>
      <w:sz w:val="28"/>
      <w:szCs w:val="40"/>
    </w:rPr>
  </w:style>
  <w:style w:type="paragraph" w:styleId="Heading3">
    <w:name w:val="heading 3"/>
    <w:basedOn w:val="HeadingBase"/>
    <w:next w:val="BodyText"/>
    <w:link w:val="Heading3Char"/>
    <w:qFormat/>
    <w:rsid w:val="00AD785E"/>
    <w:pPr>
      <w:spacing w:before="180" w:after="120"/>
      <w:outlineLvl w:val="2"/>
    </w:pPr>
    <w:rPr>
      <w:spacing w:val="-10"/>
      <w:kern w:val="32"/>
    </w:rPr>
  </w:style>
  <w:style w:type="paragraph" w:styleId="Heading4">
    <w:name w:val="heading 4"/>
    <w:basedOn w:val="HeadingBase"/>
    <w:next w:val="BodyText"/>
    <w:link w:val="Heading4Char"/>
    <w:qFormat/>
    <w:rsid w:val="00AD785E"/>
    <w:pPr>
      <w:spacing w:before="160" w:after="120"/>
      <w:outlineLvl w:val="3"/>
    </w:pPr>
    <w:rPr>
      <w:sz w:val="22"/>
    </w:rPr>
  </w:style>
  <w:style w:type="paragraph" w:styleId="Heading5">
    <w:name w:val="heading 5"/>
    <w:basedOn w:val="HeadingBase"/>
    <w:next w:val="Normal"/>
    <w:link w:val="Heading5Char"/>
    <w:qFormat/>
    <w:rsid w:val="00AD785E"/>
    <w:pPr>
      <w:spacing w:before="80"/>
      <w:outlineLvl w:val="4"/>
    </w:pPr>
    <w:rPr>
      <w:color w:val="918585"/>
      <w:sz w:val="20"/>
    </w:rPr>
  </w:style>
  <w:style w:type="paragraph" w:styleId="Heading6">
    <w:name w:val="heading 6"/>
    <w:basedOn w:val="HeadingBase"/>
    <w:next w:val="Normal"/>
    <w:link w:val="Heading6Char"/>
    <w:qFormat/>
    <w:rsid w:val="00AD785E"/>
    <w:pPr>
      <w:spacing w:before="60"/>
      <w:outlineLvl w:val="5"/>
    </w:pPr>
    <w:rPr>
      <w:color w:val="918585"/>
      <w:sz w:val="20"/>
    </w:rPr>
  </w:style>
  <w:style w:type="paragraph" w:styleId="Heading7">
    <w:name w:val="heading 7"/>
    <w:basedOn w:val="Normal"/>
    <w:next w:val="Normal"/>
    <w:link w:val="Heading7Char"/>
    <w:qFormat/>
    <w:rsid w:val="00AD785E"/>
    <w:pPr>
      <w:ind w:left="720"/>
      <w:outlineLvl w:val="6"/>
    </w:pPr>
    <w:rPr>
      <w:i/>
    </w:rPr>
  </w:style>
  <w:style w:type="paragraph" w:styleId="Heading8">
    <w:name w:val="heading 8"/>
    <w:basedOn w:val="Normal"/>
    <w:next w:val="Normal"/>
    <w:link w:val="Heading8Char"/>
    <w:qFormat/>
    <w:rsid w:val="00AD785E"/>
    <w:pPr>
      <w:ind w:left="720"/>
      <w:outlineLvl w:val="7"/>
    </w:pPr>
    <w:rPr>
      <w:i/>
    </w:rPr>
  </w:style>
  <w:style w:type="paragraph" w:styleId="Heading9">
    <w:name w:val="heading 9"/>
    <w:basedOn w:val="Normal"/>
    <w:next w:val="Normal"/>
    <w:link w:val="Heading9Char"/>
    <w:qFormat/>
    <w:rsid w:val="00AD785E"/>
    <w:pPr>
      <w:ind w:left="720"/>
      <w:outlineLvl w:val="8"/>
    </w:pPr>
    <w:rPr>
      <w:i/>
    </w:rPr>
  </w:style>
  <w:style w:type="character" w:default="1" w:styleId="DefaultParagraphFont">
    <w:name w:val="Default Paragraph Font"/>
    <w:uiPriority w:val="1"/>
    <w:unhideWhenUsed/>
    <w:rsid w:val="00AD78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785E"/>
  </w:style>
  <w:style w:type="character" w:customStyle="1" w:styleId="Heading1Char">
    <w:name w:val="Heading 1 Char"/>
    <w:basedOn w:val="DefaultParagraphFont"/>
    <w:link w:val="Heading1"/>
    <w:rsid w:val="00AD785E"/>
    <w:rPr>
      <w:rFonts w:ascii="Times New Roman" w:eastAsia="Times New Roman" w:hAnsi="Times New Roman" w:cs="Times New Roman"/>
      <w:b/>
      <w:sz w:val="32"/>
      <w:szCs w:val="20"/>
      <w:lang w:eastAsia="en-US"/>
    </w:rPr>
  </w:style>
  <w:style w:type="paragraph" w:styleId="BodyText">
    <w:name w:val="Body Text"/>
    <w:basedOn w:val="Normal"/>
    <w:link w:val="BodyTextChar"/>
    <w:rsid w:val="00AD785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D785E"/>
    <w:rPr>
      <w:rFonts w:ascii="Times New Roman" w:eastAsia="Times New Roman" w:hAnsi="Times New Roman" w:cs="Times New Roman"/>
      <w:sz w:val="24"/>
      <w:lang w:val="en-US" w:eastAsia="en-US"/>
    </w:rPr>
  </w:style>
  <w:style w:type="paragraph" w:styleId="Footer">
    <w:name w:val="footer"/>
    <w:basedOn w:val="Normal"/>
    <w:link w:val="FooterChar"/>
    <w:rsid w:val="00AD78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785E"/>
    <w:rPr>
      <w:rFonts w:ascii="Times New Roman" w:eastAsia="Times New Roman" w:hAnsi="Times New Roman" w:cs="Times New Roman"/>
      <w:sz w:val="16"/>
      <w:lang w:val="en-US" w:eastAsia="en-US"/>
    </w:rPr>
  </w:style>
  <w:style w:type="paragraph" w:styleId="List">
    <w:name w:val="List"/>
    <w:basedOn w:val="BodyText"/>
    <w:next w:val="BodyText"/>
    <w:rsid w:val="00AD785E"/>
    <w:pPr>
      <w:tabs>
        <w:tab w:val="left" w:pos="340"/>
      </w:tabs>
      <w:spacing w:before="60" w:after="60"/>
      <w:ind w:left="340" w:hanging="340"/>
    </w:pPr>
  </w:style>
  <w:style w:type="paragraph" w:styleId="ListBullet">
    <w:name w:val="List Bullet"/>
    <w:basedOn w:val="List"/>
    <w:rsid w:val="00AD785E"/>
    <w:pPr>
      <w:numPr>
        <w:numId w:val="13"/>
      </w:numPr>
      <w:tabs>
        <w:tab w:val="clear" w:pos="340"/>
      </w:tabs>
      <w:spacing w:before="40" w:after="40"/>
    </w:pPr>
  </w:style>
  <w:style w:type="character" w:customStyle="1" w:styleId="SpecialBold">
    <w:name w:val="Special Bold"/>
    <w:basedOn w:val="DefaultParagraphFont"/>
    <w:rsid w:val="00AD785E"/>
    <w:rPr>
      <w:b/>
      <w:spacing w:val="0"/>
    </w:rPr>
  </w:style>
  <w:style w:type="paragraph" w:styleId="ListBullet2">
    <w:name w:val="List Bullet 2"/>
    <w:basedOn w:val="List2"/>
    <w:rsid w:val="00AD785E"/>
    <w:pPr>
      <w:numPr>
        <w:numId w:val="14"/>
      </w:numPr>
      <w:tabs>
        <w:tab w:val="clear" w:pos="680"/>
      </w:tabs>
    </w:pPr>
  </w:style>
  <w:style w:type="paragraph" w:styleId="Header">
    <w:name w:val="header"/>
    <w:basedOn w:val="Normal"/>
    <w:link w:val="HeaderChar"/>
    <w:rsid w:val="00AD78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785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AD785E"/>
    <w:rPr>
      <w:i/>
    </w:rPr>
  </w:style>
  <w:style w:type="paragraph" w:customStyle="1" w:styleId="SuperHeading">
    <w:name w:val="SuperHeading"/>
    <w:basedOn w:val="Normal"/>
    <w:rsid w:val="00AD785E"/>
    <w:pPr>
      <w:spacing w:before="240" w:after="120"/>
      <w:outlineLvl w:val="0"/>
    </w:pPr>
    <w:rPr>
      <w:rFonts w:ascii="Times New Roman" w:hAnsi="Times New Roman"/>
      <w:b/>
      <w:sz w:val="28"/>
    </w:rPr>
  </w:style>
  <w:style w:type="paragraph" w:customStyle="1" w:styleId="AllowPageBreak">
    <w:name w:val="AllowPageBreak"/>
    <w:rsid w:val="00AD785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D785E"/>
    <w:pPr>
      <w:tabs>
        <w:tab w:val="left" w:pos="680"/>
      </w:tabs>
      <w:spacing w:before="60" w:after="60"/>
      <w:ind w:left="680" w:hanging="340"/>
    </w:pPr>
  </w:style>
  <w:style w:type="character" w:customStyle="1" w:styleId="BoldandItalics">
    <w:name w:val="Bold and Italics"/>
    <w:qFormat/>
    <w:rsid w:val="00AD785E"/>
    <w:rPr>
      <w:b/>
      <w:i/>
      <w:u w:val="none"/>
    </w:rPr>
  </w:style>
  <w:style w:type="character" w:customStyle="1" w:styleId="Heading2Char">
    <w:name w:val="Heading 2 Char"/>
    <w:basedOn w:val="DefaultParagraphFont"/>
    <w:link w:val="Heading2"/>
    <w:rsid w:val="00AD78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78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78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78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78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785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D785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D785E"/>
    <w:rPr>
      <w:rFonts w:ascii="Courier New" w:eastAsia="Times New Roman" w:hAnsi="Courier New" w:cs="Times New Roman"/>
      <w:i/>
      <w:szCs w:val="20"/>
      <w:lang w:val="en-US" w:eastAsia="en-US"/>
    </w:rPr>
  </w:style>
  <w:style w:type="paragraph" w:customStyle="1" w:styleId="HeadingBase">
    <w:name w:val="Heading Base"/>
    <w:rsid w:val="00AD78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785E"/>
    <w:pPr>
      <w:tabs>
        <w:tab w:val="right" w:leader="dot" w:pos="9072"/>
      </w:tabs>
      <w:ind w:left="567"/>
    </w:pPr>
    <w:rPr>
      <w:szCs w:val="22"/>
    </w:rPr>
  </w:style>
  <w:style w:type="paragraph" w:customStyle="1" w:styleId="TOCBase">
    <w:name w:val="TOC Base"/>
    <w:rsid w:val="00AD78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785E"/>
    <w:pPr>
      <w:tabs>
        <w:tab w:val="right" w:leader="dot" w:pos="9072"/>
      </w:tabs>
      <w:spacing w:before="40" w:after="40"/>
      <w:ind w:left="284"/>
    </w:pPr>
    <w:rPr>
      <w:rFonts w:ascii="Times New Roman" w:hAnsi="Times New Roman"/>
    </w:rPr>
  </w:style>
  <w:style w:type="paragraph" w:styleId="TOC1">
    <w:name w:val="toc 1"/>
    <w:basedOn w:val="TOCBase"/>
    <w:next w:val="Normal"/>
    <w:rsid w:val="00AD785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D785E"/>
    <w:pPr>
      <w:spacing w:before="5040"/>
      <w:jc w:val="center"/>
    </w:pPr>
    <w:rPr>
      <w:sz w:val="48"/>
      <w:szCs w:val="72"/>
      <w:lang w:val="en-US"/>
    </w:rPr>
  </w:style>
  <w:style w:type="character" w:customStyle="1" w:styleId="TitleChar">
    <w:name w:val="Title Char"/>
    <w:basedOn w:val="DefaultParagraphFont"/>
    <w:link w:val="Title"/>
    <w:rsid w:val="00AD78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785E"/>
    <w:pPr>
      <w:tabs>
        <w:tab w:val="left" w:pos="3600"/>
        <w:tab w:val="left" w:pos="3958"/>
      </w:tabs>
    </w:pPr>
  </w:style>
  <w:style w:type="paragraph" w:customStyle="1" w:styleId="Note">
    <w:name w:val="Note"/>
    <w:basedOn w:val="BodyText"/>
    <w:rsid w:val="00AD78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785E"/>
    <w:pPr>
      <w:framePr w:wrap="auto" w:hAnchor="text" w:y="6049"/>
    </w:pPr>
    <w:rPr>
      <w:color w:val="000000"/>
      <w:sz w:val="40"/>
    </w:rPr>
  </w:style>
  <w:style w:type="paragraph" w:customStyle="1" w:styleId="TOCTitle">
    <w:name w:val="TOCTitle"/>
    <w:basedOn w:val="Heading1"/>
    <w:rsid w:val="00AD785E"/>
    <w:pPr>
      <w:spacing w:after="240"/>
      <w:jc w:val="center"/>
      <w:outlineLvl w:val="9"/>
    </w:pPr>
    <w:rPr>
      <w:caps/>
    </w:rPr>
  </w:style>
  <w:style w:type="paragraph" w:customStyle="1" w:styleId="Version">
    <w:name w:val="Version"/>
    <w:rsid w:val="00AD785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D785E"/>
    <w:pPr>
      <w:keepNext w:val="0"/>
      <w:tabs>
        <w:tab w:val="right" w:pos="4176"/>
      </w:tabs>
      <w:ind w:left="198" w:hanging="198"/>
    </w:pPr>
    <w:rPr>
      <w:rFonts w:ascii="Garamond" w:hAnsi="Garamond"/>
    </w:rPr>
  </w:style>
  <w:style w:type="paragraph" w:styleId="IndexHeading">
    <w:name w:val="index heading"/>
    <w:basedOn w:val="Normal"/>
    <w:next w:val="Index1"/>
    <w:semiHidden/>
    <w:rsid w:val="00AD785E"/>
    <w:pPr>
      <w:spacing w:before="120" w:after="120"/>
    </w:pPr>
    <w:rPr>
      <w:rFonts w:ascii="Arial" w:hAnsi="Arial"/>
      <w:b/>
      <w:color w:val="918585"/>
      <w:sz w:val="24"/>
    </w:rPr>
  </w:style>
  <w:style w:type="paragraph" w:customStyle="1" w:styleId="Chapter">
    <w:name w:val="Chapter"/>
    <w:basedOn w:val="Normal"/>
    <w:rsid w:val="00AD785E"/>
    <w:pPr>
      <w:spacing w:before="240"/>
    </w:pPr>
    <w:rPr>
      <w:rFonts w:ascii="Times New Roman" w:hAnsi="Times New Roman"/>
      <w:smallCaps/>
      <w:spacing w:val="80"/>
      <w:sz w:val="28"/>
    </w:rPr>
  </w:style>
  <w:style w:type="paragraph" w:customStyle="1" w:styleId="InChapter">
    <w:name w:val="InChapter"/>
    <w:basedOn w:val="Heading3"/>
    <w:rsid w:val="00AD785E"/>
    <w:pPr>
      <w:spacing w:after="240"/>
      <w:outlineLvl w:val="9"/>
    </w:pPr>
    <w:rPr>
      <w:noProof/>
    </w:rPr>
  </w:style>
  <w:style w:type="paragraph" w:styleId="Index2">
    <w:name w:val="index 2"/>
    <w:basedOn w:val="Normal"/>
    <w:next w:val="Normal"/>
    <w:semiHidden/>
    <w:rsid w:val="00AD785E"/>
    <w:pPr>
      <w:tabs>
        <w:tab w:val="right" w:pos="4176"/>
      </w:tabs>
      <w:ind w:left="568" w:hanging="284"/>
    </w:pPr>
    <w:rPr>
      <w:rFonts w:ascii="Garamond" w:hAnsi="Garamond"/>
    </w:rPr>
  </w:style>
  <w:style w:type="paragraph" w:customStyle="1" w:styleId="Byline">
    <w:name w:val="Byline"/>
    <w:rsid w:val="00AD78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785E"/>
    <w:pPr>
      <w:tabs>
        <w:tab w:val="clear" w:pos="3600"/>
        <w:tab w:val="clear" w:pos="3958"/>
      </w:tabs>
      <w:jc w:val="right"/>
    </w:pPr>
  </w:style>
  <w:style w:type="paragraph" w:styleId="Caption">
    <w:name w:val="caption"/>
    <w:basedOn w:val="BodyText"/>
    <w:next w:val="Normal"/>
    <w:qFormat/>
    <w:rsid w:val="00AD785E"/>
    <w:pPr>
      <w:framePr w:w="2268" w:hSpace="181" w:vSpace="181" w:wrap="around" w:vAnchor="text" w:hAnchor="page" w:x="1135" w:y="285" w:anchorLock="1"/>
    </w:pPr>
    <w:rPr>
      <w:i/>
    </w:rPr>
  </w:style>
  <w:style w:type="paragraph" w:customStyle="1" w:styleId="MiniTOCTitle">
    <w:name w:val="MiniTOCTitle"/>
    <w:basedOn w:val="Heading4"/>
    <w:rsid w:val="00AD785E"/>
    <w:pPr>
      <w:spacing w:before="240"/>
      <w:outlineLvl w:val="9"/>
    </w:pPr>
    <w:rPr>
      <w:noProof/>
      <w:sz w:val="24"/>
    </w:rPr>
  </w:style>
  <w:style w:type="paragraph" w:customStyle="1" w:styleId="MiniTOCItem">
    <w:name w:val="MiniTOCItem"/>
    <w:basedOn w:val="ListBullet"/>
    <w:rsid w:val="00AD785E"/>
    <w:pPr>
      <w:numPr>
        <w:numId w:val="0"/>
      </w:numPr>
      <w:tabs>
        <w:tab w:val="right" w:leader="dot" w:pos="6521"/>
      </w:tabs>
      <w:spacing w:before="0" w:after="0"/>
    </w:pPr>
  </w:style>
  <w:style w:type="paragraph" w:customStyle="1" w:styleId="TOFTitle">
    <w:name w:val="TOFTitle"/>
    <w:basedOn w:val="TOCTitle"/>
    <w:rsid w:val="00AD785E"/>
  </w:style>
  <w:style w:type="paragraph" w:styleId="TableofFigures">
    <w:name w:val="table of figures"/>
    <w:basedOn w:val="Normal"/>
    <w:next w:val="Normal"/>
    <w:semiHidden/>
    <w:rsid w:val="00AD785E"/>
    <w:pPr>
      <w:tabs>
        <w:tab w:val="right" w:leader="dot" w:pos="9072"/>
      </w:tabs>
      <w:ind w:left="970" w:hanging="403"/>
    </w:pPr>
    <w:rPr>
      <w:rFonts w:ascii="Times New Roman" w:hAnsi="Times New Roman"/>
      <w:b/>
    </w:rPr>
  </w:style>
  <w:style w:type="paragraph" w:styleId="ListNumber">
    <w:name w:val="List Number"/>
    <w:basedOn w:val="List"/>
    <w:rsid w:val="00AD785E"/>
    <w:pPr>
      <w:numPr>
        <w:numId w:val="11"/>
      </w:numPr>
    </w:pPr>
  </w:style>
  <w:style w:type="character" w:customStyle="1" w:styleId="WingdingSymbols">
    <w:name w:val="Wingding Symbols"/>
    <w:rsid w:val="00AD785E"/>
    <w:rPr>
      <w:rFonts w:ascii="Wingdings" w:hAnsi="Wingdings"/>
    </w:rPr>
  </w:style>
  <w:style w:type="paragraph" w:customStyle="1" w:styleId="TableHeading">
    <w:name w:val="Table Heading"/>
    <w:basedOn w:val="HeadingBase"/>
    <w:rsid w:val="00AD785E"/>
    <w:pPr>
      <w:keepLines/>
      <w:pBdr>
        <w:bottom w:val="single" w:sz="6" w:space="1" w:color="918585"/>
      </w:pBdr>
      <w:spacing w:before="240"/>
    </w:pPr>
  </w:style>
  <w:style w:type="character" w:customStyle="1" w:styleId="HotSpot">
    <w:name w:val="HotSpot"/>
    <w:rsid w:val="00AD785E"/>
    <w:rPr>
      <w:color w:val="0033CC"/>
      <w:u w:val="none"/>
    </w:rPr>
  </w:style>
  <w:style w:type="paragraph" w:customStyle="1" w:styleId="BodyTextRight">
    <w:name w:val="Body Text Right"/>
    <w:basedOn w:val="BodyText"/>
    <w:rsid w:val="00AD785E"/>
    <w:pPr>
      <w:spacing w:before="0" w:after="0"/>
      <w:jc w:val="right"/>
    </w:pPr>
  </w:style>
  <w:style w:type="paragraph" w:styleId="Index3">
    <w:name w:val="index 3"/>
    <w:basedOn w:val="ListNumber2"/>
    <w:next w:val="Normal"/>
    <w:semiHidden/>
    <w:rsid w:val="00AD785E"/>
    <w:pPr>
      <w:numPr>
        <w:numId w:val="0"/>
      </w:numPr>
      <w:tabs>
        <w:tab w:val="right" w:leader="dot" w:pos="4176"/>
      </w:tabs>
    </w:pPr>
  </w:style>
  <w:style w:type="paragraph" w:styleId="ListNumber2">
    <w:name w:val="List Number 2"/>
    <w:basedOn w:val="List2"/>
    <w:rsid w:val="00AD785E"/>
    <w:pPr>
      <w:numPr>
        <w:numId w:val="10"/>
      </w:numPr>
      <w:tabs>
        <w:tab w:val="clear" w:pos="1060"/>
      </w:tabs>
    </w:pPr>
  </w:style>
  <w:style w:type="paragraph" w:customStyle="1" w:styleId="MarginNote">
    <w:name w:val="Margin Note"/>
    <w:basedOn w:val="BodyText"/>
    <w:rsid w:val="00AD78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78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785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D785E"/>
    <w:rPr>
      <w:sz w:val="32"/>
    </w:rPr>
  </w:style>
  <w:style w:type="paragraph" w:customStyle="1" w:styleId="HeadingProcedure">
    <w:name w:val="Heading Procedure"/>
    <w:basedOn w:val="HeadingBase"/>
    <w:next w:val="Normal"/>
    <w:rsid w:val="00AD785E"/>
    <w:pPr>
      <w:tabs>
        <w:tab w:val="left" w:pos="0"/>
      </w:tabs>
      <w:spacing w:before="120" w:after="60"/>
    </w:pPr>
    <w:rPr>
      <w:i/>
      <w:color w:val="918585"/>
      <w:sz w:val="22"/>
    </w:rPr>
  </w:style>
  <w:style w:type="paragraph" w:customStyle="1" w:styleId="TableBodyText">
    <w:name w:val="Table Body Text"/>
    <w:basedOn w:val="BodyText"/>
    <w:rsid w:val="00AD785E"/>
    <w:pPr>
      <w:spacing w:before="60" w:after="60"/>
    </w:pPr>
  </w:style>
  <w:style w:type="paragraph" w:styleId="ListContinue">
    <w:name w:val="List Continue"/>
    <w:basedOn w:val="List"/>
    <w:rsid w:val="00AD785E"/>
    <w:pPr>
      <w:ind w:firstLine="0"/>
    </w:pPr>
  </w:style>
  <w:style w:type="paragraph" w:customStyle="1" w:styleId="ListNote">
    <w:name w:val="List Note"/>
    <w:basedOn w:val="List"/>
    <w:rsid w:val="00AD785E"/>
    <w:pPr>
      <w:pBdr>
        <w:top w:val="single" w:sz="6" w:space="2" w:color="918585"/>
        <w:bottom w:val="single" w:sz="6" w:space="2" w:color="918585"/>
      </w:pBdr>
      <w:tabs>
        <w:tab w:val="left" w:pos="1021"/>
      </w:tabs>
      <w:ind w:firstLine="0"/>
    </w:pPr>
  </w:style>
  <w:style w:type="paragraph" w:customStyle="1" w:styleId="Warning">
    <w:name w:val="Warning"/>
    <w:basedOn w:val="BodyText"/>
    <w:rsid w:val="00AD785E"/>
    <w:pPr>
      <w:shd w:val="clear" w:color="auto" w:fill="D9D9D9"/>
      <w:tabs>
        <w:tab w:val="left" w:pos="992"/>
      </w:tabs>
      <w:ind w:left="119" w:right="119"/>
    </w:pPr>
    <w:rPr>
      <w:sz w:val="20"/>
    </w:rPr>
  </w:style>
  <w:style w:type="paragraph" w:customStyle="1" w:styleId="MarginIcons">
    <w:name w:val="Margin Icons"/>
    <w:basedOn w:val="BodyText"/>
    <w:rsid w:val="00AD78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785E"/>
    <w:rPr>
      <w:rFonts w:ascii="Courier New" w:hAnsi="Courier New"/>
    </w:rPr>
  </w:style>
  <w:style w:type="paragraph" w:customStyle="1" w:styleId="NoteBullet">
    <w:name w:val="Note Bullet"/>
    <w:basedOn w:val="Note"/>
    <w:rsid w:val="00AD785E"/>
    <w:pPr>
      <w:tabs>
        <w:tab w:val="clear" w:pos="680"/>
      </w:tabs>
      <w:spacing w:before="60" w:after="60"/>
    </w:pPr>
  </w:style>
  <w:style w:type="paragraph" w:customStyle="1" w:styleId="SubHeading2">
    <w:name w:val="SubHeading2"/>
    <w:basedOn w:val="HeadingBase"/>
    <w:rsid w:val="00AD785E"/>
    <w:pPr>
      <w:spacing w:before="240" w:after="60"/>
    </w:pPr>
    <w:rPr>
      <w:sz w:val="20"/>
    </w:rPr>
  </w:style>
  <w:style w:type="paragraph" w:customStyle="1" w:styleId="SubHeading1">
    <w:name w:val="SubHeading1"/>
    <w:basedOn w:val="HeadingBase"/>
    <w:rsid w:val="00AD785E"/>
    <w:pPr>
      <w:spacing w:before="240" w:after="60"/>
    </w:pPr>
    <w:rPr>
      <w:color w:val="918585"/>
      <w:sz w:val="22"/>
    </w:rPr>
  </w:style>
  <w:style w:type="paragraph" w:customStyle="1" w:styleId="SideHeading">
    <w:name w:val="Side Heading"/>
    <w:basedOn w:val="HeadingBase"/>
    <w:rsid w:val="00AD78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785E"/>
    <w:pPr>
      <w:numPr>
        <w:numId w:val="12"/>
      </w:numPr>
    </w:pPr>
  </w:style>
  <w:style w:type="paragraph" w:styleId="PlainText">
    <w:name w:val="Plain Text"/>
    <w:basedOn w:val="Normal"/>
    <w:link w:val="PlainTextChar"/>
    <w:rsid w:val="00AD785E"/>
    <w:rPr>
      <w:sz w:val="20"/>
    </w:rPr>
  </w:style>
  <w:style w:type="character" w:customStyle="1" w:styleId="PlainTextChar">
    <w:name w:val="Plain Text Char"/>
    <w:basedOn w:val="DefaultParagraphFont"/>
    <w:link w:val="PlainText"/>
    <w:rsid w:val="00AD785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D785E"/>
    <w:rPr>
      <w:b/>
      <w:smallCaps/>
    </w:rPr>
  </w:style>
  <w:style w:type="paragraph" w:customStyle="1" w:styleId="TableListNumber">
    <w:name w:val="Table List Number"/>
    <w:basedOn w:val="ListNumber"/>
    <w:rsid w:val="00AD785E"/>
    <w:pPr>
      <w:numPr>
        <w:numId w:val="0"/>
      </w:numPr>
    </w:pPr>
  </w:style>
  <w:style w:type="paragraph" w:styleId="TOC4">
    <w:name w:val="toc 4"/>
    <w:basedOn w:val="TOCBase"/>
    <w:next w:val="Normal"/>
    <w:semiHidden/>
    <w:rsid w:val="00AD785E"/>
    <w:pPr>
      <w:tabs>
        <w:tab w:val="right" w:leader="dot" w:pos="9071"/>
      </w:tabs>
      <w:ind w:left="1701"/>
    </w:pPr>
  </w:style>
  <w:style w:type="paragraph" w:customStyle="1" w:styleId="ListAlpha">
    <w:name w:val="List Alpha"/>
    <w:basedOn w:val="List"/>
    <w:rsid w:val="00AD785E"/>
    <w:pPr>
      <w:numPr>
        <w:numId w:val="9"/>
      </w:numPr>
    </w:pPr>
  </w:style>
  <w:style w:type="paragraph" w:customStyle="1" w:styleId="ListAlpha2">
    <w:name w:val="List Alpha 2"/>
    <w:basedOn w:val="List2"/>
    <w:rsid w:val="00AD785E"/>
    <w:pPr>
      <w:numPr>
        <w:numId w:val="8"/>
      </w:numPr>
    </w:pPr>
  </w:style>
  <w:style w:type="paragraph" w:styleId="List3">
    <w:name w:val="List 3"/>
    <w:basedOn w:val="BodyText"/>
    <w:rsid w:val="00AD785E"/>
    <w:pPr>
      <w:tabs>
        <w:tab w:val="left" w:pos="1021"/>
      </w:tabs>
      <w:spacing w:before="60" w:after="60"/>
      <w:ind w:left="1020" w:hanging="340"/>
    </w:pPr>
  </w:style>
  <w:style w:type="paragraph" w:styleId="List4">
    <w:name w:val="List 4"/>
    <w:basedOn w:val="BodyText"/>
    <w:rsid w:val="00AD785E"/>
    <w:pPr>
      <w:tabs>
        <w:tab w:val="left" w:pos="1361"/>
      </w:tabs>
      <w:spacing w:before="60" w:after="60"/>
      <w:ind w:left="1361" w:hanging="340"/>
    </w:pPr>
  </w:style>
  <w:style w:type="paragraph" w:styleId="List5">
    <w:name w:val="List 5"/>
    <w:basedOn w:val="BodyText"/>
    <w:rsid w:val="00AD785E"/>
    <w:pPr>
      <w:tabs>
        <w:tab w:val="left" w:pos="1701"/>
      </w:tabs>
      <w:spacing w:before="60" w:after="60"/>
      <w:ind w:left="1701" w:hanging="340"/>
    </w:pPr>
  </w:style>
  <w:style w:type="paragraph" w:styleId="ListBullet3">
    <w:name w:val="List Bullet 3"/>
    <w:basedOn w:val="List3"/>
    <w:rsid w:val="00AD785E"/>
    <w:pPr>
      <w:numPr>
        <w:numId w:val="15"/>
      </w:numPr>
      <w:tabs>
        <w:tab w:val="clear" w:pos="1021"/>
      </w:tabs>
      <w:ind w:left="1037" w:hanging="357"/>
    </w:pPr>
  </w:style>
  <w:style w:type="paragraph" w:styleId="ListBullet4">
    <w:name w:val="List Bullet 4"/>
    <w:basedOn w:val="List4"/>
    <w:rsid w:val="00AD785E"/>
    <w:pPr>
      <w:numPr>
        <w:numId w:val="3"/>
      </w:numPr>
    </w:pPr>
  </w:style>
  <w:style w:type="paragraph" w:styleId="ListBullet5">
    <w:name w:val="List Bullet 5"/>
    <w:basedOn w:val="List5"/>
    <w:rsid w:val="00AD785E"/>
    <w:pPr>
      <w:numPr>
        <w:numId w:val="4"/>
      </w:numPr>
    </w:pPr>
  </w:style>
  <w:style w:type="paragraph" w:styleId="ListContinue2">
    <w:name w:val="List Continue 2"/>
    <w:basedOn w:val="List2"/>
    <w:rsid w:val="00AD785E"/>
    <w:pPr>
      <w:ind w:firstLine="0"/>
    </w:pPr>
  </w:style>
  <w:style w:type="paragraph" w:styleId="ListContinue3">
    <w:name w:val="List Continue 3"/>
    <w:basedOn w:val="List3"/>
    <w:rsid w:val="00AD785E"/>
    <w:pPr>
      <w:ind w:left="1021" w:firstLine="0"/>
    </w:pPr>
  </w:style>
  <w:style w:type="paragraph" w:styleId="ListContinue4">
    <w:name w:val="List Continue 4"/>
    <w:basedOn w:val="List4"/>
    <w:rsid w:val="00AD785E"/>
    <w:pPr>
      <w:ind w:firstLine="0"/>
    </w:pPr>
  </w:style>
  <w:style w:type="paragraph" w:styleId="ListContinue5">
    <w:name w:val="List Continue 5"/>
    <w:basedOn w:val="List5"/>
    <w:rsid w:val="00AD785E"/>
    <w:pPr>
      <w:ind w:firstLine="0"/>
    </w:pPr>
  </w:style>
  <w:style w:type="paragraph" w:styleId="ListNumber3">
    <w:name w:val="List Number 3"/>
    <w:basedOn w:val="List3"/>
    <w:rsid w:val="00AD785E"/>
    <w:pPr>
      <w:numPr>
        <w:numId w:val="5"/>
      </w:numPr>
    </w:pPr>
  </w:style>
  <w:style w:type="paragraph" w:styleId="ListNumber4">
    <w:name w:val="List Number 4"/>
    <w:basedOn w:val="List4"/>
    <w:rsid w:val="00AD785E"/>
    <w:pPr>
      <w:numPr>
        <w:numId w:val="6"/>
      </w:numPr>
    </w:pPr>
  </w:style>
  <w:style w:type="paragraph" w:styleId="ListNumber5">
    <w:name w:val="List Number 5"/>
    <w:basedOn w:val="List5"/>
    <w:rsid w:val="00AD785E"/>
    <w:pPr>
      <w:numPr>
        <w:numId w:val="7"/>
      </w:numPr>
    </w:pPr>
  </w:style>
  <w:style w:type="paragraph" w:styleId="BlockText">
    <w:name w:val="Block Text"/>
    <w:basedOn w:val="Normal"/>
    <w:rsid w:val="00AD785E"/>
    <w:pPr>
      <w:spacing w:after="120"/>
      <w:ind w:left="1440" w:right="1440"/>
    </w:pPr>
  </w:style>
  <w:style w:type="character" w:customStyle="1" w:styleId="Subscript">
    <w:name w:val="Subscript"/>
    <w:basedOn w:val="DefaultParagraphFont"/>
    <w:rsid w:val="00AD785E"/>
    <w:rPr>
      <w:sz w:val="16"/>
      <w:vertAlign w:val="subscript"/>
    </w:rPr>
  </w:style>
  <w:style w:type="character" w:customStyle="1" w:styleId="Superscript">
    <w:name w:val="Superscript"/>
    <w:basedOn w:val="DefaultParagraphFont"/>
    <w:rsid w:val="00AD785E"/>
    <w:rPr>
      <w:sz w:val="16"/>
      <w:vertAlign w:val="superscript"/>
    </w:rPr>
  </w:style>
  <w:style w:type="character" w:customStyle="1" w:styleId="Symbols">
    <w:name w:val="Symbols"/>
    <w:basedOn w:val="DefaultParagraphFont"/>
    <w:rsid w:val="00AD785E"/>
    <w:rPr>
      <w:rFonts w:ascii="Symbol" w:hAnsi="Symbol"/>
    </w:rPr>
  </w:style>
  <w:style w:type="character" w:customStyle="1" w:styleId="MenuOptions">
    <w:name w:val="Menu Options"/>
    <w:basedOn w:val="DefaultParagraphFont"/>
    <w:rsid w:val="00AD785E"/>
    <w:rPr>
      <w:rFonts w:ascii="Arial Narrow" w:hAnsi="Arial Narrow"/>
      <w:smallCaps/>
    </w:rPr>
  </w:style>
  <w:style w:type="character" w:customStyle="1" w:styleId="Buttons">
    <w:name w:val="Buttons"/>
    <w:basedOn w:val="DefaultParagraphFont"/>
    <w:rsid w:val="00AD785E"/>
    <w:rPr>
      <w:b/>
    </w:rPr>
  </w:style>
  <w:style w:type="character" w:customStyle="1" w:styleId="Underlined">
    <w:name w:val="Underlined"/>
    <w:basedOn w:val="DefaultParagraphFont"/>
    <w:rsid w:val="00AD785E"/>
    <w:rPr>
      <w:u w:val="single"/>
    </w:rPr>
  </w:style>
  <w:style w:type="paragraph" w:customStyle="1" w:styleId="TableBodyTextRight">
    <w:name w:val="Table Body Text Right"/>
    <w:basedOn w:val="TableBodyText"/>
    <w:rsid w:val="00AD785E"/>
    <w:pPr>
      <w:widowControl w:val="0"/>
      <w:autoSpaceDE w:val="0"/>
      <w:autoSpaceDN w:val="0"/>
      <w:adjustRightInd w:val="0"/>
      <w:jc w:val="right"/>
    </w:pPr>
    <w:rPr>
      <w:rFonts w:cs="Arial"/>
      <w:szCs w:val="18"/>
    </w:rPr>
  </w:style>
  <w:style w:type="paragraph" w:customStyle="1" w:styleId="CopyrightText">
    <w:name w:val="Copyright Text"/>
    <w:basedOn w:val="BodyText"/>
    <w:rsid w:val="00AD785E"/>
    <w:rPr>
      <w:sz w:val="18"/>
    </w:rPr>
  </w:style>
  <w:style w:type="paragraph" w:customStyle="1" w:styleId="BodySmallRight">
    <w:name w:val="Body Small Right"/>
    <w:basedOn w:val="BodyTextRight"/>
    <w:rsid w:val="00AD785E"/>
    <w:rPr>
      <w:sz w:val="18"/>
      <w:szCs w:val="18"/>
    </w:rPr>
  </w:style>
  <w:style w:type="paragraph" w:customStyle="1" w:styleId="MarginEdition">
    <w:name w:val="Margin Edition"/>
    <w:basedOn w:val="MarginNote"/>
    <w:rsid w:val="00AD785E"/>
    <w:pPr>
      <w:spacing w:before="0" w:after="0"/>
    </w:pPr>
    <w:rPr>
      <w:rFonts w:ascii="Times New Roman" w:hAnsi="Times New Roman"/>
      <w:color w:val="999999"/>
    </w:rPr>
  </w:style>
  <w:style w:type="paragraph" w:customStyle="1" w:styleId="Spacer">
    <w:name w:val="Spacer"/>
    <w:basedOn w:val="Normal"/>
    <w:rsid w:val="00AD785E"/>
    <w:rPr>
      <w:sz w:val="2"/>
      <w:szCs w:val="2"/>
    </w:rPr>
  </w:style>
  <w:style w:type="character" w:customStyle="1" w:styleId="Small">
    <w:name w:val="Small"/>
    <w:basedOn w:val="DefaultParagraphFont"/>
    <w:rsid w:val="00AD785E"/>
    <w:rPr>
      <w:sz w:val="16"/>
    </w:rPr>
  </w:style>
  <w:style w:type="paragraph" w:customStyle="1" w:styleId="WideTable">
    <w:name w:val="Wide Table"/>
    <w:basedOn w:val="Normal"/>
    <w:rsid w:val="00AD785E"/>
    <w:pPr>
      <w:ind w:left="-1418"/>
    </w:pPr>
    <w:rPr>
      <w:sz w:val="2"/>
      <w:szCs w:val="2"/>
    </w:rPr>
  </w:style>
  <w:style w:type="character" w:styleId="PageNumber">
    <w:name w:val="page number"/>
    <w:basedOn w:val="DefaultParagraphFont"/>
    <w:rsid w:val="00AD785E"/>
  </w:style>
  <w:style w:type="paragraph" w:styleId="Quote">
    <w:name w:val="Quote"/>
    <w:basedOn w:val="Heading1"/>
    <w:link w:val="QuoteChar"/>
    <w:qFormat/>
    <w:rsid w:val="00AD785E"/>
    <w:rPr>
      <w:b w:val="0"/>
      <w:sz w:val="72"/>
      <w:szCs w:val="72"/>
      <w:lang w:val="en-NZ"/>
    </w:rPr>
  </w:style>
  <w:style w:type="character" w:customStyle="1" w:styleId="QuoteChar">
    <w:name w:val="Quote Char"/>
    <w:basedOn w:val="DefaultParagraphFont"/>
    <w:link w:val="Quote"/>
    <w:rsid w:val="00AD78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785E"/>
    <w:pPr>
      <w:pageBreakBefore/>
    </w:pPr>
  </w:style>
  <w:style w:type="paragraph" w:customStyle="1" w:styleId="Border">
    <w:name w:val="Border"/>
    <w:basedOn w:val="Normal"/>
    <w:qFormat/>
    <w:rsid w:val="00AD78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785E"/>
    <w:rPr>
      <w:b/>
      <w:bCs/>
      <w:i/>
      <w:iCs/>
      <w:color w:val="auto"/>
    </w:rPr>
  </w:style>
  <w:style w:type="paragraph" w:styleId="IntenseQuote">
    <w:name w:val="Intense Quote"/>
    <w:basedOn w:val="Normal"/>
    <w:next w:val="Normal"/>
    <w:link w:val="IntenseQuoteChar"/>
    <w:uiPriority w:val="30"/>
    <w:qFormat/>
    <w:rsid w:val="00AD78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785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D785E"/>
    <w:rPr>
      <w:smallCaps/>
      <w:color w:val="auto"/>
      <w:u w:val="single"/>
    </w:rPr>
  </w:style>
  <w:style w:type="character" w:styleId="IntenseReference">
    <w:name w:val="Intense Reference"/>
    <w:basedOn w:val="DefaultParagraphFont"/>
    <w:uiPriority w:val="32"/>
    <w:qFormat/>
    <w:rsid w:val="00AD785E"/>
    <w:rPr>
      <w:b/>
      <w:bCs/>
      <w:smallCaps/>
      <w:color w:val="auto"/>
      <w:spacing w:val="5"/>
      <w:u w:val="single"/>
    </w:rPr>
  </w:style>
  <w:style w:type="paragraph" w:customStyle="1" w:styleId="2ColumnHeading">
    <w:name w:val="2Column Heading"/>
    <w:basedOn w:val="BodyText"/>
    <w:qFormat/>
    <w:rsid w:val="00AD785E"/>
    <w:pPr>
      <w:spacing w:after="60"/>
      <w:ind w:left="-2268"/>
    </w:pPr>
    <w:rPr>
      <w:b/>
    </w:rPr>
  </w:style>
  <w:style w:type="paragraph" w:customStyle="1" w:styleId="Heading1TOC">
    <w:name w:val="Heading1 TOC"/>
    <w:basedOn w:val="Normal"/>
    <w:qFormat/>
    <w:rsid w:val="00AD785E"/>
    <w:pPr>
      <w:spacing w:before="240" w:after="120"/>
    </w:pPr>
    <w:rPr>
      <w:rFonts w:ascii="Times New Roman" w:hAnsi="Times New Roman"/>
      <w:b/>
      <w:sz w:val="32"/>
    </w:rPr>
  </w:style>
  <w:style w:type="paragraph" w:customStyle="1" w:styleId="Heading2TOC">
    <w:name w:val="Heading2 TOC"/>
    <w:basedOn w:val="Normal"/>
    <w:qFormat/>
    <w:rsid w:val="00AD785E"/>
    <w:pPr>
      <w:spacing w:before="240" w:after="60"/>
    </w:pPr>
    <w:rPr>
      <w:rFonts w:ascii="Times New Roman" w:hAnsi="Times New Roman"/>
      <w:b/>
      <w:sz w:val="28"/>
    </w:rPr>
  </w:style>
  <w:style w:type="character" w:customStyle="1" w:styleId="Underline">
    <w:name w:val="Underline"/>
    <w:basedOn w:val="DefaultParagraphFont"/>
    <w:qFormat/>
    <w:rsid w:val="00AD785E"/>
    <w:rPr>
      <w:u w:val="single"/>
    </w:rPr>
  </w:style>
  <w:style w:type="paragraph" w:styleId="BalloonText">
    <w:name w:val="Balloon Text"/>
    <w:basedOn w:val="Normal"/>
    <w:link w:val="BalloonTextChar"/>
    <w:rsid w:val="00AD785E"/>
    <w:rPr>
      <w:rFonts w:ascii="Tahoma" w:hAnsi="Tahoma" w:cs="Tahoma"/>
      <w:sz w:val="16"/>
      <w:szCs w:val="16"/>
    </w:rPr>
  </w:style>
  <w:style w:type="character" w:customStyle="1" w:styleId="BalloonTextChar">
    <w:name w:val="Balloon Text Char"/>
    <w:basedOn w:val="DefaultParagraphFont"/>
    <w:link w:val="BalloonText"/>
    <w:rsid w:val="00AD785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D785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D785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1886</Words>
  <Characters>12089</Characters>
  <Application>Microsoft Office Word</Application>
  <DocSecurity>0</DocSecurity>
  <Lines>431</Lines>
  <Paragraphs>213</Paragraphs>
  <ScaleCrop>false</ScaleCrop>
  <Company>Author-it Software Corporation Ltd.</Company>
  <LinksUpToDate>false</LinksUpToDate>
  <CharactersWithSpaces>13916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SFIPROC504C Design and manage a product recall</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2012-05-26T08:39:00Z</dcterms:created>
  <dcterms:modified xsi:type="dcterms:W3CDTF">2012-05-26T08:39:00Z</dcterms:modified>
</cp:coreProperties>
</file>