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33A" w:rsidP="00F7233A">
      <w:pPr>
        <w:pStyle w:val="Title"/>
      </w:pPr>
      <w:r>
        <w:fldChar w:fldCharType="begin"/>
      </w:r>
      <w:r>
        <w:instrText xml:space="preserve"> TITLE   \* MERGEFORMAT </w:instrText>
      </w:r>
      <w:r>
        <w:fldChar w:fldCharType="separate"/>
      </w:r>
      <w:r>
        <w:t>SFIPROC503C Analyse seafood packaging requirements</w:t>
      </w:r>
      <w:r>
        <w:fldChar w:fldCharType="end"/>
      </w:r>
    </w:p>
    <w:p w:rsidR="00F7233A" w:rsidP="00F7233A">
      <w:pPr>
        <w:pStyle w:val="Version"/>
        <w:sectPr w:rsidSect="005C6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10F" w:rsidP="005C610F">
      <w:pPr>
        <w:pStyle w:val="SuperHeading"/>
      </w:pPr>
      <w:r w:rsidRPr="005C610F">
        <w:t>SFIPROC503C Analyse seafood packaging requirements</w:t>
      </w:r>
    </w:p>
    <w:p w:rsidR="00000000" w:rsidRPr="005C610F" w:rsidP="005C610F">
      <w:pPr>
        <w:pStyle w:val="Heading1"/>
      </w:pPr>
      <w:bookmarkStart w:id="1" w:name="O_273301"/>
      <w:bookmarkEnd w:id="1"/>
      <w:r w:rsidRPr="005C610F">
        <w:t>Modification History</w:t>
      </w:r>
    </w:p>
    <w:p w:rsidR="00000000" w:rsidRPr="005C610F" w:rsidP="005C610F">
      <w:pPr>
        <w:pStyle w:val="BodyText"/>
      </w:pPr>
      <w:r w:rsidRPr="005C610F">
        <w:t>Not Applicable</w:t>
      </w:r>
    </w:p>
    <w:p w:rsidR="00000000" w:rsidRPr="005C610F" w:rsidP="005C610F">
      <w:pPr>
        <w:pStyle w:val="AllowPageBreak"/>
      </w:pPr>
    </w:p>
    <w:p w:rsidR="00000000" w:rsidRPr="005C610F" w:rsidP="005C610F">
      <w:pPr>
        <w:pStyle w:val="Heading1"/>
      </w:pPr>
      <w:bookmarkStart w:id="2" w:name="O_218598"/>
      <w:bookmarkEnd w:id="2"/>
      <w:r w:rsidRPr="005C610F">
        <w:t>Unit Descriptor</w:t>
      </w:r>
    </w:p>
    <w:tbl>
      <w:tblPr>
        <w:tblW w:w="0" w:type="auto"/>
        <w:tblLayout w:type="fixed"/>
        <w:tblCellMar>
          <w:left w:w="62" w:type="dxa"/>
          <w:right w:w="62" w:type="dxa"/>
        </w:tblCellMar>
        <w:tblLook w:val="0000"/>
      </w:tblPr>
      <w:tblGrid>
        <w:gridCol w:w="2653"/>
        <w:gridCol w:w="5869"/>
      </w:tblGrid>
      <w:tr w:rsidTr="00F7233A">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This unit of competency involves analysing the role that packaging plays in the marketability of sea</w:t>
            </w:r>
            <w:r w:rsidRPr="005C610F">
              <w:t>food to consumers or commercial customers and in nominating packaging solutions which maximise marketability while conforming to particular product requirements.</w:t>
            </w:r>
          </w:p>
          <w:p w:rsidR="00000000" w:rsidRPr="005C610F" w:rsidP="005C610F">
            <w:pPr>
              <w:pStyle w:val="BodyText"/>
            </w:pPr>
            <w:r w:rsidRPr="005C610F">
              <w:t>The unit includes consideration of factors which impact on the choice of packaging media, incl</w:t>
            </w:r>
            <w:r w:rsidRPr="005C610F">
              <w:t>uding characteristics of closure systems, print processes and inks, pre-packaging operations required and an evaluation of post-packaging operations, including handling, warehousing and distribution considerations.</w:t>
            </w:r>
          </w:p>
          <w:p w:rsidR="00000000" w:rsidRPr="005C610F" w:rsidP="005C610F">
            <w:pPr>
              <w:pStyle w:val="BodyText"/>
            </w:pPr>
            <w:r w:rsidRPr="005C610F">
              <w:t xml:space="preserve">No licensing, legislative, regulatory or </w:t>
            </w:r>
            <w:r w:rsidRPr="005C610F">
              <w:t>certification requirements apply to this unit at the time of publication.</w:t>
            </w:r>
          </w:p>
        </w:tc>
      </w:tr>
    </w:tbl>
    <w:p w:rsidR="00F7233A" w:rsidP="005C610F">
      <w:pPr>
        <w:pStyle w:val="BodyText"/>
      </w:pPr>
    </w:p>
    <w:p w:rsidR="00F7233A" w:rsidP="005C610F">
      <w:pPr>
        <w:pStyle w:val="BodyText"/>
      </w:pPr>
    </w:p>
    <w:p w:rsidR="00000000" w:rsidRPr="005C610F" w:rsidP="005C610F">
      <w:pPr>
        <w:pStyle w:val="Heading1"/>
      </w:pPr>
      <w:bookmarkStart w:id="3" w:name="O_218602"/>
      <w:bookmarkEnd w:id="3"/>
      <w:r w:rsidRPr="005C610F">
        <w:t>Application of the Unit</w:t>
      </w:r>
    </w:p>
    <w:tbl>
      <w:tblPr>
        <w:tblW w:w="0" w:type="auto"/>
        <w:tblLayout w:type="fixed"/>
        <w:tblCellMar>
          <w:left w:w="62" w:type="dxa"/>
          <w:right w:w="62" w:type="dxa"/>
        </w:tblCellMar>
        <w:tblLook w:val="0000"/>
      </w:tblPr>
      <w:tblGrid>
        <w:gridCol w:w="2734"/>
        <w:gridCol w:w="5788"/>
      </w:tblGrid>
      <w:tr w:rsidTr="00F7233A">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 xml:space="preserve">All enterprise or workplace procedures and activities are carried out according to </w:t>
            </w:r>
            <w:r w:rsidRPr="005C610F">
              <w:rPr>
                <w:rStyle w:val="BoldandItalics"/>
              </w:rPr>
              <w:t>relevant government regulations</w:t>
            </w:r>
            <w:r w:rsidRPr="005C610F">
              <w:t xml:space="preserve">, </w:t>
            </w:r>
            <w:r w:rsidRPr="005C610F">
              <w:rPr>
                <w:rStyle w:val="BoldandItalics"/>
              </w:rPr>
              <w:t>licensing and other compliance requirements</w:t>
            </w:r>
            <w:r w:rsidRPr="005C610F">
              <w:t xml:space="preserve">, including </w:t>
            </w:r>
            <w:r w:rsidRPr="005C610F">
              <w:rPr>
                <w:rStyle w:val="BoldandItalics"/>
              </w:rPr>
              <w:t>food safety and hygiene regulations and procedures</w:t>
            </w:r>
            <w:r w:rsidRPr="005C610F">
              <w:t xml:space="preserve"> and </w:t>
            </w:r>
            <w:r w:rsidRPr="005C610F">
              <w:rPr>
                <w:rStyle w:val="BoldandItalics"/>
              </w:rPr>
              <w:t>ecologically sustainable development</w:t>
            </w:r>
            <w:r w:rsidRPr="005C610F">
              <w:t xml:space="preserve"> (</w:t>
            </w:r>
            <w:r w:rsidRPr="005C610F">
              <w:rPr>
                <w:rStyle w:val="BoldandItalics"/>
              </w:rPr>
              <w:t>ESD</w:t>
            </w:r>
            <w:r w:rsidRPr="005C610F">
              <w:t xml:space="preserve">) </w:t>
            </w:r>
            <w:r w:rsidRPr="005C610F">
              <w:rPr>
                <w:rStyle w:val="BoldandItalics"/>
              </w:rPr>
              <w:t>principles</w:t>
            </w:r>
            <w:r w:rsidRPr="005C610F">
              <w:t>.</w:t>
            </w:r>
          </w:p>
        </w:tc>
      </w:tr>
    </w:tbl>
    <w:p w:rsidR="00F7233A" w:rsidP="005C610F">
      <w:pPr>
        <w:pStyle w:val="BodyText"/>
      </w:pPr>
    </w:p>
    <w:p w:rsidR="00F7233A" w:rsidP="005C610F">
      <w:pPr>
        <w:pStyle w:val="BodyText"/>
      </w:pPr>
    </w:p>
    <w:p w:rsidR="00000000" w:rsidRPr="005C610F" w:rsidP="005C610F">
      <w:pPr>
        <w:pStyle w:val="Heading1"/>
      </w:pPr>
      <w:bookmarkStart w:id="4" w:name="O_281561"/>
      <w:bookmarkEnd w:id="4"/>
      <w:r w:rsidRPr="005C610F">
        <w:t>Licensing/Regulatory Information</w:t>
      </w:r>
    </w:p>
    <w:p w:rsidR="00000000" w:rsidRPr="005C610F" w:rsidP="005C610F">
      <w:pPr>
        <w:pStyle w:val="BodyText"/>
      </w:pPr>
      <w:r w:rsidRPr="005C610F">
        <w:t>Refer to Unit Descriptor</w:t>
      </w:r>
    </w:p>
    <w:p w:rsidR="00000000" w:rsidRPr="005C610F" w:rsidP="005C610F">
      <w:pPr>
        <w:pStyle w:val="AllowPageBreak"/>
      </w:pPr>
    </w:p>
    <w:p w:rsidR="00000000" w:rsidRPr="005C610F" w:rsidP="005C610F">
      <w:pPr>
        <w:pStyle w:val="Heading1"/>
      </w:pPr>
      <w:bookmarkStart w:id="5" w:name="O_218600"/>
      <w:bookmarkEnd w:id="5"/>
      <w:r w:rsidRPr="005C610F">
        <w:t>Pre-Requisites</w:t>
      </w:r>
    </w:p>
    <w:tbl>
      <w:tblPr>
        <w:tblW w:w="0" w:type="auto"/>
        <w:tblLayout w:type="fixed"/>
        <w:tblCellMar>
          <w:left w:w="62" w:type="dxa"/>
          <w:right w:w="62" w:type="dxa"/>
        </w:tblCellMar>
        <w:tblLook w:val="0000"/>
      </w:tblPr>
      <w:tblGrid>
        <w:gridCol w:w="2775"/>
        <w:gridCol w:w="1295"/>
        <w:gridCol w:w="4452"/>
      </w:tblGrid>
      <w:tr w:rsidTr="00F723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p>
        </w:tc>
      </w:tr>
      <w:tr w:rsidTr="00F723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p>
        </w:tc>
      </w:tr>
      <w:tr w:rsidTr="00F723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p>
        </w:tc>
      </w:tr>
    </w:tbl>
    <w:p w:rsidR="00F7233A" w:rsidP="005C610F">
      <w:pPr>
        <w:pStyle w:val="BodyText"/>
      </w:pPr>
    </w:p>
    <w:p w:rsidR="00F7233A" w:rsidP="005C610F">
      <w:pPr>
        <w:pStyle w:val="BodyText"/>
      </w:pPr>
    </w:p>
    <w:p w:rsidR="00000000" w:rsidRPr="005C610F" w:rsidP="005C610F">
      <w:pPr>
        <w:pStyle w:val="Heading1"/>
      </w:pPr>
      <w:bookmarkStart w:id="6" w:name="O_218599"/>
      <w:bookmarkEnd w:id="6"/>
      <w:r w:rsidRPr="005C610F">
        <w:t>Employability Skills Information</w:t>
      </w:r>
    </w:p>
    <w:tbl>
      <w:tblPr>
        <w:tblW w:w="0" w:type="auto"/>
        <w:tblLayout w:type="fixed"/>
        <w:tblCellMar>
          <w:left w:w="62" w:type="dxa"/>
          <w:right w:w="62" w:type="dxa"/>
        </w:tblCellMar>
        <w:tblLook w:val="0000"/>
      </w:tblPr>
      <w:tblGrid>
        <w:gridCol w:w="2802"/>
        <w:gridCol w:w="5720"/>
      </w:tblGrid>
      <w:tr w:rsidTr="00F723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This unit contains employability skills.</w:t>
            </w:r>
          </w:p>
        </w:tc>
      </w:tr>
    </w:tbl>
    <w:p w:rsidR="00F7233A" w:rsidP="005C610F">
      <w:pPr>
        <w:pStyle w:val="BodyText"/>
      </w:pPr>
    </w:p>
    <w:p w:rsidR="00F7233A" w:rsidP="005C610F">
      <w:pPr>
        <w:pStyle w:val="BodyText"/>
      </w:pPr>
    </w:p>
    <w:p w:rsidR="00000000" w:rsidRPr="005C610F" w:rsidP="005C610F">
      <w:pPr>
        <w:pStyle w:val="Heading1"/>
      </w:pPr>
      <w:bookmarkStart w:id="7" w:name="O_291347"/>
      <w:bookmarkEnd w:id="7"/>
      <w:r w:rsidRPr="005C610F">
        <w:t>Elements and Performance Criteria Pre-Content</w:t>
      </w:r>
    </w:p>
    <w:tbl>
      <w:tblPr>
        <w:tblW w:w="0" w:type="auto"/>
        <w:tblLayout w:type="fixed"/>
        <w:tblCellMar>
          <w:left w:w="62" w:type="dxa"/>
          <w:right w:w="62" w:type="dxa"/>
        </w:tblCellMar>
        <w:tblLook w:val="0000"/>
      </w:tblPr>
      <w:tblGrid>
        <w:gridCol w:w="2604"/>
        <w:gridCol w:w="5918"/>
      </w:tblGrid>
      <w:tr w:rsidTr="00F723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Performance criteria describe the performance needed to demonstrate achievement of the element. Where bold italicised text is used, further information is detailed in the required skills and</w:t>
            </w:r>
            <w:r w:rsidRPr="005C610F">
              <w:t xml:space="preserve"> knowledge section and the range statement. Assessment of performance is to be consistent with the evidence guide.</w:t>
            </w:r>
          </w:p>
        </w:tc>
      </w:tr>
    </w:tbl>
    <w:p w:rsidR="00000000" w:rsidRPr="005C610F" w:rsidP="005C610F">
      <w:pPr>
        <w:pStyle w:val="BodyText"/>
      </w:pPr>
    </w:p>
    <w:p w:rsidR="00000000" w:rsidRPr="005C610F" w:rsidP="005C610F">
      <w:pPr>
        <w:pStyle w:val="AllowPageBreak"/>
      </w:pPr>
    </w:p>
    <w:p w:rsidR="00000000" w:rsidRPr="005C610F" w:rsidP="005C610F">
      <w:pPr>
        <w:pStyle w:val="Heading1"/>
      </w:pPr>
      <w:bookmarkStart w:id="8" w:name="O_238015"/>
      <w:bookmarkEnd w:id="8"/>
      <w:r w:rsidRPr="005C610F">
        <w:t>Elements and Performance Criteria</w:t>
      </w:r>
    </w:p>
    <w:tbl>
      <w:tblPr>
        <w:tblW w:w="0" w:type="auto"/>
        <w:tblLayout w:type="fixed"/>
        <w:tblCellMar>
          <w:left w:w="62" w:type="dxa"/>
          <w:right w:w="62" w:type="dxa"/>
        </w:tblCellMar>
        <w:tblLook w:val="0000"/>
      </w:tblPr>
      <w:tblGrid>
        <w:gridCol w:w="2604"/>
        <w:gridCol w:w="5918"/>
      </w:tblGrid>
      <w:tr w:rsidTr="00F7233A">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PERFORMANCE CRITERIA</w:t>
            </w:r>
          </w:p>
        </w:tc>
      </w:tr>
      <w:tr w:rsidTr="00F723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List"/>
              <w:rPr>
                <w:lang w:val="en-NZ"/>
              </w:rPr>
            </w:pPr>
            <w:r w:rsidRPr="005C610F">
              <w:t>1.</w:t>
            </w:r>
            <w:r w:rsidRPr="005C610F">
              <w:tab/>
            </w:r>
            <w:r w:rsidRPr="005C610F">
              <w:t>Determine market perceptions to a suitable range of packaging forms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2"/>
            </w:pPr>
            <w:r w:rsidRPr="005C610F">
              <w:t>1.1.</w:t>
            </w:r>
            <w:r w:rsidRPr="005C610F">
              <w:tab/>
              <w:t>Sales data is analysed to determine market sensitivities to particular packaging forms.</w:t>
            </w:r>
          </w:p>
          <w:p w:rsidR="00000000" w:rsidRPr="005C610F" w:rsidP="005C610F">
            <w:pPr>
              <w:pStyle w:val="List2"/>
            </w:pPr>
            <w:r w:rsidRPr="005C610F">
              <w:t>1.2.</w:t>
            </w:r>
            <w:r w:rsidRPr="005C610F">
              <w:tab/>
              <w:t>Analysis of results is used to identify preferred packaging form.</w:t>
            </w:r>
          </w:p>
          <w:p w:rsidR="00000000" w:rsidP="005C610F">
            <w:pPr>
              <w:pStyle w:val="List2"/>
              <w:rPr>
                <w:lang w:val="en-NZ"/>
              </w:rPr>
            </w:pPr>
            <w:r w:rsidRPr="005C610F">
              <w:t>1.3.</w:t>
            </w:r>
            <w:r w:rsidRPr="005C610F">
              <w:tab/>
              <w:t>Preferred packaging</w:t>
            </w:r>
            <w:r w:rsidRPr="005C610F">
              <w:t xml:space="preserve"> form is assessed for consistency with product specification and/or statutory requirements.</w:t>
            </w:r>
          </w:p>
        </w:tc>
      </w:tr>
      <w:tr w:rsidTr="00F723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List"/>
              <w:rPr>
                <w:lang w:val="en-NZ"/>
              </w:rPr>
            </w:pPr>
            <w:r w:rsidRPr="005C610F">
              <w:t>2.</w:t>
            </w:r>
            <w:r w:rsidRPr="005C610F">
              <w:tab/>
              <w:t xml:space="preserve">Analyse the </w:t>
            </w:r>
            <w:r w:rsidRPr="005C610F">
              <w:rPr>
                <w:rStyle w:val="BoldandItalics"/>
              </w:rPr>
              <w:t>characteristics of packaging</w:t>
            </w:r>
            <w:r w:rsidRPr="005C610F">
              <w:t xml:space="preserve"> forms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2"/>
            </w:pPr>
            <w:r w:rsidRPr="005C610F">
              <w:t>2.1.</w:t>
            </w:r>
            <w:r w:rsidRPr="005C610F">
              <w:tab/>
              <w:t xml:space="preserve">The </w:t>
            </w:r>
            <w:r w:rsidRPr="005C610F">
              <w:rPr>
                <w:rStyle w:val="BoldandItalics"/>
              </w:rPr>
              <w:t>physical barrier and inertness</w:t>
            </w:r>
            <w:r w:rsidRPr="005C610F">
              <w:t xml:space="preserve"> characteristics of packaging materials are analysed. </w:t>
            </w:r>
          </w:p>
          <w:p w:rsidR="00000000" w:rsidRPr="005C610F" w:rsidP="005C610F">
            <w:pPr>
              <w:pStyle w:val="List2"/>
            </w:pPr>
            <w:r w:rsidRPr="005C610F">
              <w:t>2.2.</w:t>
            </w:r>
            <w:r w:rsidRPr="005C610F">
              <w:tab/>
              <w:t xml:space="preserve">The </w:t>
            </w:r>
            <w:r w:rsidRPr="005C610F">
              <w:rPr>
                <w:rStyle w:val="BoldandItalics"/>
              </w:rPr>
              <w:t>analysis o</w:t>
            </w:r>
            <w:r w:rsidRPr="005C610F">
              <w:rPr>
                <w:rStyle w:val="BoldandItalics"/>
              </w:rPr>
              <w:t>f materials</w:t>
            </w:r>
            <w:r w:rsidRPr="005C610F">
              <w:t xml:space="preserve"> is compared to product specifications to determine appropriate solutions.</w:t>
            </w:r>
          </w:p>
          <w:p w:rsidR="00000000" w:rsidRPr="005C610F" w:rsidP="005C610F">
            <w:pPr>
              <w:pStyle w:val="List2"/>
            </w:pPr>
            <w:r w:rsidRPr="005C610F">
              <w:t>2.3.</w:t>
            </w:r>
            <w:r w:rsidRPr="005C610F">
              <w:tab/>
            </w:r>
            <w:r w:rsidRPr="005C610F">
              <w:rPr>
                <w:rStyle w:val="BoldandItalics"/>
              </w:rPr>
              <w:t>Closure systems</w:t>
            </w:r>
            <w:r w:rsidRPr="005C610F">
              <w:t xml:space="preserve"> are proposed which conform to product specification, tamper resistance requirements and customer preference. </w:t>
            </w:r>
          </w:p>
          <w:p w:rsidR="00000000" w:rsidRPr="005C610F" w:rsidP="005C610F">
            <w:pPr>
              <w:pStyle w:val="List2"/>
            </w:pPr>
            <w:r w:rsidRPr="005C610F">
              <w:t>2.4.</w:t>
            </w:r>
            <w:r w:rsidRPr="005C610F">
              <w:tab/>
              <w:t>Print processes and inks are nomin</w:t>
            </w:r>
            <w:r w:rsidRPr="005C610F">
              <w:t>ated according to product specification.</w:t>
            </w:r>
          </w:p>
          <w:p w:rsidR="00000000" w:rsidRPr="005C610F" w:rsidP="005C610F">
            <w:pPr>
              <w:pStyle w:val="List2"/>
            </w:pPr>
            <w:r w:rsidRPr="005C610F">
              <w:t>2.5.</w:t>
            </w:r>
            <w:r w:rsidRPr="005C610F">
              <w:tab/>
              <w:t xml:space="preserve">Processes involved in </w:t>
            </w:r>
            <w:r w:rsidRPr="005C610F">
              <w:rPr>
                <w:rStyle w:val="BoldandItalics"/>
              </w:rPr>
              <w:t>pre</w:t>
            </w:r>
            <w:r w:rsidRPr="005C610F">
              <w:t>-</w:t>
            </w:r>
            <w:r w:rsidRPr="005C610F">
              <w:rPr>
                <w:rStyle w:val="BoldandItalics"/>
              </w:rPr>
              <w:t>packaging</w:t>
            </w:r>
            <w:r w:rsidRPr="005C610F">
              <w:t xml:space="preserve"> are evaluated to determine equipment and/or resource requirements. </w:t>
            </w:r>
          </w:p>
          <w:p w:rsidR="00000000" w:rsidP="005C610F">
            <w:pPr>
              <w:pStyle w:val="List2"/>
              <w:rPr>
                <w:lang w:val="en-NZ"/>
              </w:rPr>
            </w:pPr>
            <w:r w:rsidRPr="005C610F">
              <w:t>2.6.</w:t>
            </w:r>
            <w:r w:rsidRPr="005C610F">
              <w:tab/>
              <w:t>A packaging solution for the nominated product is formulated for approval.</w:t>
            </w:r>
          </w:p>
        </w:tc>
      </w:tr>
      <w:tr w:rsidTr="00F723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List"/>
              <w:rPr>
                <w:lang w:val="en-NZ"/>
              </w:rPr>
            </w:pPr>
            <w:r w:rsidRPr="005C610F">
              <w:t>3.</w:t>
            </w:r>
            <w:r w:rsidRPr="005C610F">
              <w:tab/>
            </w:r>
            <w:r w:rsidRPr="005C610F">
              <w:t>Implement packaging solutions for nominated products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2"/>
            </w:pPr>
            <w:r w:rsidRPr="005C610F">
              <w:t>3.1.</w:t>
            </w:r>
            <w:r w:rsidRPr="005C610F">
              <w:tab/>
              <w:t>A plan for the implementation of the packaging solution is developed.</w:t>
            </w:r>
          </w:p>
          <w:p w:rsidR="00000000" w:rsidRPr="005C610F" w:rsidP="005C610F">
            <w:pPr>
              <w:pStyle w:val="List2"/>
            </w:pPr>
            <w:r w:rsidRPr="005C610F">
              <w:t>3.2.</w:t>
            </w:r>
            <w:r w:rsidRPr="005C610F">
              <w:tab/>
              <w:t>Processing plans are modified or adjusted to incorporate new packaging requirements.</w:t>
            </w:r>
          </w:p>
        </w:tc>
      </w:tr>
    </w:tbl>
    <w:p w:rsidR="00F7233A" w:rsidP="005C610F">
      <w:pPr>
        <w:pStyle w:val="BodyText"/>
      </w:pPr>
    </w:p>
    <w:p w:rsidR="00F7233A" w:rsidP="005C610F">
      <w:pPr>
        <w:pStyle w:val="BodyText"/>
      </w:pPr>
    </w:p>
    <w:p w:rsidR="00F7233A" w:rsidP="005C610F">
      <w:pPr>
        <w:pStyle w:val="BodyText"/>
      </w:pPr>
    </w:p>
    <w:p w:rsidR="00000000" w:rsidRPr="005C610F" w:rsidP="005C610F">
      <w:pPr>
        <w:pStyle w:val="Heading1"/>
      </w:pPr>
      <w:bookmarkStart w:id="9" w:name="O_261806"/>
      <w:bookmarkEnd w:id="9"/>
      <w:r w:rsidRPr="005C610F">
        <w:t>Required Skills and Knowledge</w:t>
      </w:r>
    </w:p>
    <w:tbl>
      <w:tblPr>
        <w:tblW w:w="0" w:type="auto"/>
        <w:tblLayout w:type="fixed"/>
        <w:tblCellMar>
          <w:left w:w="62" w:type="dxa"/>
          <w:right w:w="62" w:type="dxa"/>
        </w:tblCellMar>
        <w:tblLook w:val="0000"/>
      </w:tblPr>
      <w:tblGrid>
        <w:gridCol w:w="8522"/>
      </w:tblGrid>
      <w:tr w:rsidTr="00F723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REQUIRED SKILLS AND KNOWLEDGE</w:t>
            </w:r>
          </w:p>
        </w:tc>
      </w:tr>
      <w:tr w:rsidTr="00F723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t>This section describes the skills and knowledge required for this unit.</w:t>
            </w:r>
          </w:p>
        </w:tc>
      </w:tr>
      <w:tr w:rsidTr="00F723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Required skills</w:t>
            </w:r>
          </w:p>
        </w:tc>
      </w:tr>
      <w:tr w:rsidTr="00F723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collecting, treating and disposing of waste generated by packaging operations</w:t>
            </w:r>
          </w:p>
          <w:p w:rsidR="00000000" w:rsidRPr="005C610F" w:rsidP="005C610F">
            <w:pPr>
              <w:pStyle w:val="ListBullet"/>
            </w:pPr>
            <w:r w:rsidRPr="005C610F">
              <w:t>communicating with stakeholders, including customers, work teams and management</w:t>
            </w:r>
          </w:p>
          <w:p w:rsidR="00000000" w:rsidRPr="005C610F" w:rsidP="005C610F">
            <w:pPr>
              <w:pStyle w:val="ListBullet"/>
            </w:pPr>
            <w:r w:rsidRPr="005C610F">
              <w:t xml:space="preserve">controlling temperature to ensure requirements for packaging materials and/or </w:t>
            </w:r>
            <w:r w:rsidRPr="005C610F">
              <w:t>packaged product are being met</w:t>
            </w:r>
          </w:p>
          <w:p w:rsidR="00000000" w:rsidRPr="005C610F" w:rsidP="005C610F">
            <w:pPr>
              <w:pStyle w:val="ListBullet"/>
            </w:pPr>
            <w:r w:rsidRPr="005C610F">
              <w:t>determining logistics for the physical movement of packaging materi</w:t>
            </w:r>
            <w:r w:rsidRPr="005C610F">
              <w:t>als and packaged product</w:t>
            </w:r>
          </w:p>
          <w:p w:rsidR="00000000" w:rsidRPr="005C610F" w:rsidP="005C610F">
            <w:pPr>
              <w:pStyle w:val="ListBullet"/>
            </w:pPr>
            <w:r w:rsidRPr="005C610F">
              <w:t>developing packaging schedules</w:t>
            </w:r>
          </w:p>
          <w:p w:rsidR="00000000" w:rsidRPr="005C610F" w:rsidP="005C610F">
            <w:pPr>
              <w:pStyle w:val="ListBullet"/>
            </w:pPr>
            <w:r w:rsidRPr="005C610F">
              <w:t>giving attention to detail</w:t>
            </w:r>
          </w:p>
          <w:p w:rsidR="00000000" w:rsidRPr="005C610F" w:rsidP="005C610F">
            <w:pPr>
              <w:pStyle w:val="ListBullet"/>
            </w:pPr>
            <w:r w:rsidRPr="005C610F">
              <w:t>identifying occupational health and safety (OHS) hazards, carrying out risk assessment and applying hierarchical controls</w:t>
            </w:r>
          </w:p>
          <w:p w:rsidR="00000000" w:rsidRPr="005C610F" w:rsidP="005C610F">
            <w:pPr>
              <w:pStyle w:val="ListBullet"/>
            </w:pPr>
            <w:r w:rsidRPr="005C610F">
              <w:t>locating, interpreting and applying relevant inform</w:t>
            </w:r>
            <w:r w:rsidRPr="005C610F">
              <w:t>ation to determine preferred packaging forms</w:t>
            </w:r>
          </w:p>
          <w:p w:rsidR="00000000" w:rsidRPr="005C610F" w:rsidP="005C610F">
            <w:pPr>
              <w:pStyle w:val="ListBullet"/>
            </w:pPr>
            <w:r w:rsidRPr="005C610F">
              <w:t>planning</w:t>
            </w:r>
          </w:p>
          <w:p w:rsidR="00000000" w:rsidRPr="005C610F" w:rsidP="005C610F">
            <w:pPr>
              <w:pStyle w:val="ListBullet"/>
            </w:pPr>
            <w:r w:rsidRPr="005C610F">
              <w:t>processing requirements, including quality and legal requirements for packaged product, identification of weight, date codes and other labelling requirements, printing standards and documentation</w:t>
            </w:r>
          </w:p>
          <w:p w:rsidR="00000000" w:rsidRPr="005C610F" w:rsidP="005C610F">
            <w:pPr>
              <w:pStyle w:val="ListBullet"/>
            </w:pPr>
            <w:r w:rsidRPr="005C610F">
              <w:t>solvin</w:t>
            </w:r>
            <w:r w:rsidRPr="005C610F">
              <w:t>g problems.</w:t>
            </w:r>
          </w:p>
          <w:p w:rsidR="00000000" w:rsidRPr="005C610F" w:rsidP="005C610F">
            <w:pPr>
              <w:pStyle w:val="BodyText"/>
            </w:pPr>
          </w:p>
          <w:p w:rsidR="00000000" w:rsidRPr="005C610F" w:rsidP="005C610F">
            <w:pPr>
              <w:pStyle w:val="BodyText"/>
            </w:pPr>
            <w:r w:rsidRPr="005C610F">
              <w:rPr>
                <w:rStyle w:val="SpecialBold"/>
              </w:rPr>
              <w:t>Literacy skills used for</w:t>
            </w:r>
            <w:r w:rsidRPr="005C610F">
              <w:t>:</w:t>
            </w:r>
          </w:p>
          <w:p w:rsidR="00000000" w:rsidRPr="005C610F" w:rsidP="005C610F">
            <w:pPr>
              <w:pStyle w:val="ListBullet"/>
            </w:pPr>
            <w:r w:rsidRPr="005C610F">
              <w:t>compiling reports</w:t>
            </w:r>
          </w:p>
          <w:p w:rsidR="00000000" w:rsidRPr="005C610F" w:rsidP="005C610F">
            <w:pPr>
              <w:pStyle w:val="ListBullet"/>
            </w:pPr>
            <w:r w:rsidRPr="005C610F">
              <w:t>preparing detailed procedures and specifications</w:t>
            </w:r>
          </w:p>
          <w:p w:rsidR="00000000" w:rsidRPr="005C610F" w:rsidP="005C610F">
            <w:pPr>
              <w:pStyle w:val="ListBullet"/>
            </w:pPr>
            <w:r w:rsidRPr="005C610F">
              <w:t>preparing technical reports</w:t>
            </w:r>
          </w:p>
          <w:p w:rsidR="00000000" w:rsidRPr="005C610F" w:rsidP="005C610F">
            <w:pPr>
              <w:pStyle w:val="ListBullet"/>
            </w:pPr>
            <w:r w:rsidRPr="005C610F">
              <w:t>reading and interpreting food standards and other technical standards</w:t>
            </w:r>
          </w:p>
          <w:p w:rsidR="00000000" w:rsidRPr="005C610F" w:rsidP="005C610F">
            <w:pPr>
              <w:pStyle w:val="ListBullet"/>
            </w:pPr>
            <w:r w:rsidRPr="005C610F">
              <w:t>reading and interpreting production specifications</w:t>
            </w:r>
          </w:p>
          <w:p w:rsidR="00000000" w:rsidRPr="005C610F" w:rsidP="005C610F">
            <w:pPr>
              <w:pStyle w:val="ListBullet"/>
            </w:pPr>
            <w:r w:rsidRPr="005C610F">
              <w:t>reading and interpreting technical specifications.</w:t>
            </w:r>
          </w:p>
          <w:p w:rsidR="00000000" w:rsidRPr="005C610F" w:rsidP="005C610F">
            <w:pPr>
              <w:pStyle w:val="BodyText"/>
            </w:pPr>
          </w:p>
          <w:p w:rsidR="00000000" w:rsidRPr="005C610F" w:rsidP="005C610F">
            <w:pPr>
              <w:pStyle w:val="BodyText"/>
            </w:pPr>
            <w:r w:rsidRPr="005C610F">
              <w:rPr>
                <w:rStyle w:val="SpecialBold"/>
              </w:rPr>
              <w:t>Numeracy skills used for</w:t>
            </w:r>
            <w:r w:rsidRPr="005C610F">
              <w:t xml:space="preserve">: </w:t>
            </w:r>
          </w:p>
          <w:p w:rsidR="00000000" w:rsidRPr="005C610F" w:rsidP="005C610F">
            <w:pPr>
              <w:pStyle w:val="ListBullet"/>
            </w:pPr>
            <w:r w:rsidRPr="005C610F">
              <w:t>calculating production data</w:t>
            </w:r>
          </w:p>
          <w:p w:rsidR="00000000" w:rsidRPr="005C610F" w:rsidP="005C610F">
            <w:pPr>
              <w:pStyle w:val="ListBullet"/>
            </w:pPr>
            <w:r w:rsidRPr="005C610F">
              <w:t>estimating costs</w:t>
            </w:r>
          </w:p>
          <w:p w:rsidR="00000000" w:rsidRPr="005C610F" w:rsidP="005C610F">
            <w:pPr>
              <w:pStyle w:val="ListBullet"/>
            </w:pPr>
            <w:r w:rsidRPr="005C610F">
              <w:t>estimating volume</w:t>
            </w:r>
          </w:p>
          <w:p w:rsidR="00000000" w:rsidRPr="005C610F" w:rsidP="005C610F">
            <w:pPr>
              <w:pStyle w:val="ListBullet"/>
            </w:pPr>
            <w:r w:rsidRPr="005C610F">
              <w:t>formulating design criteria</w:t>
            </w:r>
          </w:p>
          <w:p w:rsidR="00000000" w:rsidP="005C610F">
            <w:pPr>
              <w:pStyle w:val="ListBullet"/>
              <w:rPr>
                <w:lang w:val="en-NZ"/>
              </w:rPr>
            </w:pPr>
            <w:r w:rsidRPr="005C610F">
              <w:t>recording production data.</w:t>
            </w:r>
          </w:p>
        </w:tc>
      </w:tr>
      <w:tr w:rsidTr="00F723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Required knowledge</w:t>
            </w:r>
          </w:p>
        </w:tc>
      </w:tr>
      <w:tr w:rsidTr="00F723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identification of packaging requirements from product specifications</w:t>
            </w:r>
          </w:p>
          <w:p w:rsidR="00000000" w:rsidRPr="005C610F" w:rsidP="005C610F">
            <w:pPr>
              <w:pStyle w:val="ListBullet"/>
            </w:pPr>
            <w:r w:rsidRPr="005C610F">
              <w:t>packaging equipment purpose and operation, including the operating principles of common packaging equipment, such as fill and seal, cartoning, labelling, vacuum sealing, heat shrink wrapp</w:t>
            </w:r>
            <w:r w:rsidRPr="005C610F">
              <w:t>ing and/or palletising</w:t>
            </w:r>
          </w:p>
          <w:p w:rsidR="00000000" w:rsidRPr="005C610F" w:rsidP="005C610F">
            <w:pPr>
              <w:pStyle w:val="ListBullet"/>
            </w:pPr>
            <w:r w:rsidRPr="005C610F">
              <w:t>purpose and principles of packaging methods</w:t>
            </w:r>
          </w:p>
          <w:p w:rsidR="00000000" w:rsidRPr="005C610F" w:rsidP="005C610F">
            <w:pPr>
              <w:pStyle w:val="ListBullet"/>
            </w:pPr>
            <w:r w:rsidRPr="005C610F">
              <w:t>relationships between packaging methods or processes and other processing operations</w:t>
            </w:r>
          </w:p>
          <w:p w:rsidR="00000000" w:rsidRPr="005C610F" w:rsidP="005C610F">
            <w:pPr>
              <w:pStyle w:val="ListBullet"/>
            </w:pPr>
            <w:r w:rsidRPr="005C610F">
              <w:t>risk of product contamination from incorrect use and/or storage of packaging and packaging consumables</w:t>
            </w:r>
          </w:p>
          <w:p w:rsidR="00000000" w:rsidRPr="005C610F" w:rsidP="005C610F">
            <w:pPr>
              <w:pStyle w:val="ListBullet"/>
            </w:pPr>
            <w:r w:rsidRPr="005C610F">
              <w:t>s</w:t>
            </w:r>
            <w:r w:rsidRPr="005C610F">
              <w:t>tacking or packaging specifications, procedures and operating parameters.</w:t>
            </w:r>
          </w:p>
        </w:tc>
      </w:tr>
    </w:tbl>
    <w:p w:rsidR="00F7233A" w:rsidP="005C610F">
      <w:pPr>
        <w:pStyle w:val="BodyText"/>
      </w:pPr>
    </w:p>
    <w:p w:rsidR="00F7233A" w:rsidP="005C610F">
      <w:pPr>
        <w:pStyle w:val="BodyText"/>
      </w:pPr>
    </w:p>
    <w:p w:rsidR="00000000" w:rsidRPr="005C610F" w:rsidP="005C610F">
      <w:pPr>
        <w:pStyle w:val="AllowPageBreak"/>
      </w:pPr>
    </w:p>
    <w:p w:rsidR="00000000" w:rsidRPr="005C610F" w:rsidP="005C610F">
      <w:pPr>
        <w:pStyle w:val="Heading1"/>
      </w:pPr>
      <w:bookmarkStart w:id="10" w:name="O_245999"/>
      <w:bookmarkEnd w:id="10"/>
      <w:r w:rsidRPr="005C610F">
        <w:t>Evidence Guide</w:t>
      </w:r>
    </w:p>
    <w:tbl>
      <w:tblPr>
        <w:tblW w:w="9570" w:type="dxa"/>
        <w:tblLayout w:type="fixed"/>
        <w:tblCellMar>
          <w:left w:w="62" w:type="dxa"/>
          <w:right w:w="62" w:type="dxa"/>
        </w:tblCellMar>
        <w:tblLook w:val="0000"/>
      </w:tblPr>
      <w:tblGrid>
        <w:gridCol w:w="3908"/>
        <w:gridCol w:w="5662"/>
      </w:tblGrid>
      <w:tr w:rsidTr="00F723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EVIDENCE GUIDE</w:t>
            </w:r>
          </w:p>
        </w:tc>
      </w:tr>
      <w:tr w:rsidTr="00F723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t>The evidence guide provides advice on assessment and must be read in conjunction with the performance criteria, required skills and knowledge, range statement and the Assessment Guidelines for the Training Package.</w:t>
            </w:r>
          </w:p>
        </w:tc>
      </w:tr>
      <w:tr w:rsidTr="00F723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p>
        </w:tc>
      </w:tr>
      <w:tr w:rsidTr="00F723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Critical aspec</w:t>
            </w:r>
            <w:r w:rsidRPr="005C610F">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 xml:space="preserve">Assessment must confirm the ability to: </w:t>
            </w:r>
          </w:p>
          <w:p w:rsidR="00000000" w:rsidRPr="005C610F" w:rsidP="005C610F">
            <w:pPr>
              <w:pStyle w:val="ListBullet"/>
            </w:pPr>
            <w:r w:rsidRPr="005C610F">
              <w:t>determine the packaging requirements for seafood product and to propose solutions which satisfy the range of technical and regulatory requi</w:t>
            </w:r>
            <w:r w:rsidRPr="005C610F">
              <w:t>rements.</w:t>
            </w:r>
          </w:p>
          <w:p w:rsidR="00000000" w:rsidRPr="005C610F" w:rsidP="005C610F">
            <w:pPr>
              <w:pStyle w:val="BodyText"/>
            </w:pPr>
          </w:p>
          <w:p w:rsidR="00000000" w:rsidRPr="005C610F" w:rsidP="005C610F">
            <w:pPr>
              <w:pStyle w:val="BodyText"/>
            </w:pPr>
            <w:r w:rsidRPr="005C610F">
              <w:t xml:space="preserve">Assessment must confirm knowledge of: </w:t>
            </w:r>
          </w:p>
          <w:p w:rsidR="00000000" w:rsidRPr="005C610F" w:rsidP="005C610F">
            <w:pPr>
              <w:pStyle w:val="ListBullet"/>
            </w:pPr>
            <w:r w:rsidRPr="005C610F">
              <w:t>costings for new packaging methods</w:t>
            </w:r>
          </w:p>
          <w:p w:rsidR="00000000" w:rsidRPr="005C610F" w:rsidP="005C610F">
            <w:pPr>
              <w:pStyle w:val="ListBullet"/>
            </w:pPr>
            <w:r w:rsidRPr="005C610F">
              <w:t>packaging parameters from product specifications</w:t>
            </w:r>
          </w:p>
          <w:p w:rsidR="00000000" w:rsidRPr="005C610F" w:rsidP="005C610F">
            <w:pPr>
              <w:pStyle w:val="ListBullet"/>
            </w:pPr>
            <w:r w:rsidRPr="005C610F">
              <w:t>packaging specifications, control points and operating parameters</w:t>
            </w:r>
          </w:p>
          <w:p w:rsidR="00000000" w:rsidRPr="005C610F" w:rsidP="005C610F">
            <w:pPr>
              <w:pStyle w:val="ListBullet"/>
            </w:pPr>
            <w:r w:rsidRPr="005C610F">
              <w:t>load-shifting equipment requirements</w:t>
            </w:r>
          </w:p>
          <w:p w:rsidR="00000000" w:rsidRPr="005C610F" w:rsidP="005C610F">
            <w:pPr>
              <w:pStyle w:val="ListBullet"/>
            </w:pPr>
            <w:r w:rsidRPr="005C610F">
              <w:t>management of food safety requirements</w:t>
            </w:r>
          </w:p>
          <w:p w:rsidR="00000000" w:rsidRPr="005C610F" w:rsidP="005C610F">
            <w:pPr>
              <w:pStyle w:val="ListBullet"/>
            </w:pPr>
            <w:r w:rsidRPr="005C610F">
              <w:t>OHS requirements</w:t>
            </w:r>
          </w:p>
          <w:p w:rsidR="00000000" w:rsidRPr="005C610F" w:rsidP="005C610F">
            <w:pPr>
              <w:pStyle w:val="ListBullet"/>
            </w:pPr>
            <w:r w:rsidRPr="005C610F">
              <w:t>printing, labelling and/or marking requirements</w:t>
            </w:r>
          </w:p>
          <w:p w:rsidR="00000000" w:rsidRPr="005C610F" w:rsidP="005C610F">
            <w:pPr>
              <w:pStyle w:val="ListBullet"/>
            </w:pPr>
            <w:r w:rsidRPr="005C610F">
              <w:t>relevant protective clothing and/or equipment</w:t>
            </w:r>
          </w:p>
          <w:p w:rsidR="00000000" w:rsidRPr="005C610F" w:rsidP="005C610F">
            <w:pPr>
              <w:pStyle w:val="ListBullet"/>
            </w:pPr>
            <w:r w:rsidRPr="005C610F">
              <w:t>the physical packaging, packing and stacking equipment requirements</w:t>
            </w:r>
          </w:p>
          <w:p w:rsidR="00000000" w:rsidP="005C610F">
            <w:pPr>
              <w:pStyle w:val="ListBullet"/>
              <w:rPr>
                <w:lang w:val="en-NZ"/>
              </w:rPr>
            </w:pPr>
            <w:r w:rsidRPr="005C610F">
              <w:t xml:space="preserve">treatments for the disposal of wastes </w:t>
            </w:r>
            <w:r w:rsidRPr="005C610F">
              <w:t>generated by packaging operations.</w:t>
            </w:r>
          </w:p>
        </w:tc>
      </w:tr>
      <w:tr w:rsidTr="00F723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Assessment may be conducted in the workplace or in a simulated work environment.</w:t>
            </w:r>
          </w:p>
          <w:p w:rsidR="00000000" w:rsidRPr="005C610F" w:rsidP="005C610F">
            <w:pPr>
              <w:pStyle w:val="BodyText"/>
            </w:pPr>
          </w:p>
          <w:p w:rsidR="00000000" w:rsidRPr="005C610F" w:rsidP="005C610F">
            <w:pPr>
              <w:pStyle w:val="BodyText"/>
            </w:pPr>
            <w:r w:rsidRPr="005C610F">
              <w:t>Resources may include:</w:t>
            </w:r>
          </w:p>
          <w:p w:rsidR="00000000" w:rsidRPr="005C610F" w:rsidP="005C610F">
            <w:pPr>
              <w:pStyle w:val="ListBullet"/>
            </w:pPr>
            <w:r w:rsidRPr="005C610F">
              <w:t>access to enterprise expertise in production, engineering and costing</w:t>
            </w:r>
          </w:p>
          <w:p w:rsidR="00000000" w:rsidRPr="005C610F" w:rsidP="005C610F">
            <w:pPr>
              <w:pStyle w:val="ListBullet"/>
            </w:pPr>
            <w:r w:rsidRPr="005C610F">
              <w:t>access to off-site facilities to view alternative packaging processes</w:t>
            </w:r>
          </w:p>
          <w:p w:rsidR="00000000" w:rsidRPr="005C610F" w:rsidP="005C610F">
            <w:pPr>
              <w:pStyle w:val="ListBullet"/>
            </w:pPr>
            <w:r w:rsidRPr="005C610F">
              <w:t>enterprise policy relating to the control and disposal of wastes</w:t>
            </w:r>
          </w:p>
          <w:p w:rsidR="00000000" w:rsidRPr="005C610F" w:rsidP="005C610F">
            <w:pPr>
              <w:pStyle w:val="ListBullet"/>
            </w:pPr>
            <w:r w:rsidRPr="005C610F">
              <w:t>enterprise product specifications</w:t>
            </w:r>
          </w:p>
          <w:p w:rsidR="00000000" w:rsidRPr="005C610F" w:rsidP="005C610F">
            <w:pPr>
              <w:pStyle w:val="ListBullet"/>
            </w:pPr>
            <w:r w:rsidRPr="005C610F">
              <w:t>food safety and o</w:t>
            </w:r>
            <w:r w:rsidRPr="005C610F">
              <w:t>ther relevant technical standards</w:t>
            </w:r>
          </w:p>
          <w:p w:rsidR="00000000" w:rsidRPr="005C610F" w:rsidP="005C610F">
            <w:pPr>
              <w:pStyle w:val="ListBullet"/>
            </w:pPr>
            <w:r w:rsidRPr="005C610F">
              <w:t>HACCP plan</w:t>
            </w:r>
          </w:p>
          <w:p w:rsidR="00000000" w:rsidRPr="005C610F" w:rsidP="005C610F">
            <w:pPr>
              <w:pStyle w:val="ListBullet"/>
            </w:pPr>
            <w:r w:rsidRPr="005C610F">
              <w:t>OHS policy and procedures</w:t>
            </w:r>
          </w:p>
          <w:p w:rsidR="00000000" w:rsidP="005C610F">
            <w:pPr>
              <w:pStyle w:val="ListBullet"/>
              <w:rPr>
                <w:lang w:val="en-NZ"/>
              </w:rPr>
            </w:pPr>
            <w:r w:rsidRPr="005C610F">
              <w:t>packaging and labelling regulations and/or requirements.</w:t>
            </w:r>
          </w:p>
        </w:tc>
      </w:tr>
      <w:tr w:rsidTr="00F723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 xml:space="preserve">The following assessment methods are suggested: </w:t>
            </w:r>
          </w:p>
          <w:p w:rsidR="00000000" w:rsidRPr="005C610F" w:rsidP="005C610F">
            <w:pPr>
              <w:pStyle w:val="ListBullet"/>
            </w:pPr>
            <w:r w:rsidRPr="005C610F">
              <w:t>project (work or scenario based)</w:t>
            </w:r>
          </w:p>
          <w:p w:rsidR="00000000" w:rsidRPr="005C610F" w:rsidP="005C610F">
            <w:pPr>
              <w:pStyle w:val="ListBullet"/>
            </w:pPr>
            <w:r w:rsidRPr="005C610F">
              <w:t>workplace documentation</w:t>
            </w:r>
          </w:p>
          <w:p w:rsidR="00000000" w:rsidP="005C610F">
            <w:pPr>
              <w:pStyle w:val="ListBullet"/>
              <w:rPr>
                <w:lang w:val="en-NZ"/>
              </w:rPr>
            </w:pPr>
            <w:r w:rsidRPr="005C610F">
              <w:t>written or oral questions.</w:t>
            </w:r>
          </w:p>
        </w:tc>
      </w:tr>
      <w:tr w:rsidTr="00F723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This unit may be assessed holistically with other units within a qualification.</w:t>
            </w:r>
          </w:p>
        </w:tc>
      </w:tr>
    </w:tbl>
    <w:p w:rsidR="00F7233A" w:rsidP="005C610F">
      <w:pPr>
        <w:pStyle w:val="BodyText"/>
      </w:pPr>
    </w:p>
    <w:p w:rsidR="00F7233A" w:rsidP="005C610F">
      <w:pPr>
        <w:pStyle w:val="BodyText"/>
      </w:pPr>
    </w:p>
    <w:p w:rsidR="00000000" w:rsidRPr="005C610F" w:rsidP="005C610F">
      <w:pPr>
        <w:pStyle w:val="Heading1"/>
      </w:pPr>
      <w:bookmarkStart w:id="11" w:name="O_253982"/>
      <w:bookmarkEnd w:id="11"/>
      <w:r w:rsidRPr="005C610F">
        <w:t>Range Statement</w:t>
      </w:r>
    </w:p>
    <w:tbl>
      <w:tblPr>
        <w:tblW w:w="0" w:type="auto"/>
        <w:tblLayout w:type="fixed"/>
        <w:tblCellMar>
          <w:left w:w="62" w:type="dxa"/>
          <w:right w:w="62" w:type="dxa"/>
        </w:tblCellMar>
        <w:tblLook w:val="0000"/>
      </w:tblPr>
      <w:tblGrid>
        <w:gridCol w:w="3491"/>
        <w:gridCol w:w="5031"/>
      </w:tblGrid>
      <w:tr w:rsidTr="00F723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RANGE STATEMENT</w:t>
            </w:r>
          </w:p>
        </w:tc>
      </w:tr>
      <w:tr w:rsidTr="00F723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t>The range statement relates to the unit of competency as a whole. It allows for different work environments and situations that may affect performance. Bold italicised wording, if used in the performance criteria, is detailed below. Essential operating con</w:t>
            </w:r>
            <w:r w:rsidRPr="005C610F">
              <w:t>ditions that may be present with training and assessment (depending on the work situation, needs of the candidate, accessibility of the item, and local industry and regional contexts) may also be included.</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Relevant government regulations</w:t>
            </w:r>
            <w:r w:rsidRPr="005C610F">
              <w:t xml:space="preserve">, </w:t>
            </w:r>
            <w:r w:rsidRPr="005C610F">
              <w:rPr>
                <w:rStyle w:val="BoldandItalics"/>
              </w:rPr>
              <w:t>licensing and o</w:t>
            </w:r>
            <w:r w:rsidRPr="005C610F">
              <w:rPr>
                <w:rStyle w:val="BoldandItalics"/>
              </w:rPr>
              <w:t>ther compliance requirements</w:t>
            </w:r>
            <w:r w:rsidRPr="005C610F">
              <w:t xml:space="preserve"> may include: </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ecologically sustainable development (ESD) principles, environmental hazard identification, risk assessment and control</w:t>
            </w:r>
          </w:p>
          <w:p w:rsidR="00000000" w:rsidRPr="005C610F" w:rsidP="005C610F">
            <w:pPr>
              <w:pStyle w:val="ListBullet"/>
            </w:pPr>
            <w:r w:rsidRPr="005C610F">
              <w:t>food safety, Hazard Analysis Critical Control Point (HACCP), hygiene and temperature control</w:t>
            </w:r>
            <w:r w:rsidRPr="005C610F">
              <w:t xml:space="preserve"> along chain of custody</w:t>
            </w:r>
          </w:p>
          <w:p w:rsidR="00000000" w:rsidRPr="005C610F" w:rsidP="005C610F">
            <w:pPr>
              <w:pStyle w:val="ListBullet"/>
            </w:pPr>
            <w:r w:rsidRPr="005C610F">
              <w:t>imports quarantine and inspection, and importing approved arrangements for Australian Quarantine Inspection Service (AQIS), Australian Customs Service (ACS) and Biosecurity Australia (BA)</w:t>
            </w:r>
          </w:p>
          <w:p w:rsidR="00000000" w:rsidRPr="005C610F" w:rsidP="005C610F">
            <w:pPr>
              <w:pStyle w:val="ListBullet"/>
            </w:pPr>
            <w:r w:rsidRPr="005C610F">
              <w:t>OHS hazard identification, risk assessment and control</w:t>
            </w:r>
          </w:p>
          <w:p w:rsidR="00000000" w:rsidRPr="005C610F" w:rsidP="005C610F">
            <w:pPr>
              <w:pStyle w:val="ListBullet"/>
            </w:pPr>
            <w:r w:rsidRPr="005C610F">
              <w:t>product quality assurance:</w:t>
            </w:r>
          </w:p>
          <w:p w:rsidR="00000000" w:rsidRPr="005C610F" w:rsidP="005C610F">
            <w:pPr>
              <w:pStyle w:val="ListBullet2"/>
            </w:pPr>
            <w:r w:rsidRPr="005C610F">
              <w:t>correct naming and labelling (e.g. country of origin, Australian Fish Names Standard and eco-labelling)</w:t>
            </w:r>
          </w:p>
          <w:p w:rsidR="00000000" w:rsidRPr="005C610F" w:rsidP="005C610F">
            <w:pPr>
              <w:pStyle w:val="ListBullet2"/>
            </w:pPr>
            <w:r w:rsidRPr="005C610F">
              <w:t>correct quantities, sizes, other customer requirements</w:t>
            </w:r>
          </w:p>
          <w:p w:rsidR="00000000" w:rsidP="005C610F">
            <w:pPr>
              <w:pStyle w:val="ListBullet2"/>
              <w:rPr>
                <w:lang w:val="en-NZ"/>
              </w:rPr>
            </w:pPr>
            <w:r w:rsidRPr="005C610F">
              <w:t>third-party ce</w:t>
            </w:r>
            <w:r w:rsidRPr="005C610F">
              <w:t>rtification (e.g. Australian Grown and ISO 14001:2004 Environmental management systems).</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Food safety and hygiene regulations and procedures</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Australian Shellfish Sanitation program</w:t>
            </w:r>
          </w:p>
          <w:p w:rsidR="00000000" w:rsidRPr="005C610F" w:rsidP="005C610F">
            <w:pPr>
              <w:pStyle w:val="ListBullet"/>
            </w:pPr>
            <w:r w:rsidRPr="005C610F">
              <w:t>display, packaging and sale of food, including seafood and aquatic products</w:t>
            </w:r>
          </w:p>
          <w:p w:rsidR="00000000" w:rsidRPr="005C610F" w:rsidP="005C610F">
            <w:pPr>
              <w:pStyle w:val="ListBullet"/>
            </w:pPr>
            <w:r w:rsidRPr="005C610F">
              <w:t xml:space="preserve">equipment design, use, cleaning and maintenance </w:t>
            </w:r>
          </w:p>
          <w:p w:rsidR="00000000" w:rsidRPr="005C610F" w:rsidP="005C610F">
            <w:pPr>
              <w:pStyle w:val="ListBullet"/>
            </w:pPr>
            <w:r w:rsidRPr="005C610F">
              <w:t>exporting requirements, including AQIS Export Control (Fish) orders</w:t>
            </w:r>
          </w:p>
          <w:p w:rsidR="00000000" w:rsidRPr="005C610F" w:rsidP="005C610F">
            <w:pPr>
              <w:pStyle w:val="ListBullet"/>
            </w:pPr>
            <w:r w:rsidRPr="005C610F">
              <w:t>handling and disposal of condemned or recalled seafood products</w:t>
            </w:r>
          </w:p>
          <w:p w:rsidR="00000000" w:rsidRPr="005C610F" w:rsidP="005C610F">
            <w:pPr>
              <w:pStyle w:val="ListBullet"/>
            </w:pPr>
            <w:r w:rsidRPr="005C610F">
              <w:t>HACCP, food safety program, and other risk minimisation and quality assurance systems</w:t>
            </w:r>
          </w:p>
          <w:p w:rsidR="00000000" w:rsidRPr="005C610F" w:rsidP="005C610F">
            <w:pPr>
              <w:pStyle w:val="ListBullet"/>
            </w:pPr>
            <w:r w:rsidRPr="005C610F">
              <w:t xml:space="preserve">location, construction and servicing of seafood premises </w:t>
            </w:r>
          </w:p>
          <w:p w:rsidR="00000000" w:rsidRPr="005C610F" w:rsidP="005C610F">
            <w:pPr>
              <w:pStyle w:val="ListBullet"/>
            </w:pPr>
            <w:r w:rsidRPr="005C610F">
              <w:t>people, product and place hygiene and sanitation requirements</w:t>
            </w:r>
          </w:p>
          <w:p w:rsidR="00000000" w:rsidRPr="005C610F" w:rsidP="005C610F">
            <w:pPr>
              <w:pStyle w:val="ListBullet"/>
            </w:pPr>
            <w:r w:rsidRPr="005C610F">
              <w:t>Primary Products Standard and the Australian Seaf</w:t>
            </w:r>
            <w:r w:rsidRPr="005C610F">
              <w:t xml:space="preserve">ood Standard (voluntary) </w:t>
            </w:r>
          </w:p>
          <w:p w:rsidR="00000000" w:rsidRPr="005C610F" w:rsidP="005C610F">
            <w:pPr>
              <w:pStyle w:val="ListBullet"/>
            </w:pPr>
            <w:r w:rsidRPr="005C610F">
              <w:t xml:space="preserve">processing, further processing and preparation of food, including seafood and aquatic products </w:t>
            </w:r>
          </w:p>
          <w:p w:rsidR="00000000" w:rsidRPr="005C610F" w:rsidP="005C610F">
            <w:pPr>
              <w:pStyle w:val="ListBullet"/>
            </w:pPr>
            <w:r w:rsidRPr="005C610F">
              <w:t>product labelling, tracing and re-call</w:t>
            </w:r>
          </w:p>
          <w:p w:rsidR="00000000" w:rsidRPr="005C610F" w:rsidP="005C610F">
            <w:pPr>
              <w:pStyle w:val="ListBullet"/>
            </w:pPr>
            <w:r w:rsidRPr="005C610F">
              <w:t>receipt, storage and transportation of food, including seafood and aquatic products</w:t>
            </w:r>
          </w:p>
          <w:p w:rsidR="00000000" w:rsidRPr="005C610F" w:rsidP="005C610F">
            <w:pPr>
              <w:pStyle w:val="ListBullet"/>
            </w:pPr>
            <w:r w:rsidRPr="005C610F">
              <w:t>requirement</w:t>
            </w:r>
            <w:r w:rsidRPr="005C610F">
              <w:t>s set out in Australian and New Zealand Food Authority (ANZFA) Food Standards Code and state and territory food regulations</w:t>
            </w:r>
          </w:p>
          <w:p w:rsidR="00000000" w:rsidP="005C610F">
            <w:pPr>
              <w:pStyle w:val="ListBullet"/>
              <w:rPr>
                <w:lang w:val="en-NZ"/>
              </w:rPr>
            </w:pPr>
            <w:r w:rsidRPr="005C610F">
              <w:t>temperature and contamination control along chain of custody.</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ESD principles</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controlling the use and recycling of water, and managing water quality and quantity</w:t>
            </w:r>
          </w:p>
          <w:p w:rsidR="00000000" w:rsidRPr="005C610F" w:rsidP="005C610F">
            <w:pPr>
              <w:pStyle w:val="ListBullet"/>
            </w:pPr>
            <w:r w:rsidRPr="005C610F">
              <w:t>increasing use of renewable, recyclable and recoverable resources</w:t>
            </w:r>
          </w:p>
          <w:p w:rsidR="00000000" w:rsidRPr="005C610F" w:rsidP="005C610F">
            <w:pPr>
              <w:pStyle w:val="ListBullet"/>
            </w:pPr>
            <w:r w:rsidRPr="005C610F">
              <w:t>managing environmental hazard identification, risk assessment and control</w:t>
            </w:r>
          </w:p>
          <w:p w:rsidR="00000000" w:rsidRPr="005C610F" w:rsidP="005C610F">
            <w:pPr>
              <w:pStyle w:val="ListBullet"/>
            </w:pPr>
            <w:r w:rsidRPr="005C610F">
              <w:t>managing imported products quara</w:t>
            </w:r>
            <w:r w:rsidRPr="005C610F">
              <w:t>ntine and inspection, facility biosecurity, translocation of livestock and genetic material, and health certification</w:t>
            </w:r>
          </w:p>
          <w:p w:rsidR="00000000" w:rsidRPr="005C610F" w:rsidP="005C610F">
            <w:pPr>
              <w:pStyle w:val="ListBullet"/>
            </w:pPr>
            <w:r w:rsidRPr="005C610F">
              <w:t>managing stock health and welfare, especially for handling, holding, transport and slaughter</w:t>
            </w:r>
          </w:p>
          <w:p w:rsidR="00000000" w:rsidRPr="005C610F" w:rsidP="005C610F">
            <w:pPr>
              <w:pStyle w:val="ListBullet"/>
            </w:pPr>
            <w:r w:rsidRPr="005C610F">
              <w:t>managing, controlling and treating effluents,</w:t>
            </w:r>
            <w:r w:rsidRPr="005C610F">
              <w:t xml:space="preserve"> chemical residues, contaminants, wastes and pollution </w:t>
            </w:r>
          </w:p>
          <w:p w:rsidR="00000000" w:rsidRPr="005C610F" w:rsidP="005C610F">
            <w:pPr>
              <w:pStyle w:val="ListBullet"/>
            </w:pPr>
            <w:r w:rsidRPr="005C610F">
              <w:t>minimising noise, dust, light or odour emissions</w:t>
            </w:r>
          </w:p>
          <w:p w:rsidR="00000000" w:rsidRPr="005C610F" w:rsidP="005C610F">
            <w:pPr>
              <w:pStyle w:val="ListBullet"/>
            </w:pPr>
            <w:r w:rsidRPr="005C610F">
              <w:t>planning environmental and resource efficiency improvements</w:t>
            </w:r>
          </w:p>
          <w:p w:rsidR="00000000" w:rsidRPr="005C610F" w:rsidP="005C610F">
            <w:pPr>
              <w:pStyle w:val="ListBullet"/>
            </w:pPr>
            <w:r w:rsidRPr="005C610F">
              <w:t>preventing genetically modified organisms and live cultured or held organisms from escaping</w:t>
            </w:r>
            <w:r w:rsidRPr="005C610F">
              <w:t xml:space="preserve"> into environment</w:t>
            </w:r>
          </w:p>
          <w:p w:rsidR="00000000" w:rsidRPr="005C610F" w:rsidP="005C610F">
            <w:pPr>
              <w:pStyle w:val="ListBullet"/>
            </w:pPr>
            <w:r w:rsidRPr="005C610F">
              <w:t>reducing emissions of greenhouse gases</w:t>
            </w:r>
          </w:p>
          <w:p w:rsidR="00000000" w:rsidRPr="005C610F" w:rsidP="005C610F">
            <w:pPr>
              <w:pStyle w:val="ListBullet"/>
            </w:pPr>
            <w:r w:rsidRPr="005C610F">
              <w:t>reducing use of non-renewable resources</w:t>
            </w:r>
          </w:p>
          <w:p w:rsidR="00000000" w:rsidP="005C610F">
            <w:pPr>
              <w:pStyle w:val="ListBullet"/>
              <w:rPr>
                <w:lang w:val="en-NZ"/>
              </w:rPr>
            </w:pPr>
            <w:r w:rsidRPr="005C610F">
              <w:t>reducing energy use and introducing alternative energy sources.</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Characteristics of packaging</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cost-effectiveness</w:t>
            </w:r>
          </w:p>
          <w:p w:rsidR="00000000" w:rsidRPr="005C610F" w:rsidP="005C610F">
            <w:pPr>
              <w:pStyle w:val="ListBullet"/>
            </w:pPr>
            <w:r w:rsidRPr="005C610F">
              <w:t>decoration</w:t>
            </w:r>
          </w:p>
          <w:p w:rsidR="00000000" w:rsidRPr="005C610F" w:rsidP="005C610F">
            <w:pPr>
              <w:pStyle w:val="ListBullet"/>
            </w:pPr>
            <w:r w:rsidRPr="005C610F">
              <w:t>ease of use</w:t>
            </w:r>
          </w:p>
          <w:p w:rsidR="00000000" w:rsidRPr="005C610F" w:rsidP="005C610F">
            <w:pPr>
              <w:pStyle w:val="ListBullet"/>
            </w:pPr>
            <w:r w:rsidRPr="005C610F">
              <w:t>label content</w:t>
            </w:r>
          </w:p>
          <w:p w:rsidR="00000000" w:rsidRPr="005C610F" w:rsidP="005C610F">
            <w:pPr>
              <w:pStyle w:val="ListBullet"/>
            </w:pPr>
            <w:r w:rsidRPr="005C610F">
              <w:t>tamper proof</w:t>
            </w:r>
          </w:p>
          <w:p w:rsidR="00000000" w:rsidRPr="005C610F" w:rsidP="005C610F">
            <w:pPr>
              <w:pStyle w:val="ListBullet"/>
            </w:pPr>
            <w:r w:rsidRPr="005C610F">
              <w:t>type:</w:t>
            </w:r>
          </w:p>
          <w:p w:rsidR="00000000" w:rsidRPr="005C610F" w:rsidP="005C610F">
            <w:pPr>
              <w:pStyle w:val="ListBullet2"/>
            </w:pPr>
            <w:r w:rsidRPr="005C610F">
              <w:t>aluminium</w:t>
            </w:r>
          </w:p>
          <w:p w:rsidR="00000000" w:rsidRPr="005C610F" w:rsidP="005C610F">
            <w:pPr>
              <w:pStyle w:val="ListBullet2"/>
            </w:pPr>
            <w:r w:rsidRPr="005C610F">
              <w:t>co-extruded structures</w:t>
            </w:r>
          </w:p>
          <w:p w:rsidR="00000000" w:rsidRPr="005C610F" w:rsidP="005C610F">
            <w:pPr>
              <w:pStyle w:val="ListBullet2"/>
            </w:pPr>
            <w:r w:rsidRPr="005C610F">
              <w:t>flexible plastics</w:t>
            </w:r>
          </w:p>
          <w:p w:rsidR="00000000" w:rsidRPr="005C610F" w:rsidP="005C610F">
            <w:pPr>
              <w:pStyle w:val="ListBullet2"/>
            </w:pPr>
            <w:r w:rsidRPr="005C610F">
              <w:t>glass</w:t>
            </w:r>
          </w:p>
          <w:p w:rsidR="00000000" w:rsidRPr="005C610F" w:rsidP="005C610F">
            <w:pPr>
              <w:pStyle w:val="ListBullet2"/>
            </w:pPr>
            <w:r w:rsidRPr="005C610F">
              <w:t>laminated</w:t>
            </w:r>
          </w:p>
          <w:p w:rsidR="00000000" w:rsidRPr="005C610F" w:rsidP="005C610F">
            <w:pPr>
              <w:pStyle w:val="ListBullet2"/>
            </w:pPr>
            <w:r w:rsidRPr="005C610F">
              <w:t>paper and board</w:t>
            </w:r>
          </w:p>
          <w:p w:rsidR="00000000" w:rsidRPr="005C610F" w:rsidP="005C610F">
            <w:pPr>
              <w:pStyle w:val="ListBullet2"/>
            </w:pPr>
            <w:r w:rsidRPr="005C610F">
              <w:t>recycled or reused materials</w:t>
            </w:r>
          </w:p>
          <w:p w:rsidR="00000000" w:rsidRPr="005C610F" w:rsidP="005C610F">
            <w:pPr>
              <w:pStyle w:val="ListBullet2"/>
            </w:pPr>
            <w:r w:rsidRPr="005C610F">
              <w:t>regenerated cellulose</w:t>
            </w:r>
          </w:p>
          <w:p w:rsidR="00000000" w:rsidRPr="005C610F" w:rsidP="005C610F">
            <w:pPr>
              <w:pStyle w:val="ListBullet2"/>
            </w:pPr>
            <w:r w:rsidRPr="005C610F">
              <w:t>rigid plastics</w:t>
            </w:r>
          </w:p>
          <w:p w:rsidR="00000000" w:rsidP="005C610F">
            <w:pPr>
              <w:pStyle w:val="ListBullet2"/>
              <w:rPr>
                <w:lang w:val="en-NZ"/>
              </w:rPr>
            </w:pPr>
            <w:r w:rsidRPr="005C610F">
              <w:t>steel.</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Physical barriers and inertness</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chemical inertness</w:t>
            </w:r>
          </w:p>
          <w:p w:rsidR="00000000" w:rsidRPr="005C610F" w:rsidP="005C610F">
            <w:pPr>
              <w:pStyle w:val="ListBullet"/>
            </w:pPr>
            <w:r w:rsidRPr="005C610F">
              <w:t>gas transmission rate</w:t>
            </w:r>
          </w:p>
          <w:p w:rsidR="00000000" w:rsidRPr="005C610F" w:rsidP="005C610F">
            <w:pPr>
              <w:pStyle w:val="ListBullet"/>
            </w:pPr>
            <w:r w:rsidRPr="005C610F">
              <w:t>lipid resistance</w:t>
            </w:r>
          </w:p>
          <w:p w:rsidR="00000000" w:rsidP="005C610F">
            <w:pPr>
              <w:pStyle w:val="ListBullet"/>
              <w:rPr>
                <w:lang w:val="en-NZ"/>
              </w:rPr>
            </w:pPr>
            <w:r w:rsidRPr="005C610F">
              <w:t>water vapour transmission rate.</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Analysis of materials</w:t>
            </w:r>
            <w:r w:rsidRPr="005C610F">
              <w:t xml:space="preserve"> may include consideration of:</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impact strength</w:t>
            </w:r>
          </w:p>
          <w:p w:rsidR="00000000" w:rsidRPr="005C610F" w:rsidP="005C610F">
            <w:pPr>
              <w:pStyle w:val="ListBullet"/>
            </w:pPr>
            <w:r w:rsidRPr="005C610F">
              <w:t>folding resistance</w:t>
            </w:r>
          </w:p>
          <w:p w:rsidR="00000000" w:rsidRPr="005C610F" w:rsidP="005C610F">
            <w:pPr>
              <w:pStyle w:val="ListBullet"/>
            </w:pPr>
            <w:r w:rsidRPr="005C610F">
              <w:t>light stability</w:t>
            </w:r>
          </w:p>
          <w:p w:rsidR="00000000" w:rsidRPr="005C610F" w:rsidP="005C610F">
            <w:pPr>
              <w:pStyle w:val="ListBullet"/>
            </w:pPr>
            <w:r w:rsidRPr="005C610F">
              <w:t>recyclability of wastes</w:t>
            </w:r>
          </w:p>
          <w:p w:rsidR="00000000" w:rsidRPr="005C610F" w:rsidP="005C610F">
            <w:pPr>
              <w:pStyle w:val="ListBullet"/>
            </w:pPr>
            <w:r w:rsidRPr="005C610F">
              <w:t>special equipment requirements</w:t>
            </w:r>
          </w:p>
          <w:p w:rsidR="00000000" w:rsidRPr="005C610F" w:rsidP="005C610F">
            <w:pPr>
              <w:pStyle w:val="ListBullet"/>
            </w:pPr>
            <w:r w:rsidRPr="005C610F">
              <w:t>tear strength</w:t>
            </w:r>
          </w:p>
          <w:p w:rsidR="00000000" w:rsidRPr="005C610F" w:rsidP="005C610F">
            <w:pPr>
              <w:pStyle w:val="ListBullet"/>
            </w:pPr>
            <w:r w:rsidRPr="005C610F">
              <w:t>temperature</w:t>
            </w:r>
            <w:r w:rsidRPr="005C610F">
              <w:t xml:space="preserve"> tolerance</w:t>
            </w:r>
          </w:p>
          <w:p w:rsidR="00000000" w:rsidP="005C610F">
            <w:pPr>
              <w:pStyle w:val="ListBullet"/>
              <w:rPr>
                <w:lang w:val="en-NZ"/>
              </w:rPr>
            </w:pPr>
            <w:r w:rsidRPr="005C610F">
              <w:t>tensile strength.</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Closure systems</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crown cap</w:t>
            </w:r>
          </w:p>
          <w:p w:rsidR="00000000" w:rsidRPr="005C610F" w:rsidP="005C610F">
            <w:pPr>
              <w:pStyle w:val="ListBullet"/>
            </w:pPr>
            <w:r w:rsidRPr="005C610F">
              <w:t>plug seal</w:t>
            </w:r>
          </w:p>
          <w:p w:rsidR="00000000" w:rsidRPr="005C610F" w:rsidP="005C610F">
            <w:pPr>
              <w:pStyle w:val="ListBullet"/>
            </w:pPr>
            <w:r w:rsidRPr="005C610F">
              <w:t>seals:</w:t>
            </w:r>
          </w:p>
          <w:p w:rsidR="00000000" w:rsidRPr="005C610F" w:rsidP="005C610F">
            <w:pPr>
              <w:pStyle w:val="ListBullet2"/>
            </w:pPr>
            <w:r w:rsidRPr="005C610F">
              <w:t>adhesive</w:t>
            </w:r>
          </w:p>
          <w:p w:rsidR="00000000" w:rsidRPr="005C610F" w:rsidP="005C610F">
            <w:pPr>
              <w:pStyle w:val="ListBullet2"/>
            </w:pPr>
            <w:r w:rsidRPr="005C610F">
              <w:t>heat</w:t>
            </w:r>
          </w:p>
          <w:p w:rsidR="00000000" w:rsidRPr="005C610F" w:rsidP="005C610F">
            <w:pPr>
              <w:pStyle w:val="ListBullet2"/>
            </w:pPr>
            <w:r w:rsidRPr="005C610F">
              <w:t>pressure</w:t>
            </w:r>
          </w:p>
          <w:p w:rsidR="00000000" w:rsidRPr="005C610F" w:rsidP="005C610F">
            <w:pPr>
              <w:pStyle w:val="ListBullet"/>
            </w:pPr>
            <w:r w:rsidRPr="005C610F">
              <w:t>wrap:</w:t>
            </w:r>
          </w:p>
          <w:p w:rsidR="00000000" w:rsidRPr="005C610F" w:rsidP="005C610F">
            <w:pPr>
              <w:pStyle w:val="ListBullet2"/>
            </w:pPr>
            <w:r w:rsidRPr="005C610F">
              <w:t>shrink</w:t>
            </w:r>
          </w:p>
          <w:p w:rsidR="00000000" w:rsidP="005C610F">
            <w:pPr>
              <w:pStyle w:val="ListBullet2"/>
              <w:rPr>
                <w:lang w:val="en-NZ"/>
              </w:rPr>
            </w:pPr>
            <w:r w:rsidRPr="005C610F">
              <w:t>stretch.</w:t>
            </w:r>
          </w:p>
        </w:tc>
      </w:tr>
      <w:tr w:rsidTr="00F7233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BoldandItalics"/>
              </w:rPr>
              <w:t>Pre</w:t>
            </w:r>
            <w:r w:rsidRPr="005C610F">
              <w:t>-</w:t>
            </w:r>
            <w:r w:rsidRPr="005C610F">
              <w:rPr>
                <w:rStyle w:val="BoldandItalics"/>
              </w:rPr>
              <w:t>packaging</w:t>
            </w:r>
            <w:r w:rsidRPr="005C610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ListBullet"/>
            </w:pPr>
            <w:r w:rsidRPr="005C610F">
              <w:t>aesthetic or decorative treatments</w:t>
            </w:r>
          </w:p>
          <w:p w:rsidR="00000000" w:rsidRPr="005C610F" w:rsidP="005C610F">
            <w:pPr>
              <w:pStyle w:val="ListBullet"/>
            </w:pPr>
            <w:r w:rsidRPr="005C610F">
              <w:t>chilling</w:t>
            </w:r>
          </w:p>
          <w:p w:rsidR="00000000" w:rsidRPr="005C610F" w:rsidP="005C610F">
            <w:pPr>
              <w:pStyle w:val="ListBullet"/>
            </w:pPr>
            <w:r w:rsidRPr="005C610F">
              <w:t>counting</w:t>
            </w:r>
          </w:p>
          <w:p w:rsidR="00000000" w:rsidRPr="005C610F" w:rsidP="005C610F">
            <w:pPr>
              <w:pStyle w:val="ListBullet"/>
            </w:pPr>
            <w:r w:rsidRPr="005C610F">
              <w:t>freezing</w:t>
            </w:r>
          </w:p>
          <w:p w:rsidR="00000000" w:rsidRPr="005C610F" w:rsidP="005C610F">
            <w:pPr>
              <w:pStyle w:val="ListBullet"/>
            </w:pPr>
            <w:r w:rsidRPr="005C610F">
              <w:t>in-pack heat treatment</w:t>
            </w:r>
          </w:p>
          <w:p w:rsidR="00000000" w:rsidRPr="005C610F" w:rsidP="005C610F">
            <w:pPr>
              <w:pStyle w:val="ListBullet"/>
            </w:pPr>
            <w:r w:rsidRPr="005C610F">
              <w:t>maturation</w:t>
            </w:r>
          </w:p>
          <w:p w:rsidR="00000000" w:rsidRPr="005C610F" w:rsidP="005C610F">
            <w:pPr>
              <w:pStyle w:val="ListBullet"/>
            </w:pPr>
            <w:r w:rsidRPr="005C610F">
              <w:t>retorting</w:t>
            </w:r>
          </w:p>
          <w:p w:rsidR="00000000" w:rsidRPr="005C610F" w:rsidP="005C610F">
            <w:pPr>
              <w:pStyle w:val="ListBullet"/>
            </w:pPr>
            <w:r w:rsidRPr="005C610F">
              <w:t>volume dispensing</w:t>
            </w:r>
          </w:p>
          <w:p w:rsidR="00000000" w:rsidRPr="005C610F" w:rsidP="005C610F">
            <w:pPr>
              <w:pStyle w:val="ListBullet"/>
            </w:pPr>
            <w:r w:rsidRPr="005C610F">
              <w:t>weighing.</w:t>
            </w:r>
          </w:p>
        </w:tc>
      </w:tr>
    </w:tbl>
    <w:p w:rsidR="00F7233A" w:rsidP="005C610F">
      <w:pPr>
        <w:pStyle w:val="BodyText"/>
      </w:pPr>
    </w:p>
    <w:p w:rsidR="00F7233A" w:rsidP="005C610F">
      <w:pPr>
        <w:pStyle w:val="BodyText"/>
      </w:pPr>
    </w:p>
    <w:p w:rsidR="00000000" w:rsidRPr="005C610F" w:rsidP="005C610F">
      <w:pPr>
        <w:pStyle w:val="Heading1"/>
      </w:pPr>
      <w:bookmarkStart w:id="12" w:name="O_218604"/>
      <w:bookmarkEnd w:id="12"/>
      <w:r w:rsidRPr="005C610F">
        <w:t>Unit Sector(s)</w:t>
      </w:r>
    </w:p>
    <w:tbl>
      <w:tblPr>
        <w:tblW w:w="0" w:type="auto"/>
        <w:tblLayout w:type="fixed"/>
        <w:tblCellMar>
          <w:left w:w="62" w:type="dxa"/>
          <w:right w:w="62" w:type="dxa"/>
        </w:tblCellMar>
        <w:tblLook w:val="0000"/>
      </w:tblPr>
      <w:tblGrid>
        <w:gridCol w:w="2615"/>
        <w:gridCol w:w="5907"/>
      </w:tblGrid>
      <w:tr w:rsidTr="00F7233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r w:rsidRPr="005C610F">
              <w:t>Seafood processing</w:t>
            </w:r>
          </w:p>
        </w:tc>
      </w:tr>
    </w:tbl>
    <w:p w:rsidR="00F7233A" w:rsidP="005C610F">
      <w:pPr>
        <w:pStyle w:val="BodyText"/>
      </w:pPr>
    </w:p>
    <w:p w:rsidR="00F7233A" w:rsidP="005C610F">
      <w:pPr>
        <w:pStyle w:val="BodyText"/>
      </w:pPr>
    </w:p>
    <w:p w:rsidR="00000000" w:rsidRPr="005C610F" w:rsidP="005C610F">
      <w:pPr>
        <w:pStyle w:val="Heading1"/>
      </w:pPr>
      <w:bookmarkStart w:id="13" w:name="O_218601"/>
      <w:bookmarkEnd w:id="13"/>
      <w:r w:rsidRPr="005C610F">
        <w:t>Co-requisite units</w:t>
      </w:r>
    </w:p>
    <w:tbl>
      <w:tblPr>
        <w:tblW w:w="0" w:type="auto"/>
        <w:tblLayout w:type="fixed"/>
        <w:tblCellMar>
          <w:left w:w="62" w:type="dxa"/>
          <w:right w:w="62" w:type="dxa"/>
        </w:tblCellMar>
        <w:tblLook w:val="0000"/>
      </w:tblPr>
      <w:tblGrid>
        <w:gridCol w:w="2641"/>
        <w:gridCol w:w="1322"/>
        <w:gridCol w:w="4559"/>
      </w:tblGrid>
      <w:tr w:rsidTr="00F723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p>
        </w:tc>
      </w:tr>
      <w:tr w:rsidTr="00F723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p>
        </w:tc>
      </w:tr>
      <w:tr w:rsidTr="00F723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p>
        </w:tc>
      </w:tr>
    </w:tbl>
    <w:p w:rsidR="00F7233A" w:rsidP="005C610F">
      <w:pPr>
        <w:pStyle w:val="BodyText"/>
      </w:pPr>
    </w:p>
    <w:p w:rsidR="00F7233A" w:rsidP="005C610F">
      <w:pPr>
        <w:pStyle w:val="BodyText"/>
      </w:pPr>
    </w:p>
    <w:p w:rsidR="00000000" w:rsidRPr="005C610F" w:rsidP="005C610F">
      <w:pPr>
        <w:pStyle w:val="Heading1"/>
      </w:pPr>
      <w:bookmarkStart w:id="14" w:name="O_218603"/>
      <w:bookmarkEnd w:id="14"/>
      <w:r w:rsidRPr="005C610F">
        <w:t>Competency field</w:t>
      </w:r>
    </w:p>
    <w:tbl>
      <w:tblPr>
        <w:tblW w:w="0" w:type="auto"/>
        <w:tblLayout w:type="fixed"/>
        <w:tblCellMar>
          <w:left w:w="62" w:type="dxa"/>
          <w:right w:w="62" w:type="dxa"/>
        </w:tblCellMar>
        <w:tblLook w:val="0000"/>
      </w:tblPr>
      <w:tblGrid>
        <w:gridCol w:w="2784"/>
        <w:gridCol w:w="5738"/>
      </w:tblGrid>
      <w:tr w:rsidTr="00F723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0F">
            <w:pPr>
              <w:pStyle w:val="BodyText"/>
              <w:rPr>
                <w:lang w:val="en-NZ"/>
              </w:rPr>
            </w:pPr>
            <w:r w:rsidRPr="005C61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0F" w:rsidP="005C610F">
            <w:pPr>
              <w:pStyle w:val="BodyText"/>
            </w:pPr>
          </w:p>
        </w:tc>
      </w:tr>
    </w:tbl>
    <w:p w:rsidR="00F7233A" w:rsidP="005C610F">
      <w:pPr>
        <w:pStyle w:val="BodyText"/>
      </w:pPr>
    </w:p>
    <w:p w:rsidR="00F7233A" w:rsidP="005C610F">
      <w:pPr>
        <w:pStyle w:val="BodyText"/>
      </w:pPr>
    </w:p>
    <w:p w:rsidR="00000000" w:rsidRPr="005C610F" w:rsidP="005C610F"/>
    <w:sectPr w:rsidSect="005C6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33A" w:rsidP="00F72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3A" w:rsidP="005C6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233A" w:rsidP="005C61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233A" w:rsidP="005C61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33A" w:rsidP="00F723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3A" w:rsidP="005C610F">
    <w:pPr>
      <w:pStyle w:val="Header"/>
      <w:framePr w:wrap="around"/>
    </w:pPr>
    <w:r>
      <w:fldChar w:fldCharType="begin"/>
    </w:r>
    <w:r>
      <w:instrText xml:space="preserve"> TITLE   \* MERGEFORMAT </w:instrText>
    </w:r>
    <w:r>
      <w:fldChar w:fldCharType="separate"/>
    </w:r>
    <w:r>
      <w:t>SFIPROC503C Analyse seafood packaging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233A" w:rsidP="005C61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AA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CB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C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1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10F"/>
    <w:pPr>
      <w:spacing w:before="360" w:after="60"/>
      <w:outlineLvl w:val="0"/>
    </w:pPr>
    <w:rPr>
      <w:sz w:val="32"/>
    </w:rPr>
  </w:style>
  <w:style w:type="paragraph" w:styleId="Heading2">
    <w:name w:val="heading 2"/>
    <w:basedOn w:val="HeadingBase"/>
    <w:next w:val="BodyText"/>
    <w:link w:val="Heading2Char"/>
    <w:qFormat/>
    <w:rsid w:val="005C610F"/>
    <w:pPr>
      <w:keepLines/>
      <w:spacing w:before="240" w:after="120"/>
      <w:outlineLvl w:val="1"/>
    </w:pPr>
    <w:rPr>
      <w:sz w:val="28"/>
      <w:szCs w:val="40"/>
    </w:rPr>
  </w:style>
  <w:style w:type="paragraph" w:styleId="Heading3">
    <w:name w:val="heading 3"/>
    <w:basedOn w:val="HeadingBase"/>
    <w:next w:val="BodyText"/>
    <w:link w:val="Heading3Char"/>
    <w:qFormat/>
    <w:rsid w:val="005C610F"/>
    <w:pPr>
      <w:spacing w:before="180" w:after="120"/>
      <w:outlineLvl w:val="2"/>
    </w:pPr>
    <w:rPr>
      <w:spacing w:val="-10"/>
      <w:kern w:val="32"/>
    </w:rPr>
  </w:style>
  <w:style w:type="paragraph" w:styleId="Heading4">
    <w:name w:val="heading 4"/>
    <w:basedOn w:val="HeadingBase"/>
    <w:next w:val="BodyText"/>
    <w:link w:val="Heading4Char"/>
    <w:qFormat/>
    <w:rsid w:val="005C610F"/>
    <w:pPr>
      <w:spacing w:before="160" w:after="120"/>
      <w:outlineLvl w:val="3"/>
    </w:pPr>
    <w:rPr>
      <w:sz w:val="22"/>
    </w:rPr>
  </w:style>
  <w:style w:type="paragraph" w:styleId="Heading5">
    <w:name w:val="heading 5"/>
    <w:basedOn w:val="HeadingBase"/>
    <w:next w:val="Normal"/>
    <w:link w:val="Heading5Char"/>
    <w:qFormat/>
    <w:rsid w:val="005C610F"/>
    <w:pPr>
      <w:spacing w:before="80"/>
      <w:outlineLvl w:val="4"/>
    </w:pPr>
    <w:rPr>
      <w:color w:val="918585"/>
      <w:sz w:val="20"/>
    </w:rPr>
  </w:style>
  <w:style w:type="paragraph" w:styleId="Heading6">
    <w:name w:val="heading 6"/>
    <w:basedOn w:val="HeadingBase"/>
    <w:next w:val="Normal"/>
    <w:link w:val="Heading6Char"/>
    <w:qFormat/>
    <w:rsid w:val="005C610F"/>
    <w:pPr>
      <w:spacing w:before="60"/>
      <w:outlineLvl w:val="5"/>
    </w:pPr>
    <w:rPr>
      <w:color w:val="918585"/>
      <w:sz w:val="20"/>
    </w:rPr>
  </w:style>
  <w:style w:type="paragraph" w:styleId="Heading7">
    <w:name w:val="heading 7"/>
    <w:basedOn w:val="Normal"/>
    <w:next w:val="Normal"/>
    <w:link w:val="Heading7Char"/>
    <w:qFormat/>
    <w:rsid w:val="005C610F"/>
    <w:pPr>
      <w:ind w:left="720"/>
      <w:outlineLvl w:val="6"/>
    </w:pPr>
    <w:rPr>
      <w:i/>
    </w:rPr>
  </w:style>
  <w:style w:type="paragraph" w:styleId="Heading8">
    <w:name w:val="heading 8"/>
    <w:basedOn w:val="Normal"/>
    <w:next w:val="Normal"/>
    <w:link w:val="Heading8Char"/>
    <w:qFormat/>
    <w:rsid w:val="005C610F"/>
    <w:pPr>
      <w:ind w:left="720"/>
      <w:outlineLvl w:val="7"/>
    </w:pPr>
    <w:rPr>
      <w:i/>
    </w:rPr>
  </w:style>
  <w:style w:type="paragraph" w:styleId="Heading9">
    <w:name w:val="heading 9"/>
    <w:basedOn w:val="Normal"/>
    <w:next w:val="Normal"/>
    <w:link w:val="Heading9Char"/>
    <w:qFormat/>
    <w:rsid w:val="005C610F"/>
    <w:pPr>
      <w:ind w:left="720"/>
      <w:outlineLvl w:val="8"/>
    </w:pPr>
    <w:rPr>
      <w:i/>
    </w:rPr>
  </w:style>
  <w:style w:type="character" w:default="1" w:styleId="DefaultParagraphFont">
    <w:name w:val="Default Paragraph Font"/>
    <w:uiPriority w:val="1"/>
    <w:unhideWhenUsed/>
    <w:rsid w:val="005C6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10F"/>
  </w:style>
  <w:style w:type="character" w:customStyle="1" w:styleId="Heading1Char">
    <w:name w:val="Heading 1 Char"/>
    <w:basedOn w:val="DefaultParagraphFont"/>
    <w:link w:val="Heading1"/>
    <w:rsid w:val="005C610F"/>
    <w:rPr>
      <w:rFonts w:ascii="Times New Roman" w:eastAsia="Times New Roman" w:hAnsi="Times New Roman" w:cs="Times New Roman"/>
      <w:b/>
      <w:sz w:val="32"/>
      <w:szCs w:val="20"/>
      <w:lang w:eastAsia="en-US"/>
    </w:rPr>
  </w:style>
  <w:style w:type="paragraph" w:styleId="BodyText">
    <w:name w:val="Body Text"/>
    <w:basedOn w:val="Normal"/>
    <w:link w:val="BodyTextChar"/>
    <w:rsid w:val="005C61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10F"/>
    <w:rPr>
      <w:rFonts w:ascii="Times New Roman" w:eastAsia="Times New Roman" w:hAnsi="Times New Roman" w:cs="Times New Roman"/>
      <w:sz w:val="24"/>
      <w:lang w:val="en-US" w:eastAsia="en-US"/>
    </w:rPr>
  </w:style>
  <w:style w:type="paragraph" w:styleId="Footer">
    <w:name w:val="footer"/>
    <w:basedOn w:val="Normal"/>
    <w:link w:val="FooterChar"/>
    <w:rsid w:val="005C6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10F"/>
    <w:rPr>
      <w:rFonts w:ascii="Times New Roman" w:eastAsia="Times New Roman" w:hAnsi="Times New Roman" w:cs="Times New Roman"/>
      <w:sz w:val="16"/>
      <w:lang w:val="en-US" w:eastAsia="en-US"/>
    </w:rPr>
  </w:style>
  <w:style w:type="paragraph" w:styleId="List">
    <w:name w:val="List"/>
    <w:basedOn w:val="BodyText"/>
    <w:next w:val="BodyText"/>
    <w:rsid w:val="005C610F"/>
    <w:pPr>
      <w:tabs>
        <w:tab w:val="left" w:pos="340"/>
      </w:tabs>
      <w:spacing w:before="60" w:after="60"/>
      <w:ind w:left="340" w:hanging="340"/>
    </w:pPr>
  </w:style>
  <w:style w:type="paragraph" w:styleId="ListBullet">
    <w:name w:val="List Bullet"/>
    <w:basedOn w:val="List"/>
    <w:rsid w:val="005C610F"/>
    <w:pPr>
      <w:numPr>
        <w:numId w:val="13"/>
      </w:numPr>
      <w:tabs>
        <w:tab w:val="clear" w:pos="340"/>
      </w:tabs>
      <w:spacing w:before="40" w:after="40"/>
    </w:pPr>
  </w:style>
  <w:style w:type="character" w:customStyle="1" w:styleId="SpecialBold">
    <w:name w:val="Special Bold"/>
    <w:basedOn w:val="DefaultParagraphFont"/>
    <w:rsid w:val="005C610F"/>
    <w:rPr>
      <w:b/>
      <w:spacing w:val="0"/>
    </w:rPr>
  </w:style>
  <w:style w:type="paragraph" w:styleId="ListBullet2">
    <w:name w:val="List Bullet 2"/>
    <w:basedOn w:val="List2"/>
    <w:rsid w:val="005C610F"/>
    <w:pPr>
      <w:numPr>
        <w:numId w:val="14"/>
      </w:numPr>
      <w:tabs>
        <w:tab w:val="clear" w:pos="680"/>
      </w:tabs>
    </w:pPr>
  </w:style>
  <w:style w:type="paragraph" w:styleId="Header">
    <w:name w:val="header"/>
    <w:basedOn w:val="Normal"/>
    <w:link w:val="HeaderChar"/>
    <w:rsid w:val="005C6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1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610F"/>
    <w:pPr>
      <w:spacing w:before="240" w:after="120"/>
      <w:outlineLvl w:val="0"/>
    </w:pPr>
    <w:rPr>
      <w:rFonts w:ascii="Times New Roman" w:hAnsi="Times New Roman"/>
      <w:b/>
      <w:sz w:val="28"/>
    </w:rPr>
  </w:style>
  <w:style w:type="paragraph" w:customStyle="1" w:styleId="AllowPageBreak">
    <w:name w:val="AllowPageBreak"/>
    <w:rsid w:val="005C61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10F"/>
    <w:pPr>
      <w:tabs>
        <w:tab w:val="left" w:pos="680"/>
      </w:tabs>
      <w:spacing w:before="60" w:after="60"/>
      <w:ind w:left="680" w:hanging="340"/>
    </w:pPr>
  </w:style>
  <w:style w:type="character" w:customStyle="1" w:styleId="BoldandItalics">
    <w:name w:val="Bold and Italics"/>
    <w:qFormat/>
    <w:rsid w:val="005C610F"/>
    <w:rPr>
      <w:b/>
      <w:i/>
      <w:u w:val="none"/>
    </w:rPr>
  </w:style>
  <w:style w:type="character" w:customStyle="1" w:styleId="Heading2Char">
    <w:name w:val="Heading 2 Char"/>
    <w:basedOn w:val="DefaultParagraphFont"/>
    <w:link w:val="Heading2"/>
    <w:rsid w:val="005C6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1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1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10F"/>
    <w:rPr>
      <w:rFonts w:ascii="Courier New" w:eastAsia="Times New Roman" w:hAnsi="Courier New" w:cs="Times New Roman"/>
      <w:i/>
      <w:szCs w:val="20"/>
      <w:lang w:val="en-US" w:eastAsia="en-US"/>
    </w:rPr>
  </w:style>
  <w:style w:type="paragraph" w:customStyle="1" w:styleId="HeadingBase">
    <w:name w:val="Heading Base"/>
    <w:rsid w:val="005C6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10F"/>
    <w:pPr>
      <w:tabs>
        <w:tab w:val="right" w:leader="dot" w:pos="9072"/>
      </w:tabs>
      <w:ind w:left="567"/>
    </w:pPr>
    <w:rPr>
      <w:szCs w:val="22"/>
    </w:rPr>
  </w:style>
  <w:style w:type="paragraph" w:customStyle="1" w:styleId="TOCBase">
    <w:name w:val="TOC Base"/>
    <w:rsid w:val="005C6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10F"/>
    <w:pPr>
      <w:tabs>
        <w:tab w:val="right" w:leader="dot" w:pos="9072"/>
      </w:tabs>
      <w:spacing w:before="40" w:after="40"/>
      <w:ind w:left="284"/>
    </w:pPr>
    <w:rPr>
      <w:rFonts w:ascii="Times New Roman" w:hAnsi="Times New Roman"/>
    </w:rPr>
  </w:style>
  <w:style w:type="paragraph" w:styleId="TOC1">
    <w:name w:val="toc 1"/>
    <w:basedOn w:val="TOCBase"/>
    <w:next w:val="Normal"/>
    <w:rsid w:val="005C61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10F"/>
    <w:pPr>
      <w:spacing w:before="5040"/>
      <w:jc w:val="center"/>
    </w:pPr>
    <w:rPr>
      <w:sz w:val="48"/>
      <w:szCs w:val="72"/>
      <w:lang w:val="en-US"/>
    </w:rPr>
  </w:style>
  <w:style w:type="character" w:customStyle="1" w:styleId="TitleChar">
    <w:name w:val="Title Char"/>
    <w:basedOn w:val="DefaultParagraphFont"/>
    <w:link w:val="Title"/>
    <w:rsid w:val="005C6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10F"/>
    <w:pPr>
      <w:tabs>
        <w:tab w:val="left" w:pos="3600"/>
        <w:tab w:val="left" w:pos="3958"/>
      </w:tabs>
    </w:pPr>
  </w:style>
  <w:style w:type="paragraph" w:customStyle="1" w:styleId="Note">
    <w:name w:val="Note"/>
    <w:basedOn w:val="BodyText"/>
    <w:rsid w:val="005C6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10F"/>
    <w:pPr>
      <w:framePr w:wrap="auto" w:hAnchor="text" w:y="6049"/>
    </w:pPr>
    <w:rPr>
      <w:color w:val="000000"/>
      <w:sz w:val="40"/>
    </w:rPr>
  </w:style>
  <w:style w:type="paragraph" w:customStyle="1" w:styleId="TOCTitle">
    <w:name w:val="TOCTitle"/>
    <w:basedOn w:val="Heading1"/>
    <w:rsid w:val="005C610F"/>
    <w:pPr>
      <w:spacing w:after="240"/>
      <w:jc w:val="center"/>
      <w:outlineLvl w:val="9"/>
    </w:pPr>
    <w:rPr>
      <w:caps/>
    </w:rPr>
  </w:style>
  <w:style w:type="paragraph" w:customStyle="1" w:styleId="Version">
    <w:name w:val="Version"/>
    <w:rsid w:val="005C6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10F"/>
    <w:pPr>
      <w:keepNext w:val="0"/>
      <w:tabs>
        <w:tab w:val="right" w:pos="4176"/>
      </w:tabs>
      <w:ind w:left="198" w:hanging="198"/>
    </w:pPr>
    <w:rPr>
      <w:rFonts w:ascii="Garamond" w:hAnsi="Garamond"/>
    </w:rPr>
  </w:style>
  <w:style w:type="paragraph" w:styleId="IndexHeading">
    <w:name w:val="index heading"/>
    <w:basedOn w:val="Normal"/>
    <w:next w:val="Index1"/>
    <w:semiHidden/>
    <w:rsid w:val="005C610F"/>
    <w:pPr>
      <w:spacing w:before="120" w:after="120"/>
    </w:pPr>
    <w:rPr>
      <w:rFonts w:ascii="Arial" w:hAnsi="Arial"/>
      <w:b/>
      <w:color w:val="918585"/>
      <w:sz w:val="24"/>
    </w:rPr>
  </w:style>
  <w:style w:type="paragraph" w:customStyle="1" w:styleId="Chapter">
    <w:name w:val="Chapter"/>
    <w:basedOn w:val="Normal"/>
    <w:rsid w:val="005C610F"/>
    <w:pPr>
      <w:spacing w:before="240"/>
    </w:pPr>
    <w:rPr>
      <w:rFonts w:ascii="Times New Roman" w:hAnsi="Times New Roman"/>
      <w:smallCaps/>
      <w:spacing w:val="80"/>
      <w:sz w:val="28"/>
    </w:rPr>
  </w:style>
  <w:style w:type="paragraph" w:customStyle="1" w:styleId="InChapter">
    <w:name w:val="InChapter"/>
    <w:basedOn w:val="Heading3"/>
    <w:rsid w:val="005C610F"/>
    <w:pPr>
      <w:spacing w:after="240"/>
      <w:outlineLvl w:val="9"/>
    </w:pPr>
    <w:rPr>
      <w:noProof/>
    </w:rPr>
  </w:style>
  <w:style w:type="paragraph" w:styleId="Index2">
    <w:name w:val="index 2"/>
    <w:basedOn w:val="Normal"/>
    <w:next w:val="Normal"/>
    <w:semiHidden/>
    <w:rsid w:val="005C610F"/>
    <w:pPr>
      <w:tabs>
        <w:tab w:val="right" w:pos="4176"/>
      </w:tabs>
      <w:ind w:left="568" w:hanging="284"/>
    </w:pPr>
    <w:rPr>
      <w:rFonts w:ascii="Garamond" w:hAnsi="Garamond"/>
    </w:rPr>
  </w:style>
  <w:style w:type="paragraph" w:customStyle="1" w:styleId="Byline">
    <w:name w:val="Byline"/>
    <w:rsid w:val="005C6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10F"/>
    <w:pPr>
      <w:tabs>
        <w:tab w:val="clear" w:pos="3600"/>
        <w:tab w:val="clear" w:pos="3958"/>
      </w:tabs>
      <w:jc w:val="right"/>
    </w:pPr>
  </w:style>
  <w:style w:type="character" w:styleId="Emphasis">
    <w:name w:val="Emphasis"/>
    <w:basedOn w:val="DefaultParagraphFont"/>
    <w:qFormat/>
    <w:rsid w:val="005C610F"/>
    <w:rPr>
      <w:i/>
    </w:rPr>
  </w:style>
  <w:style w:type="paragraph" w:styleId="Caption">
    <w:name w:val="caption"/>
    <w:basedOn w:val="BodyText"/>
    <w:next w:val="Normal"/>
    <w:qFormat/>
    <w:rsid w:val="005C610F"/>
    <w:pPr>
      <w:framePr w:w="2268" w:hSpace="181" w:vSpace="181" w:wrap="around" w:vAnchor="text" w:hAnchor="page" w:x="1135" w:y="285" w:anchorLock="1"/>
    </w:pPr>
    <w:rPr>
      <w:i/>
    </w:rPr>
  </w:style>
  <w:style w:type="paragraph" w:customStyle="1" w:styleId="MiniTOCTitle">
    <w:name w:val="MiniTOCTitle"/>
    <w:basedOn w:val="Heading4"/>
    <w:rsid w:val="005C610F"/>
    <w:pPr>
      <w:spacing w:before="240"/>
      <w:outlineLvl w:val="9"/>
    </w:pPr>
    <w:rPr>
      <w:noProof/>
      <w:sz w:val="24"/>
    </w:rPr>
  </w:style>
  <w:style w:type="paragraph" w:customStyle="1" w:styleId="MiniTOCItem">
    <w:name w:val="MiniTOCItem"/>
    <w:basedOn w:val="ListBullet"/>
    <w:rsid w:val="005C610F"/>
    <w:pPr>
      <w:numPr>
        <w:numId w:val="0"/>
      </w:numPr>
      <w:tabs>
        <w:tab w:val="right" w:leader="dot" w:pos="6521"/>
      </w:tabs>
      <w:spacing w:before="0" w:after="0"/>
    </w:pPr>
  </w:style>
  <w:style w:type="paragraph" w:customStyle="1" w:styleId="TOFTitle">
    <w:name w:val="TOFTitle"/>
    <w:basedOn w:val="TOCTitle"/>
    <w:rsid w:val="005C610F"/>
  </w:style>
  <w:style w:type="paragraph" w:styleId="TableofFigures">
    <w:name w:val="table of figures"/>
    <w:basedOn w:val="Normal"/>
    <w:next w:val="Normal"/>
    <w:semiHidden/>
    <w:rsid w:val="005C610F"/>
    <w:pPr>
      <w:tabs>
        <w:tab w:val="right" w:leader="dot" w:pos="9072"/>
      </w:tabs>
      <w:ind w:left="970" w:hanging="403"/>
    </w:pPr>
    <w:rPr>
      <w:rFonts w:ascii="Times New Roman" w:hAnsi="Times New Roman"/>
      <w:b/>
    </w:rPr>
  </w:style>
  <w:style w:type="paragraph" w:styleId="ListNumber">
    <w:name w:val="List Number"/>
    <w:basedOn w:val="List"/>
    <w:rsid w:val="005C610F"/>
    <w:pPr>
      <w:numPr>
        <w:numId w:val="11"/>
      </w:numPr>
    </w:pPr>
  </w:style>
  <w:style w:type="character" w:customStyle="1" w:styleId="WingdingSymbols">
    <w:name w:val="Wingding Symbols"/>
    <w:rsid w:val="005C610F"/>
    <w:rPr>
      <w:rFonts w:ascii="Wingdings" w:hAnsi="Wingdings"/>
    </w:rPr>
  </w:style>
  <w:style w:type="paragraph" w:customStyle="1" w:styleId="TableHeading">
    <w:name w:val="Table Heading"/>
    <w:basedOn w:val="HeadingBase"/>
    <w:rsid w:val="005C610F"/>
    <w:pPr>
      <w:keepLines/>
      <w:pBdr>
        <w:bottom w:val="single" w:sz="6" w:space="1" w:color="918585"/>
      </w:pBdr>
      <w:spacing w:before="240"/>
    </w:pPr>
  </w:style>
  <w:style w:type="character" w:customStyle="1" w:styleId="HotSpot">
    <w:name w:val="HotSpot"/>
    <w:rsid w:val="005C610F"/>
    <w:rPr>
      <w:color w:val="0033CC"/>
      <w:u w:val="none"/>
    </w:rPr>
  </w:style>
  <w:style w:type="paragraph" w:customStyle="1" w:styleId="BodyTextRight">
    <w:name w:val="Body Text Right"/>
    <w:basedOn w:val="BodyText"/>
    <w:rsid w:val="005C610F"/>
    <w:pPr>
      <w:spacing w:before="0" w:after="0"/>
      <w:jc w:val="right"/>
    </w:pPr>
  </w:style>
  <w:style w:type="paragraph" w:styleId="Index3">
    <w:name w:val="index 3"/>
    <w:basedOn w:val="ListNumber2"/>
    <w:next w:val="Normal"/>
    <w:semiHidden/>
    <w:rsid w:val="005C610F"/>
    <w:pPr>
      <w:numPr>
        <w:numId w:val="0"/>
      </w:numPr>
      <w:tabs>
        <w:tab w:val="right" w:leader="dot" w:pos="4176"/>
      </w:tabs>
    </w:pPr>
  </w:style>
  <w:style w:type="paragraph" w:styleId="ListNumber2">
    <w:name w:val="List Number 2"/>
    <w:basedOn w:val="List2"/>
    <w:rsid w:val="005C610F"/>
    <w:pPr>
      <w:numPr>
        <w:numId w:val="10"/>
      </w:numPr>
      <w:tabs>
        <w:tab w:val="clear" w:pos="1060"/>
      </w:tabs>
    </w:pPr>
  </w:style>
  <w:style w:type="paragraph" w:customStyle="1" w:styleId="MarginNote">
    <w:name w:val="Margin Note"/>
    <w:basedOn w:val="BodyText"/>
    <w:rsid w:val="005C6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1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10F"/>
    <w:rPr>
      <w:sz w:val="32"/>
    </w:rPr>
  </w:style>
  <w:style w:type="paragraph" w:customStyle="1" w:styleId="HeadingProcedure">
    <w:name w:val="Heading Procedure"/>
    <w:basedOn w:val="HeadingBase"/>
    <w:next w:val="Normal"/>
    <w:rsid w:val="005C610F"/>
    <w:pPr>
      <w:tabs>
        <w:tab w:val="left" w:pos="0"/>
      </w:tabs>
      <w:spacing w:before="120" w:after="60"/>
    </w:pPr>
    <w:rPr>
      <w:i/>
      <w:color w:val="918585"/>
      <w:sz w:val="22"/>
    </w:rPr>
  </w:style>
  <w:style w:type="paragraph" w:customStyle="1" w:styleId="TableBodyText">
    <w:name w:val="Table Body Text"/>
    <w:basedOn w:val="BodyText"/>
    <w:rsid w:val="005C610F"/>
    <w:pPr>
      <w:spacing w:before="60" w:after="60"/>
    </w:pPr>
  </w:style>
  <w:style w:type="paragraph" w:styleId="ListContinue">
    <w:name w:val="List Continue"/>
    <w:basedOn w:val="List"/>
    <w:rsid w:val="005C610F"/>
    <w:pPr>
      <w:ind w:firstLine="0"/>
    </w:pPr>
  </w:style>
  <w:style w:type="paragraph" w:customStyle="1" w:styleId="ListNote">
    <w:name w:val="List Note"/>
    <w:basedOn w:val="List"/>
    <w:rsid w:val="005C610F"/>
    <w:pPr>
      <w:pBdr>
        <w:top w:val="single" w:sz="6" w:space="2" w:color="918585"/>
        <w:bottom w:val="single" w:sz="6" w:space="2" w:color="918585"/>
      </w:pBdr>
      <w:tabs>
        <w:tab w:val="left" w:pos="1021"/>
      </w:tabs>
      <w:ind w:firstLine="0"/>
    </w:pPr>
  </w:style>
  <w:style w:type="paragraph" w:customStyle="1" w:styleId="Warning">
    <w:name w:val="Warning"/>
    <w:basedOn w:val="BodyText"/>
    <w:rsid w:val="005C610F"/>
    <w:pPr>
      <w:shd w:val="clear" w:color="auto" w:fill="D9D9D9"/>
      <w:tabs>
        <w:tab w:val="left" w:pos="992"/>
      </w:tabs>
      <w:ind w:left="119" w:right="119"/>
    </w:pPr>
    <w:rPr>
      <w:sz w:val="20"/>
    </w:rPr>
  </w:style>
  <w:style w:type="paragraph" w:customStyle="1" w:styleId="MarginIcons">
    <w:name w:val="Margin Icons"/>
    <w:basedOn w:val="BodyText"/>
    <w:rsid w:val="005C6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10F"/>
    <w:rPr>
      <w:rFonts w:ascii="Courier New" w:hAnsi="Courier New"/>
    </w:rPr>
  </w:style>
  <w:style w:type="paragraph" w:customStyle="1" w:styleId="NoteBullet">
    <w:name w:val="Note Bullet"/>
    <w:basedOn w:val="Note"/>
    <w:rsid w:val="005C610F"/>
    <w:pPr>
      <w:tabs>
        <w:tab w:val="clear" w:pos="680"/>
      </w:tabs>
      <w:spacing w:before="60" w:after="60"/>
    </w:pPr>
  </w:style>
  <w:style w:type="paragraph" w:customStyle="1" w:styleId="SubHeading2">
    <w:name w:val="SubHeading2"/>
    <w:basedOn w:val="HeadingBase"/>
    <w:rsid w:val="005C610F"/>
    <w:pPr>
      <w:spacing w:before="240" w:after="60"/>
    </w:pPr>
    <w:rPr>
      <w:sz w:val="20"/>
    </w:rPr>
  </w:style>
  <w:style w:type="paragraph" w:customStyle="1" w:styleId="SubHeading1">
    <w:name w:val="SubHeading1"/>
    <w:basedOn w:val="HeadingBase"/>
    <w:rsid w:val="005C610F"/>
    <w:pPr>
      <w:spacing w:before="240" w:after="60"/>
    </w:pPr>
    <w:rPr>
      <w:color w:val="918585"/>
      <w:sz w:val="22"/>
    </w:rPr>
  </w:style>
  <w:style w:type="paragraph" w:customStyle="1" w:styleId="SideHeading">
    <w:name w:val="Side Heading"/>
    <w:basedOn w:val="HeadingBase"/>
    <w:rsid w:val="005C6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10F"/>
    <w:pPr>
      <w:numPr>
        <w:numId w:val="12"/>
      </w:numPr>
    </w:pPr>
  </w:style>
  <w:style w:type="paragraph" w:styleId="PlainText">
    <w:name w:val="Plain Text"/>
    <w:basedOn w:val="Normal"/>
    <w:link w:val="PlainTextChar"/>
    <w:rsid w:val="005C610F"/>
    <w:rPr>
      <w:sz w:val="20"/>
    </w:rPr>
  </w:style>
  <w:style w:type="character" w:customStyle="1" w:styleId="PlainTextChar">
    <w:name w:val="Plain Text Char"/>
    <w:basedOn w:val="DefaultParagraphFont"/>
    <w:link w:val="PlainText"/>
    <w:rsid w:val="005C61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10F"/>
    <w:rPr>
      <w:b/>
      <w:smallCaps/>
    </w:rPr>
  </w:style>
  <w:style w:type="paragraph" w:customStyle="1" w:styleId="TableListNumber">
    <w:name w:val="Table List Number"/>
    <w:basedOn w:val="ListNumber"/>
    <w:rsid w:val="005C610F"/>
    <w:pPr>
      <w:numPr>
        <w:numId w:val="0"/>
      </w:numPr>
    </w:pPr>
  </w:style>
  <w:style w:type="paragraph" w:styleId="TOC4">
    <w:name w:val="toc 4"/>
    <w:basedOn w:val="TOCBase"/>
    <w:next w:val="Normal"/>
    <w:semiHidden/>
    <w:rsid w:val="005C610F"/>
    <w:pPr>
      <w:tabs>
        <w:tab w:val="right" w:leader="dot" w:pos="9071"/>
      </w:tabs>
      <w:ind w:left="1701"/>
    </w:pPr>
  </w:style>
  <w:style w:type="paragraph" w:customStyle="1" w:styleId="ListAlpha">
    <w:name w:val="List Alpha"/>
    <w:basedOn w:val="List"/>
    <w:rsid w:val="005C610F"/>
    <w:pPr>
      <w:numPr>
        <w:numId w:val="9"/>
      </w:numPr>
    </w:pPr>
  </w:style>
  <w:style w:type="paragraph" w:customStyle="1" w:styleId="ListAlpha2">
    <w:name w:val="List Alpha 2"/>
    <w:basedOn w:val="List2"/>
    <w:rsid w:val="005C610F"/>
    <w:pPr>
      <w:numPr>
        <w:numId w:val="8"/>
      </w:numPr>
    </w:pPr>
  </w:style>
  <w:style w:type="paragraph" w:styleId="List3">
    <w:name w:val="List 3"/>
    <w:basedOn w:val="BodyText"/>
    <w:rsid w:val="005C610F"/>
    <w:pPr>
      <w:tabs>
        <w:tab w:val="left" w:pos="1021"/>
      </w:tabs>
      <w:spacing w:before="60" w:after="60"/>
      <w:ind w:left="1020" w:hanging="340"/>
    </w:pPr>
  </w:style>
  <w:style w:type="paragraph" w:styleId="List4">
    <w:name w:val="List 4"/>
    <w:basedOn w:val="BodyText"/>
    <w:rsid w:val="005C610F"/>
    <w:pPr>
      <w:tabs>
        <w:tab w:val="left" w:pos="1361"/>
      </w:tabs>
      <w:spacing w:before="60" w:after="60"/>
      <w:ind w:left="1361" w:hanging="340"/>
    </w:pPr>
  </w:style>
  <w:style w:type="paragraph" w:styleId="List5">
    <w:name w:val="List 5"/>
    <w:basedOn w:val="BodyText"/>
    <w:rsid w:val="005C610F"/>
    <w:pPr>
      <w:tabs>
        <w:tab w:val="left" w:pos="1701"/>
      </w:tabs>
      <w:spacing w:before="60" w:after="60"/>
      <w:ind w:left="1701" w:hanging="340"/>
    </w:pPr>
  </w:style>
  <w:style w:type="paragraph" w:styleId="ListBullet3">
    <w:name w:val="List Bullet 3"/>
    <w:basedOn w:val="List3"/>
    <w:rsid w:val="005C610F"/>
    <w:pPr>
      <w:numPr>
        <w:numId w:val="15"/>
      </w:numPr>
      <w:tabs>
        <w:tab w:val="clear" w:pos="1021"/>
      </w:tabs>
      <w:ind w:left="1037" w:hanging="357"/>
    </w:pPr>
  </w:style>
  <w:style w:type="paragraph" w:styleId="ListBullet4">
    <w:name w:val="List Bullet 4"/>
    <w:basedOn w:val="List4"/>
    <w:rsid w:val="005C610F"/>
    <w:pPr>
      <w:numPr>
        <w:numId w:val="3"/>
      </w:numPr>
    </w:pPr>
  </w:style>
  <w:style w:type="paragraph" w:styleId="ListBullet5">
    <w:name w:val="List Bullet 5"/>
    <w:basedOn w:val="List5"/>
    <w:rsid w:val="005C610F"/>
    <w:pPr>
      <w:numPr>
        <w:numId w:val="4"/>
      </w:numPr>
    </w:pPr>
  </w:style>
  <w:style w:type="paragraph" w:styleId="ListContinue2">
    <w:name w:val="List Continue 2"/>
    <w:basedOn w:val="List2"/>
    <w:rsid w:val="005C610F"/>
    <w:pPr>
      <w:ind w:firstLine="0"/>
    </w:pPr>
  </w:style>
  <w:style w:type="paragraph" w:styleId="ListContinue3">
    <w:name w:val="List Continue 3"/>
    <w:basedOn w:val="List3"/>
    <w:rsid w:val="005C610F"/>
    <w:pPr>
      <w:ind w:left="1021" w:firstLine="0"/>
    </w:pPr>
  </w:style>
  <w:style w:type="paragraph" w:styleId="ListContinue4">
    <w:name w:val="List Continue 4"/>
    <w:basedOn w:val="List4"/>
    <w:rsid w:val="005C610F"/>
    <w:pPr>
      <w:ind w:firstLine="0"/>
    </w:pPr>
  </w:style>
  <w:style w:type="paragraph" w:styleId="ListContinue5">
    <w:name w:val="List Continue 5"/>
    <w:basedOn w:val="List5"/>
    <w:rsid w:val="005C610F"/>
    <w:pPr>
      <w:ind w:firstLine="0"/>
    </w:pPr>
  </w:style>
  <w:style w:type="paragraph" w:styleId="ListNumber3">
    <w:name w:val="List Number 3"/>
    <w:basedOn w:val="List3"/>
    <w:rsid w:val="005C610F"/>
    <w:pPr>
      <w:numPr>
        <w:numId w:val="5"/>
      </w:numPr>
    </w:pPr>
  </w:style>
  <w:style w:type="paragraph" w:styleId="ListNumber4">
    <w:name w:val="List Number 4"/>
    <w:basedOn w:val="List4"/>
    <w:rsid w:val="005C610F"/>
    <w:pPr>
      <w:numPr>
        <w:numId w:val="6"/>
      </w:numPr>
    </w:pPr>
  </w:style>
  <w:style w:type="paragraph" w:styleId="ListNumber5">
    <w:name w:val="List Number 5"/>
    <w:basedOn w:val="List5"/>
    <w:rsid w:val="005C610F"/>
    <w:pPr>
      <w:numPr>
        <w:numId w:val="7"/>
      </w:numPr>
    </w:pPr>
  </w:style>
  <w:style w:type="paragraph" w:styleId="BlockText">
    <w:name w:val="Block Text"/>
    <w:basedOn w:val="Normal"/>
    <w:rsid w:val="005C610F"/>
    <w:pPr>
      <w:spacing w:after="120"/>
      <w:ind w:left="1440" w:right="1440"/>
    </w:pPr>
  </w:style>
  <w:style w:type="character" w:customStyle="1" w:styleId="Subscript">
    <w:name w:val="Subscript"/>
    <w:basedOn w:val="DefaultParagraphFont"/>
    <w:rsid w:val="005C610F"/>
    <w:rPr>
      <w:sz w:val="16"/>
      <w:vertAlign w:val="subscript"/>
    </w:rPr>
  </w:style>
  <w:style w:type="character" w:customStyle="1" w:styleId="Superscript">
    <w:name w:val="Superscript"/>
    <w:basedOn w:val="DefaultParagraphFont"/>
    <w:rsid w:val="005C610F"/>
    <w:rPr>
      <w:sz w:val="16"/>
      <w:vertAlign w:val="superscript"/>
    </w:rPr>
  </w:style>
  <w:style w:type="character" w:customStyle="1" w:styleId="Symbols">
    <w:name w:val="Symbols"/>
    <w:basedOn w:val="DefaultParagraphFont"/>
    <w:rsid w:val="005C610F"/>
    <w:rPr>
      <w:rFonts w:ascii="Symbol" w:hAnsi="Symbol"/>
    </w:rPr>
  </w:style>
  <w:style w:type="character" w:customStyle="1" w:styleId="MenuOptions">
    <w:name w:val="Menu Options"/>
    <w:basedOn w:val="DefaultParagraphFont"/>
    <w:rsid w:val="005C610F"/>
    <w:rPr>
      <w:rFonts w:ascii="Arial Narrow" w:hAnsi="Arial Narrow"/>
      <w:smallCaps/>
    </w:rPr>
  </w:style>
  <w:style w:type="character" w:customStyle="1" w:styleId="Buttons">
    <w:name w:val="Buttons"/>
    <w:basedOn w:val="DefaultParagraphFont"/>
    <w:rsid w:val="005C610F"/>
    <w:rPr>
      <w:b/>
    </w:rPr>
  </w:style>
  <w:style w:type="character" w:customStyle="1" w:styleId="Underlined">
    <w:name w:val="Underlined"/>
    <w:basedOn w:val="DefaultParagraphFont"/>
    <w:rsid w:val="005C610F"/>
    <w:rPr>
      <w:u w:val="single"/>
    </w:rPr>
  </w:style>
  <w:style w:type="paragraph" w:customStyle="1" w:styleId="TableBodyTextRight">
    <w:name w:val="Table Body Text Right"/>
    <w:basedOn w:val="TableBodyText"/>
    <w:rsid w:val="005C610F"/>
    <w:pPr>
      <w:widowControl w:val="0"/>
      <w:autoSpaceDE w:val="0"/>
      <w:autoSpaceDN w:val="0"/>
      <w:adjustRightInd w:val="0"/>
      <w:jc w:val="right"/>
    </w:pPr>
    <w:rPr>
      <w:rFonts w:cs="Arial"/>
      <w:szCs w:val="18"/>
    </w:rPr>
  </w:style>
  <w:style w:type="paragraph" w:customStyle="1" w:styleId="CopyrightText">
    <w:name w:val="Copyright Text"/>
    <w:basedOn w:val="BodyText"/>
    <w:rsid w:val="005C610F"/>
    <w:rPr>
      <w:sz w:val="18"/>
    </w:rPr>
  </w:style>
  <w:style w:type="paragraph" w:customStyle="1" w:styleId="BodySmallRight">
    <w:name w:val="Body Small Right"/>
    <w:basedOn w:val="BodyTextRight"/>
    <w:rsid w:val="005C610F"/>
    <w:rPr>
      <w:sz w:val="18"/>
      <w:szCs w:val="18"/>
    </w:rPr>
  </w:style>
  <w:style w:type="paragraph" w:customStyle="1" w:styleId="MarginEdition">
    <w:name w:val="Margin Edition"/>
    <w:basedOn w:val="MarginNote"/>
    <w:rsid w:val="005C610F"/>
    <w:pPr>
      <w:spacing w:before="0" w:after="0"/>
    </w:pPr>
    <w:rPr>
      <w:rFonts w:ascii="Times New Roman" w:hAnsi="Times New Roman"/>
      <w:color w:val="999999"/>
    </w:rPr>
  </w:style>
  <w:style w:type="paragraph" w:customStyle="1" w:styleId="Spacer">
    <w:name w:val="Spacer"/>
    <w:basedOn w:val="Normal"/>
    <w:rsid w:val="005C610F"/>
    <w:rPr>
      <w:sz w:val="2"/>
      <w:szCs w:val="2"/>
    </w:rPr>
  </w:style>
  <w:style w:type="character" w:customStyle="1" w:styleId="Small">
    <w:name w:val="Small"/>
    <w:basedOn w:val="DefaultParagraphFont"/>
    <w:rsid w:val="005C610F"/>
    <w:rPr>
      <w:sz w:val="16"/>
    </w:rPr>
  </w:style>
  <w:style w:type="paragraph" w:customStyle="1" w:styleId="WideTable">
    <w:name w:val="Wide Table"/>
    <w:basedOn w:val="Normal"/>
    <w:rsid w:val="005C610F"/>
    <w:pPr>
      <w:ind w:left="-1418"/>
    </w:pPr>
    <w:rPr>
      <w:sz w:val="2"/>
      <w:szCs w:val="2"/>
    </w:rPr>
  </w:style>
  <w:style w:type="character" w:styleId="PageNumber">
    <w:name w:val="page number"/>
    <w:basedOn w:val="DefaultParagraphFont"/>
    <w:rsid w:val="005C610F"/>
  </w:style>
  <w:style w:type="paragraph" w:styleId="Quote">
    <w:name w:val="Quote"/>
    <w:basedOn w:val="Heading1"/>
    <w:link w:val="QuoteChar"/>
    <w:qFormat/>
    <w:rsid w:val="005C610F"/>
    <w:rPr>
      <w:b w:val="0"/>
      <w:sz w:val="72"/>
      <w:szCs w:val="72"/>
      <w:lang w:val="en-NZ"/>
    </w:rPr>
  </w:style>
  <w:style w:type="character" w:customStyle="1" w:styleId="QuoteChar">
    <w:name w:val="Quote Char"/>
    <w:basedOn w:val="DefaultParagraphFont"/>
    <w:link w:val="Quote"/>
    <w:rsid w:val="005C6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10F"/>
    <w:pPr>
      <w:pageBreakBefore/>
    </w:pPr>
  </w:style>
  <w:style w:type="paragraph" w:customStyle="1" w:styleId="Border">
    <w:name w:val="Border"/>
    <w:basedOn w:val="Normal"/>
    <w:qFormat/>
    <w:rsid w:val="005C6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10F"/>
    <w:rPr>
      <w:b/>
      <w:bCs/>
      <w:i/>
      <w:iCs/>
      <w:color w:val="auto"/>
    </w:rPr>
  </w:style>
  <w:style w:type="paragraph" w:styleId="IntenseQuote">
    <w:name w:val="Intense Quote"/>
    <w:basedOn w:val="Normal"/>
    <w:next w:val="Normal"/>
    <w:link w:val="IntenseQuoteChar"/>
    <w:uiPriority w:val="30"/>
    <w:qFormat/>
    <w:rsid w:val="005C6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1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10F"/>
    <w:rPr>
      <w:smallCaps/>
      <w:color w:val="auto"/>
      <w:u w:val="single"/>
    </w:rPr>
  </w:style>
  <w:style w:type="character" w:styleId="IntenseReference">
    <w:name w:val="Intense Reference"/>
    <w:basedOn w:val="DefaultParagraphFont"/>
    <w:uiPriority w:val="32"/>
    <w:qFormat/>
    <w:rsid w:val="005C610F"/>
    <w:rPr>
      <w:b/>
      <w:bCs/>
      <w:smallCaps/>
      <w:color w:val="auto"/>
      <w:spacing w:val="5"/>
      <w:u w:val="single"/>
    </w:rPr>
  </w:style>
  <w:style w:type="paragraph" w:customStyle="1" w:styleId="2ColumnHeading">
    <w:name w:val="2Column Heading"/>
    <w:basedOn w:val="BodyText"/>
    <w:qFormat/>
    <w:rsid w:val="005C610F"/>
    <w:pPr>
      <w:spacing w:after="60"/>
      <w:ind w:left="-2268"/>
    </w:pPr>
    <w:rPr>
      <w:b/>
    </w:rPr>
  </w:style>
  <w:style w:type="paragraph" w:customStyle="1" w:styleId="Heading1TOC">
    <w:name w:val="Heading1 TOC"/>
    <w:basedOn w:val="Normal"/>
    <w:qFormat/>
    <w:rsid w:val="005C610F"/>
    <w:pPr>
      <w:spacing w:before="240" w:after="120"/>
    </w:pPr>
    <w:rPr>
      <w:rFonts w:ascii="Times New Roman" w:hAnsi="Times New Roman"/>
      <w:b/>
      <w:sz w:val="32"/>
    </w:rPr>
  </w:style>
  <w:style w:type="paragraph" w:customStyle="1" w:styleId="Heading2TOC">
    <w:name w:val="Heading2 TOC"/>
    <w:basedOn w:val="Normal"/>
    <w:qFormat/>
    <w:rsid w:val="005C610F"/>
    <w:pPr>
      <w:spacing w:before="240" w:after="60"/>
    </w:pPr>
    <w:rPr>
      <w:rFonts w:ascii="Times New Roman" w:hAnsi="Times New Roman"/>
      <w:b/>
      <w:sz w:val="28"/>
    </w:rPr>
  </w:style>
  <w:style w:type="character" w:customStyle="1" w:styleId="Underline">
    <w:name w:val="Underline"/>
    <w:basedOn w:val="DefaultParagraphFont"/>
    <w:qFormat/>
    <w:rsid w:val="005C610F"/>
    <w:rPr>
      <w:u w:val="single"/>
    </w:rPr>
  </w:style>
  <w:style w:type="paragraph" w:styleId="BalloonText">
    <w:name w:val="Balloon Text"/>
    <w:basedOn w:val="Normal"/>
    <w:link w:val="BalloonTextChar"/>
    <w:rsid w:val="005C610F"/>
    <w:rPr>
      <w:rFonts w:ascii="Tahoma" w:hAnsi="Tahoma" w:cs="Tahoma"/>
      <w:sz w:val="16"/>
      <w:szCs w:val="16"/>
    </w:rPr>
  </w:style>
  <w:style w:type="character" w:customStyle="1" w:styleId="BalloonTextChar">
    <w:name w:val="Balloon Text Char"/>
    <w:basedOn w:val="DefaultParagraphFont"/>
    <w:link w:val="BalloonText"/>
    <w:rsid w:val="005C61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1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1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1450</Words>
  <Characters>10038</Characters>
  <Application>Microsoft Office Word</Application>
  <DocSecurity>0</DocSecurity>
  <Lines>384</Lines>
  <Paragraphs>209</Paragraphs>
  <ScaleCrop>false</ScaleCrop>
  <Company>Author-it Software Corporation Ltd.</Company>
  <LinksUpToDate>false</LinksUpToDate>
  <CharactersWithSpaces>11421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SFIPROC503C Analyse seafood packaging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