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E58" w:rsidP="008C7E58">
      <w:pPr>
        <w:pStyle w:val="Title"/>
      </w:pPr>
      <w:r>
        <w:fldChar w:fldCharType="begin"/>
      </w:r>
      <w:r>
        <w:instrText xml:space="preserve"> TITLE   \* MERGEFORMAT </w:instrText>
      </w:r>
      <w:r>
        <w:fldChar w:fldCharType="separate"/>
      </w:r>
      <w:r>
        <w:t>SFIPROC502C Produce technical reports on seafood processing systems</w:t>
      </w:r>
      <w:r>
        <w:fldChar w:fldCharType="end"/>
      </w:r>
    </w:p>
    <w:p w:rsidR="008C7E58" w:rsidP="008C7E58">
      <w:pPr>
        <w:pStyle w:val="Version"/>
        <w:sectPr w:rsidSect="000936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6F5" w:rsidP="000936F5">
      <w:pPr>
        <w:pStyle w:val="SuperHeading"/>
      </w:pPr>
      <w:r w:rsidRPr="000936F5">
        <w:t>SFIPROC502C Produce technical reports on seafood processing systems</w:t>
      </w:r>
    </w:p>
    <w:p w:rsidR="00000000" w:rsidRPr="000936F5" w:rsidP="000936F5">
      <w:pPr>
        <w:pStyle w:val="Heading1"/>
      </w:pPr>
      <w:bookmarkStart w:id="1" w:name="O_273300"/>
      <w:bookmarkEnd w:id="1"/>
      <w:r w:rsidRPr="000936F5">
        <w:t>Modification History</w:t>
      </w:r>
    </w:p>
    <w:p w:rsidR="00000000" w:rsidRPr="000936F5" w:rsidP="000936F5">
      <w:pPr>
        <w:pStyle w:val="BodyText"/>
      </w:pPr>
      <w:r w:rsidRPr="000936F5">
        <w:t>Not Applicable</w:t>
      </w:r>
    </w:p>
    <w:p w:rsidR="00000000" w:rsidRPr="000936F5" w:rsidP="000936F5">
      <w:pPr>
        <w:pStyle w:val="AllowPageBreak"/>
      </w:pPr>
    </w:p>
    <w:p w:rsidR="00000000" w:rsidRPr="000936F5" w:rsidP="000936F5">
      <w:pPr>
        <w:pStyle w:val="Heading1"/>
      </w:pPr>
      <w:bookmarkStart w:id="2" w:name="O_218591"/>
      <w:bookmarkEnd w:id="2"/>
      <w:r w:rsidRPr="000936F5">
        <w:t>Unit Descriptor</w:t>
      </w:r>
    </w:p>
    <w:tbl>
      <w:tblPr>
        <w:tblW w:w="0" w:type="auto"/>
        <w:tblLayout w:type="fixed"/>
        <w:tblCellMar>
          <w:left w:w="62" w:type="dxa"/>
          <w:right w:w="62" w:type="dxa"/>
        </w:tblCellMar>
        <w:tblLook w:val="0000"/>
      </w:tblPr>
      <w:tblGrid>
        <w:gridCol w:w="2656"/>
        <w:gridCol w:w="5866"/>
      </w:tblGrid>
      <w:tr w:rsidTr="008C7E58">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BodyText"/>
            </w:pPr>
            <w:r w:rsidRPr="000936F5">
              <w:t>This unit of competency involves producing accurate flow diagrams detailing the seque</w:t>
            </w:r>
            <w:r w:rsidRPr="000936F5">
              <w:t>nce of activities employed in commercial processing or manufacturing of seafood products. It includes the need to consider regulations impacting on the way food is manufactured and to analyse specific activities on the basis of chemical, physical, microbio</w:t>
            </w:r>
            <w:r w:rsidRPr="000936F5">
              <w:t>logical and energy considerations relating to product specifications.</w:t>
            </w:r>
          </w:p>
          <w:p w:rsidR="00000000" w:rsidRPr="000936F5" w:rsidP="000936F5">
            <w:pPr>
              <w:pStyle w:val="BodyText"/>
            </w:pPr>
            <w:r w:rsidRPr="000936F5">
              <w:t>Licensing, legislative, regulatory or certification requirements may apply to this unit. Therefore it will be necessary to check with the relevant state or territory regulators for curre</w:t>
            </w:r>
            <w:r w:rsidRPr="000936F5">
              <w:t>nt licensing, legislative or regulatory requirements before undertaking this unit.</w:t>
            </w:r>
          </w:p>
        </w:tc>
      </w:tr>
    </w:tbl>
    <w:p w:rsidR="008C7E58" w:rsidP="000936F5">
      <w:pPr>
        <w:pStyle w:val="BodyText"/>
      </w:pPr>
    </w:p>
    <w:p w:rsidR="008C7E58" w:rsidP="000936F5">
      <w:pPr>
        <w:pStyle w:val="BodyText"/>
      </w:pPr>
    </w:p>
    <w:p w:rsidR="00000000" w:rsidRPr="000936F5" w:rsidP="000936F5">
      <w:pPr>
        <w:pStyle w:val="Heading1"/>
      </w:pPr>
      <w:bookmarkStart w:id="3" w:name="O_218595"/>
      <w:bookmarkEnd w:id="3"/>
      <w:r w:rsidRPr="000936F5">
        <w:t>Application of the Unit</w:t>
      </w:r>
    </w:p>
    <w:tbl>
      <w:tblPr>
        <w:tblW w:w="0" w:type="auto"/>
        <w:tblLayout w:type="fixed"/>
        <w:tblCellMar>
          <w:left w:w="62" w:type="dxa"/>
          <w:right w:w="62" w:type="dxa"/>
        </w:tblCellMar>
        <w:tblLook w:val="0000"/>
      </w:tblPr>
      <w:tblGrid>
        <w:gridCol w:w="2733"/>
        <w:gridCol w:w="5789"/>
      </w:tblGrid>
      <w:tr w:rsidTr="008C7E5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BodyText"/>
            </w:pPr>
            <w:r w:rsidRPr="000936F5">
              <w:t xml:space="preserve">All enterprise or workplace procedures and activities are carried out according to </w:t>
            </w:r>
            <w:r w:rsidRPr="000936F5">
              <w:rPr>
                <w:rStyle w:val="BoldandItalics"/>
              </w:rPr>
              <w:t xml:space="preserve">relevant government </w:t>
            </w:r>
            <w:r w:rsidRPr="000936F5">
              <w:rPr>
                <w:rStyle w:val="BoldandItalics"/>
              </w:rPr>
              <w:t>regulations</w:t>
            </w:r>
            <w:r w:rsidRPr="000936F5">
              <w:t xml:space="preserve">, </w:t>
            </w:r>
            <w:r w:rsidRPr="000936F5">
              <w:rPr>
                <w:rStyle w:val="BoldandItalics"/>
              </w:rPr>
              <w:t>licensing and other compliance requirements</w:t>
            </w:r>
            <w:r w:rsidRPr="000936F5">
              <w:t xml:space="preserve">, including </w:t>
            </w:r>
            <w:r w:rsidRPr="000936F5">
              <w:rPr>
                <w:rStyle w:val="BoldandItalics"/>
              </w:rPr>
              <w:t>occupational health and safety</w:t>
            </w:r>
            <w:r w:rsidRPr="000936F5">
              <w:t xml:space="preserve"> (</w:t>
            </w:r>
            <w:r w:rsidRPr="000936F5">
              <w:rPr>
                <w:rStyle w:val="BoldandItalics"/>
              </w:rPr>
              <w:t>OHS</w:t>
            </w:r>
            <w:r w:rsidRPr="000936F5">
              <w:t xml:space="preserve">) </w:t>
            </w:r>
            <w:r w:rsidRPr="000936F5">
              <w:rPr>
                <w:rStyle w:val="BoldandItalics"/>
              </w:rPr>
              <w:t>guidelines</w:t>
            </w:r>
            <w:r w:rsidRPr="000936F5">
              <w:t xml:space="preserve">, </w:t>
            </w:r>
            <w:r w:rsidRPr="000936F5">
              <w:rPr>
                <w:rStyle w:val="BoldandItalics"/>
              </w:rPr>
              <w:t>food safety and hygiene regulations and procedures</w:t>
            </w:r>
            <w:r w:rsidRPr="000936F5">
              <w:t xml:space="preserve"> and </w:t>
            </w:r>
            <w:r w:rsidRPr="000936F5">
              <w:rPr>
                <w:rStyle w:val="BoldandItalics"/>
              </w:rPr>
              <w:t>ecologically sustainable development</w:t>
            </w:r>
            <w:r w:rsidRPr="000936F5">
              <w:t xml:space="preserve"> (</w:t>
            </w:r>
            <w:r w:rsidRPr="000936F5">
              <w:rPr>
                <w:rStyle w:val="BoldandItalics"/>
              </w:rPr>
              <w:t>ESD</w:t>
            </w:r>
            <w:r w:rsidRPr="000936F5">
              <w:t xml:space="preserve">) </w:t>
            </w:r>
            <w:r w:rsidRPr="000936F5">
              <w:rPr>
                <w:rStyle w:val="BoldandItalics"/>
              </w:rPr>
              <w:t>principles</w:t>
            </w:r>
            <w:r w:rsidRPr="000936F5">
              <w:t>.</w:t>
            </w:r>
          </w:p>
        </w:tc>
      </w:tr>
    </w:tbl>
    <w:p w:rsidR="008C7E58" w:rsidP="000936F5">
      <w:pPr>
        <w:pStyle w:val="BodyText"/>
      </w:pPr>
    </w:p>
    <w:p w:rsidR="008C7E58" w:rsidP="000936F5">
      <w:pPr>
        <w:pStyle w:val="BodyText"/>
      </w:pPr>
    </w:p>
    <w:p w:rsidR="00000000" w:rsidRPr="000936F5" w:rsidP="000936F5">
      <w:pPr>
        <w:pStyle w:val="Heading1"/>
      </w:pPr>
      <w:bookmarkStart w:id="4" w:name="O_281560"/>
      <w:bookmarkEnd w:id="4"/>
      <w:r w:rsidRPr="000936F5">
        <w:t>Licensing/Regulatory Information</w:t>
      </w:r>
    </w:p>
    <w:p w:rsidR="00000000" w:rsidRPr="000936F5" w:rsidP="000936F5">
      <w:pPr>
        <w:pStyle w:val="BodyText"/>
      </w:pPr>
      <w:r w:rsidRPr="000936F5">
        <w:t>Refer to Unit Descriptor</w:t>
      </w:r>
    </w:p>
    <w:p w:rsidR="00000000" w:rsidRPr="000936F5" w:rsidP="000936F5">
      <w:pPr>
        <w:pStyle w:val="AllowPageBreak"/>
      </w:pPr>
    </w:p>
    <w:p w:rsidR="00000000" w:rsidRPr="000936F5" w:rsidP="000936F5">
      <w:pPr>
        <w:pStyle w:val="Heading1"/>
      </w:pPr>
      <w:bookmarkStart w:id="5" w:name="O_218593"/>
      <w:bookmarkEnd w:id="5"/>
      <w:r w:rsidRPr="000936F5">
        <w:t>Pre-Requisites</w:t>
      </w:r>
    </w:p>
    <w:tbl>
      <w:tblPr>
        <w:tblW w:w="0" w:type="auto"/>
        <w:tblLayout w:type="fixed"/>
        <w:tblCellMar>
          <w:left w:w="62" w:type="dxa"/>
          <w:right w:w="62" w:type="dxa"/>
        </w:tblCellMar>
        <w:tblLook w:val="0000"/>
      </w:tblPr>
      <w:tblGrid>
        <w:gridCol w:w="2775"/>
        <w:gridCol w:w="1295"/>
        <w:gridCol w:w="4452"/>
      </w:tblGrid>
      <w:tr w:rsidTr="008C7E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p>
        </w:tc>
      </w:tr>
      <w:tr w:rsidTr="008C7E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p>
        </w:tc>
      </w:tr>
      <w:tr w:rsidTr="008C7E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BodyText"/>
            </w:pPr>
          </w:p>
        </w:tc>
      </w:tr>
    </w:tbl>
    <w:p w:rsidR="008C7E58" w:rsidP="000936F5">
      <w:pPr>
        <w:pStyle w:val="BodyText"/>
      </w:pPr>
    </w:p>
    <w:p w:rsidR="008C7E58" w:rsidP="000936F5">
      <w:pPr>
        <w:pStyle w:val="BodyText"/>
      </w:pPr>
    </w:p>
    <w:p w:rsidR="00000000" w:rsidRPr="000936F5" w:rsidP="000936F5">
      <w:pPr>
        <w:pStyle w:val="Heading1"/>
      </w:pPr>
      <w:bookmarkStart w:id="6" w:name="O_218592"/>
      <w:bookmarkEnd w:id="6"/>
      <w:r w:rsidRPr="000936F5">
        <w:t>Employability Skills Information</w:t>
      </w:r>
    </w:p>
    <w:tbl>
      <w:tblPr>
        <w:tblW w:w="0" w:type="auto"/>
        <w:tblLayout w:type="fixed"/>
        <w:tblCellMar>
          <w:left w:w="62" w:type="dxa"/>
          <w:right w:w="62" w:type="dxa"/>
        </w:tblCellMar>
        <w:tblLook w:val="0000"/>
      </w:tblPr>
      <w:tblGrid>
        <w:gridCol w:w="2802"/>
        <w:gridCol w:w="5720"/>
      </w:tblGrid>
      <w:tr w:rsidTr="008C7E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BodyText"/>
            </w:pPr>
            <w:r w:rsidRPr="000936F5">
              <w:t xml:space="preserve">This unit contains employability skills. </w:t>
            </w:r>
          </w:p>
        </w:tc>
      </w:tr>
    </w:tbl>
    <w:p w:rsidR="008C7E58" w:rsidP="000936F5">
      <w:pPr>
        <w:pStyle w:val="BodyText"/>
      </w:pPr>
    </w:p>
    <w:p w:rsidR="008C7E58" w:rsidP="000936F5">
      <w:pPr>
        <w:pStyle w:val="BodyText"/>
      </w:pPr>
    </w:p>
    <w:p w:rsidR="00000000" w:rsidRPr="000936F5" w:rsidP="000936F5">
      <w:pPr>
        <w:pStyle w:val="Heading1"/>
      </w:pPr>
      <w:bookmarkStart w:id="7" w:name="O_291346"/>
      <w:bookmarkEnd w:id="7"/>
      <w:r w:rsidRPr="000936F5">
        <w:t>Elements and Performance Criteria Pre-Content</w:t>
      </w:r>
    </w:p>
    <w:tbl>
      <w:tblPr>
        <w:tblW w:w="0" w:type="auto"/>
        <w:tblLayout w:type="fixed"/>
        <w:tblCellMar>
          <w:left w:w="62" w:type="dxa"/>
          <w:right w:w="62" w:type="dxa"/>
        </w:tblCellMar>
        <w:tblLook w:val="0000"/>
      </w:tblPr>
      <w:tblGrid>
        <w:gridCol w:w="2602"/>
        <w:gridCol w:w="5920"/>
      </w:tblGrid>
      <w:tr w:rsidTr="008C7E5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t>Elements describe the essential outcomes of a unit of competency.</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BodyText"/>
            </w:pPr>
            <w:r w:rsidRPr="000936F5">
              <w:t>Performance criteria describe the performance needed to demonstrate achievement of the element. Where bold italicised text is used, further info</w:t>
            </w:r>
            <w:r w:rsidRPr="000936F5">
              <w:t>rmation is detailed in the required skills and knowledge section and the range statement. Assessment of performance is to be consistent with the evidence guide.</w:t>
            </w:r>
          </w:p>
        </w:tc>
      </w:tr>
    </w:tbl>
    <w:p w:rsidR="00000000" w:rsidRPr="000936F5" w:rsidP="000936F5">
      <w:pPr>
        <w:pStyle w:val="BodyText"/>
      </w:pPr>
    </w:p>
    <w:p w:rsidR="00000000" w:rsidRPr="000936F5" w:rsidP="000936F5">
      <w:pPr>
        <w:pStyle w:val="AllowPageBreak"/>
      </w:pPr>
    </w:p>
    <w:p w:rsidR="00000000" w:rsidRPr="000936F5" w:rsidP="000936F5">
      <w:pPr>
        <w:pStyle w:val="Heading1"/>
      </w:pPr>
      <w:bookmarkStart w:id="8" w:name="O_238014"/>
      <w:bookmarkEnd w:id="8"/>
      <w:r w:rsidRPr="000936F5">
        <w:t>Elements and Performance Criteria</w:t>
      </w:r>
    </w:p>
    <w:tbl>
      <w:tblPr>
        <w:tblW w:w="0" w:type="auto"/>
        <w:tblLayout w:type="fixed"/>
        <w:tblCellMar>
          <w:left w:w="62" w:type="dxa"/>
          <w:right w:w="62" w:type="dxa"/>
        </w:tblCellMar>
        <w:tblLook w:val="0000"/>
      </w:tblPr>
      <w:tblGrid>
        <w:gridCol w:w="2602"/>
        <w:gridCol w:w="5920"/>
      </w:tblGrid>
      <w:tr w:rsidTr="008C7E58">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BodyText"/>
            </w:pPr>
            <w:r w:rsidRPr="000936F5">
              <w:rPr>
                <w:rStyle w:val="SpecialBold"/>
              </w:rPr>
              <w:t>ELEMENT</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PERFORMANCE CRITERIA</w:t>
            </w:r>
          </w:p>
        </w:tc>
      </w:tr>
      <w:tr w:rsidTr="008C7E5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List"/>
              <w:rPr>
                <w:lang w:val="en-NZ"/>
              </w:rPr>
            </w:pPr>
            <w:r w:rsidRPr="000936F5">
              <w:t>1.</w:t>
            </w:r>
            <w:r w:rsidRPr="000936F5">
              <w:tab/>
            </w:r>
            <w:r w:rsidRPr="000936F5">
              <w:t>Produce detailed process flow diagrams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2"/>
            </w:pPr>
            <w:r w:rsidRPr="000936F5">
              <w:t>1.1.</w:t>
            </w:r>
            <w:r w:rsidRPr="000936F5">
              <w:tab/>
              <w:t>Flow diagrams are produced in a form consistent with product specifications, including clearly defined commencement and conclusion points.</w:t>
            </w:r>
          </w:p>
          <w:p w:rsidR="00000000" w:rsidRPr="000936F5" w:rsidP="000936F5">
            <w:pPr>
              <w:pStyle w:val="List2"/>
            </w:pPr>
            <w:r w:rsidRPr="000936F5">
              <w:t>1.2.</w:t>
            </w:r>
            <w:r w:rsidRPr="000936F5">
              <w:tab/>
              <w:t>Flow diagrams are processed, utilising consistent symbols and langua</w:t>
            </w:r>
            <w:r w:rsidRPr="000936F5">
              <w:t>ge.</w:t>
            </w:r>
          </w:p>
          <w:p w:rsidR="00000000" w:rsidRPr="000936F5" w:rsidP="000936F5">
            <w:pPr>
              <w:pStyle w:val="List2"/>
            </w:pPr>
            <w:r w:rsidRPr="000936F5">
              <w:t>1.3.</w:t>
            </w:r>
            <w:r w:rsidRPr="000936F5">
              <w:tab/>
            </w:r>
            <w:r w:rsidRPr="000936F5">
              <w:rPr>
                <w:rStyle w:val="BoldandItalics"/>
              </w:rPr>
              <w:t>Processing activities requiring control</w:t>
            </w:r>
            <w:r w:rsidRPr="000936F5">
              <w:t xml:space="preserve"> are nominated on the flow diagram with tolerances clearly identified. </w:t>
            </w:r>
          </w:p>
          <w:p w:rsidR="00000000" w:rsidP="000936F5">
            <w:pPr>
              <w:pStyle w:val="List2"/>
              <w:rPr>
                <w:lang w:val="en-NZ"/>
              </w:rPr>
            </w:pPr>
            <w:r w:rsidRPr="000936F5">
              <w:t>1.4.</w:t>
            </w:r>
            <w:r w:rsidRPr="000936F5">
              <w:tab/>
              <w:t>Inputs into the process are clearly identified on the diagram.</w:t>
            </w:r>
          </w:p>
        </w:tc>
      </w:tr>
      <w:tr w:rsidTr="008C7E5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List"/>
              <w:rPr>
                <w:lang w:val="en-NZ"/>
              </w:rPr>
            </w:pPr>
            <w:r w:rsidRPr="000936F5">
              <w:t>2.</w:t>
            </w:r>
            <w:r w:rsidRPr="000936F5">
              <w:tab/>
              <w:t xml:space="preserve">Identify and quantify </w:t>
            </w:r>
            <w:r w:rsidRPr="000936F5">
              <w:rPr>
                <w:rStyle w:val="BoldandItalics"/>
              </w:rPr>
              <w:t>energy requirements</w:t>
            </w:r>
            <w:r w:rsidRPr="000936F5">
              <w:t xml:space="preserve"> at relevant stages of </w:t>
            </w:r>
            <w:r w:rsidRPr="000936F5">
              <w:t>the production process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2"/>
            </w:pPr>
            <w:r w:rsidRPr="000936F5">
              <w:t>2.1.</w:t>
            </w:r>
            <w:r w:rsidRPr="000936F5">
              <w:tab/>
              <w:t>Analyses of processing systems are produced to determine energy efficiency.</w:t>
            </w:r>
          </w:p>
          <w:p w:rsidR="00000000" w:rsidP="000936F5">
            <w:pPr>
              <w:pStyle w:val="List2"/>
              <w:rPr>
                <w:lang w:val="en-NZ"/>
              </w:rPr>
            </w:pPr>
            <w:r w:rsidRPr="000936F5">
              <w:t>2.2.</w:t>
            </w:r>
            <w:r w:rsidRPr="000936F5">
              <w:tab/>
              <w:t>Conclusions from analyses are used to review processing parameters.</w:t>
            </w:r>
          </w:p>
        </w:tc>
      </w:tr>
      <w:tr w:rsidTr="008C7E5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List"/>
              <w:rPr>
                <w:lang w:val="en-NZ"/>
              </w:rPr>
            </w:pPr>
            <w:r w:rsidRPr="000936F5">
              <w:t>3.</w:t>
            </w:r>
            <w:r w:rsidRPr="000936F5">
              <w:tab/>
              <w:t xml:space="preserve">Determine </w:t>
            </w:r>
            <w:r w:rsidRPr="000936F5">
              <w:rPr>
                <w:rStyle w:val="BoldandItalics"/>
              </w:rPr>
              <w:t>microbiological factors</w:t>
            </w:r>
            <w:r w:rsidRPr="000936F5">
              <w:t xml:space="preserve"> relating to the production process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2"/>
            </w:pPr>
            <w:r w:rsidRPr="000936F5">
              <w:t>3.1.</w:t>
            </w:r>
            <w:r w:rsidRPr="000936F5">
              <w:tab/>
            </w:r>
            <w:r w:rsidRPr="000936F5">
              <w:t>Reports are prepared to justify the inclusion of each microbiological parameter of the product specification.</w:t>
            </w:r>
          </w:p>
          <w:p w:rsidR="00000000" w:rsidRPr="000936F5" w:rsidP="000936F5">
            <w:pPr>
              <w:pStyle w:val="List2"/>
            </w:pPr>
            <w:r w:rsidRPr="000936F5">
              <w:t>3.2.</w:t>
            </w:r>
            <w:r w:rsidRPr="000936F5">
              <w:tab/>
              <w:t>Microbiological specifications for raw materials outline the consequences of non-conformance.</w:t>
            </w:r>
          </w:p>
          <w:p w:rsidR="00000000" w:rsidP="000936F5">
            <w:pPr>
              <w:pStyle w:val="List2"/>
              <w:rPr>
                <w:lang w:val="en-NZ"/>
              </w:rPr>
            </w:pPr>
            <w:r w:rsidRPr="000936F5">
              <w:t>3.3.</w:t>
            </w:r>
            <w:r w:rsidRPr="000936F5">
              <w:tab/>
              <w:t>Reports identify all stages in the process</w:t>
            </w:r>
            <w:r w:rsidRPr="000936F5">
              <w:t xml:space="preserve"> which have microbiological implications.</w:t>
            </w:r>
          </w:p>
        </w:tc>
      </w:tr>
      <w:tr w:rsidTr="008C7E5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List"/>
              <w:rPr>
                <w:lang w:val="en-NZ"/>
              </w:rPr>
            </w:pPr>
            <w:r w:rsidRPr="000936F5">
              <w:t>4.</w:t>
            </w:r>
            <w:r w:rsidRPr="000936F5">
              <w:tab/>
              <w:t xml:space="preserve">Define </w:t>
            </w:r>
            <w:r w:rsidRPr="000936F5">
              <w:rPr>
                <w:rStyle w:val="BoldandItalics"/>
              </w:rPr>
              <w:t>chemical and physical aspects</w:t>
            </w:r>
            <w:r w:rsidRPr="000936F5">
              <w:t xml:space="preserve"> of the production process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2"/>
            </w:pPr>
            <w:r w:rsidRPr="000936F5">
              <w:t>4.1.</w:t>
            </w:r>
            <w:r w:rsidRPr="000936F5">
              <w:tab/>
              <w:t>Reports are prepared to justify the inclusion of each chemical and physical parameter of the product specification.</w:t>
            </w:r>
          </w:p>
          <w:p w:rsidR="00000000" w:rsidRPr="000936F5" w:rsidP="000936F5">
            <w:pPr>
              <w:pStyle w:val="List2"/>
            </w:pPr>
            <w:r w:rsidRPr="000936F5">
              <w:t>4.2.</w:t>
            </w:r>
            <w:r w:rsidRPr="000936F5">
              <w:tab/>
              <w:t>The chemical and phys</w:t>
            </w:r>
            <w:r w:rsidRPr="000936F5">
              <w:t>ical specifications for raw materials outline the consequences of non-conformance.</w:t>
            </w:r>
          </w:p>
          <w:p w:rsidR="00000000" w:rsidP="000936F5">
            <w:pPr>
              <w:pStyle w:val="List2"/>
              <w:rPr>
                <w:lang w:val="en-NZ"/>
              </w:rPr>
            </w:pPr>
            <w:r w:rsidRPr="000936F5">
              <w:t>4.3.</w:t>
            </w:r>
            <w:r w:rsidRPr="000936F5">
              <w:tab/>
              <w:t>Reports identify all stages in the process which have chemical and/or physical implications.</w:t>
            </w:r>
          </w:p>
        </w:tc>
      </w:tr>
      <w:tr w:rsidTr="008C7E5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List"/>
              <w:rPr>
                <w:lang w:val="en-NZ"/>
              </w:rPr>
            </w:pPr>
            <w:r w:rsidRPr="000936F5">
              <w:t>5.</w:t>
            </w:r>
            <w:r w:rsidRPr="000936F5">
              <w:tab/>
              <w:t xml:space="preserve">Determine </w:t>
            </w:r>
            <w:r w:rsidRPr="000936F5">
              <w:rPr>
                <w:rStyle w:val="BoldandItalics"/>
              </w:rPr>
              <w:t>packaging and storage conditions</w:t>
            </w:r>
            <w:r w:rsidRPr="000936F5">
              <w:t xml:space="preserve"> required for seafood product</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2"/>
            </w:pPr>
            <w:r w:rsidRPr="000936F5">
              <w:t>5.1.</w:t>
            </w:r>
            <w:r w:rsidRPr="000936F5">
              <w:tab/>
              <w:t>Reports detailing the parameters for product packaging are prepared.</w:t>
            </w:r>
          </w:p>
          <w:p w:rsidR="00000000" w:rsidRPr="000936F5" w:rsidP="000936F5">
            <w:pPr>
              <w:pStyle w:val="List2"/>
            </w:pPr>
            <w:r w:rsidRPr="000936F5">
              <w:t>5.2.</w:t>
            </w:r>
            <w:r w:rsidRPr="000936F5">
              <w:tab/>
              <w:t>General and specific product storage parameters or requirements are identified.</w:t>
            </w:r>
          </w:p>
          <w:p w:rsidR="00000000" w:rsidRPr="000936F5" w:rsidP="000936F5">
            <w:pPr>
              <w:pStyle w:val="List2"/>
            </w:pPr>
            <w:r w:rsidRPr="000936F5">
              <w:t>5.3.</w:t>
            </w:r>
            <w:r w:rsidRPr="000936F5">
              <w:tab/>
              <w:t>Packaging and/or storage parameters match the product specifications.</w:t>
            </w:r>
          </w:p>
        </w:tc>
      </w:tr>
    </w:tbl>
    <w:p w:rsidR="008C7E58" w:rsidP="000936F5">
      <w:pPr>
        <w:pStyle w:val="BodyText"/>
      </w:pPr>
    </w:p>
    <w:p w:rsidR="008C7E58" w:rsidP="000936F5">
      <w:pPr>
        <w:pStyle w:val="BodyText"/>
      </w:pPr>
    </w:p>
    <w:p w:rsidR="00000000" w:rsidRPr="000936F5" w:rsidP="000936F5">
      <w:pPr>
        <w:pStyle w:val="Heading1"/>
      </w:pPr>
      <w:bookmarkStart w:id="9" w:name="O_261805"/>
      <w:bookmarkEnd w:id="9"/>
      <w:r w:rsidRPr="000936F5">
        <w:t>Required Skills and Knowledge</w:t>
      </w:r>
    </w:p>
    <w:tbl>
      <w:tblPr>
        <w:tblW w:w="0" w:type="auto"/>
        <w:tblLayout w:type="fixed"/>
        <w:tblCellMar>
          <w:left w:w="62" w:type="dxa"/>
          <w:right w:w="62" w:type="dxa"/>
        </w:tblCellMar>
        <w:tblLook w:val="0000"/>
      </w:tblPr>
      <w:tblGrid>
        <w:gridCol w:w="8522"/>
      </w:tblGrid>
      <w:tr w:rsidTr="008C7E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REQUIRED SKILLS AND KNOWLEDGE</w:t>
            </w:r>
          </w:p>
        </w:tc>
      </w:tr>
      <w:tr w:rsidTr="008C7E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t>This section describes the skills and knowledge required for this unit.</w:t>
            </w:r>
          </w:p>
        </w:tc>
      </w:tr>
      <w:tr w:rsidTr="008C7E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Required skills</w:t>
            </w:r>
          </w:p>
        </w:tc>
      </w:tr>
      <w:tr w:rsidTr="008C7E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Bullet"/>
            </w:pPr>
            <w:r w:rsidRPr="000936F5">
              <w:t>collecting, recording and analysing data</w:t>
            </w:r>
          </w:p>
          <w:p w:rsidR="00000000" w:rsidRPr="000936F5" w:rsidP="000936F5">
            <w:pPr>
              <w:pStyle w:val="ListBullet"/>
            </w:pPr>
            <w:r w:rsidRPr="000936F5">
              <w:t>communicating technical requirements to staff in an understandable format</w:t>
            </w:r>
          </w:p>
          <w:p w:rsidR="00000000" w:rsidRPr="000936F5" w:rsidP="000936F5">
            <w:pPr>
              <w:pStyle w:val="ListBullet"/>
            </w:pPr>
            <w:r w:rsidRPr="000936F5">
              <w:t>communicating with work teams and managers</w:t>
            </w:r>
          </w:p>
          <w:p w:rsidR="00000000" w:rsidRPr="000936F5" w:rsidP="000936F5">
            <w:pPr>
              <w:pStyle w:val="ListBullet"/>
            </w:pPr>
            <w:r w:rsidRPr="000936F5">
              <w:t>coordinating activities, supplies and processes</w:t>
            </w:r>
          </w:p>
          <w:p w:rsidR="00000000" w:rsidRPr="000936F5" w:rsidP="000936F5">
            <w:pPr>
              <w:pStyle w:val="ListBullet"/>
            </w:pPr>
            <w:r w:rsidRPr="000936F5">
              <w:t>giving attention to detail</w:t>
            </w:r>
          </w:p>
          <w:p w:rsidR="00000000" w:rsidRPr="000936F5" w:rsidP="000936F5">
            <w:pPr>
              <w:pStyle w:val="ListBullet"/>
            </w:pPr>
            <w:r w:rsidRPr="000936F5">
              <w:t>identifying and monitoring critical control points</w:t>
            </w:r>
          </w:p>
          <w:p w:rsidR="00000000" w:rsidRPr="000936F5" w:rsidP="000936F5">
            <w:pPr>
              <w:pStyle w:val="ListBullet"/>
            </w:pPr>
            <w:r w:rsidRPr="000936F5">
              <w:t>identifying s</w:t>
            </w:r>
            <w:r w:rsidRPr="000936F5">
              <w:t>kill gaps in processing activities</w:t>
            </w:r>
          </w:p>
          <w:p w:rsidR="00000000" w:rsidRPr="000936F5" w:rsidP="000936F5">
            <w:pPr>
              <w:pStyle w:val="ListBullet"/>
            </w:pPr>
            <w:r w:rsidRPr="000936F5">
              <w:t>interpreting regulations, standards and specifications</w:t>
            </w:r>
          </w:p>
          <w:p w:rsidR="00000000" w:rsidRPr="000936F5" w:rsidP="000936F5">
            <w:pPr>
              <w:pStyle w:val="ListBullet"/>
            </w:pPr>
            <w:r w:rsidRPr="000936F5">
              <w:t>optimising a range of processing equipment</w:t>
            </w:r>
          </w:p>
          <w:p w:rsidR="00000000" w:rsidRPr="000936F5" w:rsidP="000936F5">
            <w:pPr>
              <w:pStyle w:val="ListBullet"/>
            </w:pPr>
            <w:r w:rsidRPr="000936F5">
              <w:t>planning, including production planning</w:t>
            </w:r>
          </w:p>
          <w:p w:rsidR="00000000" w:rsidRPr="000936F5" w:rsidP="000936F5">
            <w:pPr>
              <w:pStyle w:val="ListBullet"/>
            </w:pPr>
            <w:r w:rsidRPr="000936F5">
              <w:t>solving problems</w:t>
            </w:r>
          </w:p>
          <w:p w:rsidR="00000000" w:rsidRPr="000936F5" w:rsidP="000936F5">
            <w:pPr>
              <w:pStyle w:val="ListBullet"/>
            </w:pPr>
            <w:r w:rsidRPr="000936F5">
              <w:t>scheduling tests.</w:t>
            </w:r>
          </w:p>
          <w:p w:rsidR="00000000" w:rsidRPr="000936F5" w:rsidP="000936F5">
            <w:pPr>
              <w:pStyle w:val="BodyText"/>
            </w:pPr>
          </w:p>
          <w:p w:rsidR="00000000" w:rsidRPr="000936F5" w:rsidP="000936F5">
            <w:pPr>
              <w:pStyle w:val="BodyText"/>
            </w:pPr>
            <w:r w:rsidRPr="000936F5">
              <w:rPr>
                <w:rStyle w:val="SpecialBold"/>
              </w:rPr>
              <w:t>Literacy skills used for</w:t>
            </w:r>
            <w:r w:rsidRPr="000936F5">
              <w:t xml:space="preserve">: </w:t>
            </w:r>
          </w:p>
          <w:p w:rsidR="00000000" w:rsidRPr="000936F5" w:rsidP="000936F5">
            <w:pPr>
              <w:pStyle w:val="ListBullet"/>
            </w:pPr>
            <w:r w:rsidRPr="000936F5">
              <w:t>compiling reports</w:t>
            </w:r>
          </w:p>
          <w:p w:rsidR="00000000" w:rsidRPr="000936F5" w:rsidP="000936F5">
            <w:pPr>
              <w:pStyle w:val="ListBullet"/>
            </w:pPr>
            <w:r w:rsidRPr="000936F5">
              <w:t>completing complex forms</w:t>
            </w:r>
          </w:p>
          <w:p w:rsidR="00000000" w:rsidRPr="000936F5" w:rsidP="000936F5">
            <w:pPr>
              <w:pStyle w:val="ListBullet"/>
            </w:pPr>
            <w:r w:rsidRPr="000936F5">
              <w:t>interpreting technical documents/publications</w:t>
            </w:r>
          </w:p>
          <w:p w:rsidR="00000000" w:rsidRPr="000936F5" w:rsidP="000936F5">
            <w:pPr>
              <w:pStyle w:val="ListBullet"/>
            </w:pPr>
            <w:r w:rsidRPr="000936F5">
              <w:t>reading and interpreting information, including specifications, standards and regulations</w:t>
            </w:r>
          </w:p>
          <w:p w:rsidR="00000000" w:rsidRPr="000936F5" w:rsidP="000936F5">
            <w:pPr>
              <w:pStyle w:val="ListBullet"/>
            </w:pPr>
            <w:r w:rsidRPr="000936F5">
              <w:t>recording and interpreting data.</w:t>
            </w:r>
          </w:p>
          <w:p w:rsidR="00000000" w:rsidRPr="000936F5" w:rsidP="000936F5">
            <w:pPr>
              <w:pStyle w:val="BodyText"/>
            </w:pPr>
          </w:p>
          <w:p w:rsidR="00000000" w:rsidRPr="000936F5" w:rsidP="000936F5">
            <w:pPr>
              <w:pStyle w:val="BodyText"/>
            </w:pPr>
            <w:r w:rsidRPr="000936F5">
              <w:rPr>
                <w:rStyle w:val="SpecialBold"/>
              </w:rPr>
              <w:t>Numeracy skills used for</w:t>
            </w:r>
            <w:r w:rsidRPr="000936F5">
              <w:t xml:space="preserve">: </w:t>
            </w:r>
          </w:p>
          <w:p w:rsidR="00000000" w:rsidRPr="000936F5" w:rsidP="000936F5">
            <w:pPr>
              <w:pStyle w:val="ListBullet"/>
            </w:pPr>
            <w:r w:rsidRPr="000936F5">
              <w:t>calculating averages and/or perce</w:t>
            </w:r>
            <w:r w:rsidRPr="000936F5">
              <w:t>ntages</w:t>
            </w:r>
          </w:p>
          <w:p w:rsidR="00000000" w:rsidRPr="000936F5" w:rsidP="000936F5">
            <w:pPr>
              <w:pStyle w:val="ListBullet"/>
            </w:pPr>
            <w:r w:rsidRPr="000936F5">
              <w:t>calculating production data</w:t>
            </w:r>
          </w:p>
          <w:p w:rsidR="00000000" w:rsidRPr="000936F5" w:rsidP="000936F5">
            <w:pPr>
              <w:pStyle w:val="ListBullet"/>
            </w:pPr>
            <w:r w:rsidRPr="000936F5">
              <w:t>calculating temperature and other thermal requirements</w:t>
            </w:r>
          </w:p>
          <w:p w:rsidR="00000000" w:rsidRPr="000936F5" w:rsidP="000936F5">
            <w:pPr>
              <w:pStyle w:val="ListBullet"/>
            </w:pPr>
            <w:r w:rsidRPr="000936F5">
              <w:t>estimating time, volume, flows and pressures</w:t>
            </w:r>
          </w:p>
          <w:p w:rsidR="00000000" w:rsidP="000936F5">
            <w:pPr>
              <w:pStyle w:val="ListBullet"/>
              <w:rPr>
                <w:lang w:val="en-NZ"/>
              </w:rPr>
            </w:pPr>
            <w:r w:rsidRPr="000936F5">
              <w:t>estimating safe working loads.</w:t>
            </w:r>
          </w:p>
        </w:tc>
      </w:tr>
      <w:tr w:rsidTr="008C7E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Required knowledge</w:t>
            </w:r>
          </w:p>
        </w:tc>
      </w:tr>
      <w:tr w:rsidTr="008C7E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Bullet"/>
            </w:pPr>
            <w:r w:rsidRPr="000936F5">
              <w:t xml:space="preserve">corrective actions allowable within the requirements of the enterprise food safety plan </w:t>
            </w:r>
          </w:p>
          <w:p w:rsidR="00000000" w:rsidRPr="000936F5" w:rsidP="000936F5">
            <w:pPr>
              <w:pStyle w:val="ListBullet"/>
            </w:pPr>
            <w:r w:rsidRPr="000936F5">
              <w:t xml:space="preserve">production and processing systems consistent with the scale of the enterprise </w:t>
            </w:r>
          </w:p>
          <w:p w:rsidR="00000000" w:rsidRPr="000936F5" w:rsidP="000936F5">
            <w:pPr>
              <w:pStyle w:val="ListBullet"/>
            </w:pPr>
            <w:r w:rsidRPr="000936F5">
              <w:t>production and process planning and organisation consistent with the scale of the enterp</w:t>
            </w:r>
            <w:r w:rsidRPr="000936F5">
              <w:t>rise</w:t>
            </w:r>
          </w:p>
          <w:p w:rsidR="00000000" w:rsidRPr="000936F5" w:rsidP="000936F5">
            <w:pPr>
              <w:pStyle w:val="ListBullet"/>
            </w:pPr>
            <w:r w:rsidRPr="000936F5">
              <w:t xml:space="preserve">product quality parameters described by the enterprise food safety plan and any </w:t>
            </w:r>
            <w:r w:rsidRPr="000936F5">
              <w:t>relevant regulations, including those for food product, packaging, labelling and storage</w:t>
            </w:r>
          </w:p>
          <w:p w:rsidR="00000000" w:rsidRPr="000936F5" w:rsidP="000936F5">
            <w:pPr>
              <w:pStyle w:val="ListBullet"/>
            </w:pPr>
            <w:r w:rsidRPr="000936F5">
              <w:t>species typically processed by the enterprise.</w:t>
            </w:r>
          </w:p>
        </w:tc>
      </w:tr>
    </w:tbl>
    <w:p w:rsidR="008C7E58" w:rsidP="000936F5">
      <w:pPr>
        <w:pStyle w:val="BodyText"/>
      </w:pPr>
    </w:p>
    <w:p w:rsidR="008C7E58" w:rsidP="000936F5">
      <w:pPr>
        <w:pStyle w:val="BodyText"/>
      </w:pPr>
    </w:p>
    <w:p w:rsidR="00000000" w:rsidRPr="000936F5" w:rsidP="000936F5">
      <w:pPr>
        <w:pStyle w:val="AllowPageBreak"/>
      </w:pPr>
    </w:p>
    <w:p w:rsidR="00000000" w:rsidRPr="000936F5" w:rsidP="000936F5">
      <w:pPr>
        <w:pStyle w:val="Heading1"/>
      </w:pPr>
      <w:bookmarkStart w:id="10" w:name="O_245998"/>
      <w:bookmarkEnd w:id="10"/>
      <w:r w:rsidRPr="000936F5">
        <w:t>Evidence Guide</w:t>
      </w:r>
    </w:p>
    <w:tbl>
      <w:tblPr>
        <w:tblW w:w="9570" w:type="dxa"/>
        <w:tblLayout w:type="fixed"/>
        <w:tblCellMar>
          <w:left w:w="62" w:type="dxa"/>
          <w:right w:w="62" w:type="dxa"/>
        </w:tblCellMar>
        <w:tblLook w:val="0000"/>
      </w:tblPr>
      <w:tblGrid>
        <w:gridCol w:w="3908"/>
        <w:gridCol w:w="5662"/>
      </w:tblGrid>
      <w:tr w:rsidTr="008C7E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EVIDENCE GUIDE</w:t>
            </w:r>
          </w:p>
        </w:tc>
      </w:tr>
      <w:tr w:rsidTr="008C7E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t>The evidence guide provides advice on assessment and must be read in conjunction with the performance criteria, required skills and knowledge, range statement and the Assessment Guidelines for the Training Package.</w:t>
            </w:r>
          </w:p>
        </w:tc>
      </w:tr>
      <w:tr w:rsidTr="008C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p>
        </w:tc>
      </w:tr>
      <w:tr w:rsidTr="008C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BodyText"/>
            </w:pPr>
            <w:r w:rsidRPr="000936F5">
              <w:t xml:space="preserve">Assessment must confirm the ability to: </w:t>
            </w:r>
          </w:p>
          <w:p w:rsidR="00000000" w:rsidRPr="000936F5" w:rsidP="000936F5">
            <w:pPr>
              <w:pStyle w:val="ListBullet"/>
            </w:pPr>
            <w:r w:rsidRPr="000936F5">
              <w:t xml:space="preserve">analyse the operation of a production unit and to develop recommendations to improve </w:t>
            </w:r>
            <w:r w:rsidRPr="000936F5">
              <w:t>the volume and quality of outputs against product specifications, as well as satisfying the needs of the enterprise OHS policies and the requirements of food safety regulations.</w:t>
            </w:r>
          </w:p>
          <w:p w:rsidR="00000000" w:rsidRPr="000936F5" w:rsidP="000936F5">
            <w:pPr>
              <w:pStyle w:val="BodyText"/>
            </w:pPr>
          </w:p>
          <w:p w:rsidR="00000000" w:rsidRPr="000936F5" w:rsidP="000936F5">
            <w:pPr>
              <w:pStyle w:val="BodyText"/>
            </w:pPr>
            <w:r w:rsidRPr="000936F5">
              <w:t xml:space="preserve">Assessment must confirm knowledge of: </w:t>
            </w:r>
          </w:p>
          <w:p w:rsidR="00000000" w:rsidRPr="000936F5" w:rsidP="000936F5">
            <w:pPr>
              <w:pStyle w:val="ListBullet"/>
            </w:pPr>
            <w:r w:rsidRPr="000936F5">
              <w:t>requirements of HACCP and the food sa</w:t>
            </w:r>
            <w:r w:rsidRPr="000936F5">
              <w:t>fety plan</w:t>
            </w:r>
          </w:p>
          <w:p w:rsidR="00000000" w:rsidRPr="000936F5" w:rsidP="000936F5">
            <w:pPr>
              <w:pStyle w:val="ListBullet"/>
            </w:pPr>
            <w:r w:rsidRPr="000936F5">
              <w:t>enterprise OHS policy and procedures</w:t>
            </w:r>
          </w:p>
          <w:p w:rsidR="00000000" w:rsidRPr="000936F5" w:rsidP="000936F5">
            <w:pPr>
              <w:pStyle w:val="ListBullet"/>
            </w:pPr>
            <w:r w:rsidRPr="000936F5">
              <w:t>process parameters, including safe working practices, food safety and environmental requirements</w:t>
            </w:r>
          </w:p>
          <w:p w:rsidR="00000000" w:rsidRPr="000936F5" w:rsidP="000936F5">
            <w:pPr>
              <w:pStyle w:val="ListBullet"/>
            </w:pPr>
            <w:r w:rsidRPr="000936F5">
              <w:t>the energy consumption of current and alternative process methods</w:t>
            </w:r>
          </w:p>
          <w:p w:rsidR="00000000" w:rsidRPr="000936F5" w:rsidP="000936F5">
            <w:pPr>
              <w:pStyle w:val="ListBullet"/>
            </w:pPr>
            <w:r w:rsidRPr="000936F5">
              <w:t>causes of product contamination and/or cro</w:t>
            </w:r>
            <w:r w:rsidRPr="000936F5">
              <w:t>ss-contamination</w:t>
            </w:r>
          </w:p>
          <w:p w:rsidR="00000000" w:rsidRPr="000936F5" w:rsidP="000936F5">
            <w:pPr>
              <w:pStyle w:val="ListBullet"/>
            </w:pPr>
            <w:r w:rsidRPr="000936F5">
              <w:t>significance of, and methods for, controlling contamination within the process</w:t>
            </w:r>
          </w:p>
          <w:p w:rsidR="00000000" w:rsidRPr="000936F5" w:rsidP="000936F5">
            <w:pPr>
              <w:pStyle w:val="ListBullet"/>
            </w:pPr>
            <w:r w:rsidRPr="000936F5">
              <w:t>production scheduling, batch or recipe instructions, specifications and identifying process control points</w:t>
            </w:r>
          </w:p>
          <w:p w:rsidR="00000000" w:rsidRPr="000936F5" w:rsidP="000936F5">
            <w:pPr>
              <w:pStyle w:val="ListBullet"/>
            </w:pPr>
            <w:r w:rsidRPr="000936F5">
              <w:t>equipment operational parameters</w:t>
            </w:r>
          </w:p>
          <w:p w:rsidR="00000000" w:rsidRPr="000936F5" w:rsidP="000936F5">
            <w:pPr>
              <w:pStyle w:val="ListBullet"/>
            </w:pPr>
            <w:r w:rsidRPr="000936F5">
              <w:t>process control inst</w:t>
            </w:r>
            <w:r w:rsidRPr="000936F5">
              <w:t>rumentation</w:t>
            </w:r>
          </w:p>
          <w:p w:rsidR="00000000" w:rsidRPr="000936F5" w:rsidP="000936F5">
            <w:pPr>
              <w:pStyle w:val="ListBullet"/>
            </w:pPr>
            <w:r w:rsidRPr="000936F5">
              <w:t>sampling and test schedules</w:t>
            </w:r>
          </w:p>
          <w:p w:rsidR="00000000" w:rsidRPr="000936F5" w:rsidP="000936F5">
            <w:pPr>
              <w:pStyle w:val="ListBullet"/>
            </w:pPr>
            <w:r w:rsidRPr="000936F5">
              <w:t>cleaning and sanitation schedules</w:t>
            </w:r>
          </w:p>
          <w:p w:rsidR="00000000" w:rsidRPr="000936F5" w:rsidP="000936F5">
            <w:pPr>
              <w:pStyle w:val="ListBullet"/>
            </w:pPr>
            <w:r w:rsidRPr="000936F5">
              <w:t>routine preventative maintenance requirements</w:t>
            </w:r>
          </w:p>
          <w:p w:rsidR="00000000" w:rsidRPr="000936F5" w:rsidP="000936F5">
            <w:pPr>
              <w:pStyle w:val="ListBullet"/>
            </w:pPr>
            <w:r w:rsidRPr="000936F5">
              <w:t>documentation, recording and reporting requirements</w:t>
            </w:r>
          </w:p>
          <w:p w:rsidR="00000000" w:rsidP="000936F5">
            <w:pPr>
              <w:pStyle w:val="ListBullet"/>
              <w:rPr>
                <w:lang w:val="en-NZ"/>
              </w:rPr>
            </w:pPr>
            <w:r w:rsidRPr="000936F5">
              <w:t>enterprise product specifications.</w:t>
            </w:r>
          </w:p>
        </w:tc>
      </w:tr>
      <w:tr w:rsidTr="008C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BodyText"/>
            </w:pPr>
            <w:r w:rsidRPr="000936F5">
              <w:t>Worksites used for assessment must comply with relevant legislation, industry standards and/or practices. Equipment used should be representative of that used in the workplace</w:t>
            </w:r>
            <w:r w:rsidRPr="000936F5">
              <w:t>. Procedures and documentation used should be those which would be used typically in the workplace. Compliance with statutory OHS, food safety, export/import inspection, hygiene and/or environmental requirements relevant to the seafood industry should be e</w:t>
            </w:r>
            <w:r w:rsidRPr="000936F5">
              <w:t xml:space="preserve">mphasised. </w:t>
            </w:r>
          </w:p>
          <w:p w:rsidR="00000000" w:rsidRPr="000936F5" w:rsidP="000936F5">
            <w:pPr>
              <w:pStyle w:val="BodyText"/>
            </w:pPr>
          </w:p>
          <w:p w:rsidR="00000000" w:rsidRPr="000936F5" w:rsidP="000936F5">
            <w:pPr>
              <w:pStyle w:val="BodyText"/>
            </w:pPr>
            <w:r w:rsidRPr="000936F5">
              <w:t>Resources may include:</w:t>
            </w:r>
          </w:p>
          <w:p w:rsidR="00000000" w:rsidRPr="000936F5" w:rsidP="000936F5">
            <w:pPr>
              <w:pStyle w:val="ListBullet"/>
            </w:pPr>
            <w:r w:rsidRPr="000936F5">
              <w:t>cleaning and sanitation schedules</w:t>
            </w:r>
          </w:p>
          <w:p w:rsidR="00000000" w:rsidRPr="000936F5" w:rsidP="000936F5">
            <w:pPr>
              <w:pStyle w:val="ListBullet"/>
            </w:pPr>
            <w:r w:rsidRPr="000936F5">
              <w:t>enterprise standard operating procedures (SOP's), including corrective actions and material safety data sheets (MSDS)</w:t>
            </w:r>
          </w:p>
          <w:p w:rsidR="00000000" w:rsidRPr="000936F5" w:rsidP="000936F5">
            <w:pPr>
              <w:pStyle w:val="ListBullet"/>
            </w:pPr>
            <w:r w:rsidRPr="000936F5">
              <w:t>equipment representative of that used in the workplace</w:t>
            </w:r>
          </w:p>
          <w:p w:rsidR="00000000" w:rsidRPr="000936F5" w:rsidP="000936F5">
            <w:pPr>
              <w:pStyle w:val="ListBullet"/>
            </w:pPr>
            <w:r w:rsidRPr="000936F5">
              <w:t xml:space="preserve">food safety </w:t>
            </w:r>
            <w:r w:rsidRPr="000936F5">
              <w:t>and other relevant technical standards, including microbiological data</w:t>
            </w:r>
          </w:p>
          <w:p w:rsidR="00000000" w:rsidRPr="000936F5" w:rsidP="000936F5">
            <w:pPr>
              <w:pStyle w:val="ListBullet"/>
            </w:pPr>
            <w:r w:rsidRPr="000936F5">
              <w:t>procedures and documentation used typically in the workplace</w:t>
            </w:r>
          </w:p>
          <w:p w:rsidR="00000000" w:rsidRPr="000936F5" w:rsidP="000936F5">
            <w:pPr>
              <w:pStyle w:val="ListBullet"/>
            </w:pPr>
            <w:r w:rsidRPr="000936F5">
              <w:t>process documentation</w:t>
            </w:r>
          </w:p>
          <w:p w:rsidR="00000000" w:rsidP="000936F5">
            <w:pPr>
              <w:pStyle w:val="ListBullet"/>
              <w:rPr>
                <w:lang w:val="en-NZ"/>
              </w:rPr>
            </w:pPr>
            <w:r w:rsidRPr="000936F5">
              <w:t>product specifications, control points and processing parameters.</w:t>
            </w:r>
          </w:p>
        </w:tc>
      </w:tr>
      <w:tr w:rsidTr="008C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BodyText"/>
            </w:pPr>
            <w:r w:rsidRPr="000936F5">
              <w:t xml:space="preserve">The following </w:t>
            </w:r>
            <w:r w:rsidRPr="000936F5">
              <w:t xml:space="preserve">assessment methods are suggested: </w:t>
            </w:r>
          </w:p>
          <w:p w:rsidR="00000000" w:rsidRPr="000936F5" w:rsidP="000936F5">
            <w:pPr>
              <w:pStyle w:val="ListBullet"/>
            </w:pPr>
            <w:r w:rsidRPr="000936F5">
              <w:t>project (work or scenario based)</w:t>
            </w:r>
          </w:p>
          <w:p w:rsidR="00000000" w:rsidRPr="000936F5" w:rsidP="000936F5">
            <w:pPr>
              <w:pStyle w:val="ListBullet"/>
            </w:pPr>
            <w:r w:rsidRPr="000936F5">
              <w:t>workplace documentation, including technical reports</w:t>
            </w:r>
          </w:p>
          <w:p w:rsidR="00000000" w:rsidP="000936F5">
            <w:pPr>
              <w:pStyle w:val="ListBullet"/>
              <w:rPr>
                <w:lang w:val="en-NZ"/>
              </w:rPr>
            </w:pPr>
            <w:r w:rsidRPr="000936F5">
              <w:t>written or oral questions.</w:t>
            </w:r>
          </w:p>
        </w:tc>
      </w:tr>
      <w:tr w:rsidTr="008C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BodyText"/>
            </w:pPr>
            <w:r w:rsidRPr="000936F5">
              <w:t>This unit may be assessed holistically with other units within a qualification.</w:t>
            </w:r>
          </w:p>
        </w:tc>
      </w:tr>
    </w:tbl>
    <w:p w:rsidR="008C7E58" w:rsidP="000936F5">
      <w:pPr>
        <w:pStyle w:val="BodyText"/>
      </w:pPr>
    </w:p>
    <w:p w:rsidR="008C7E58" w:rsidP="000936F5">
      <w:pPr>
        <w:pStyle w:val="BodyText"/>
      </w:pPr>
    </w:p>
    <w:p w:rsidR="00000000" w:rsidRPr="000936F5" w:rsidP="000936F5">
      <w:pPr>
        <w:pStyle w:val="Heading1"/>
      </w:pPr>
      <w:bookmarkStart w:id="11" w:name="O_253981"/>
      <w:bookmarkEnd w:id="11"/>
      <w:r w:rsidRPr="000936F5">
        <w:t>Range Statement</w:t>
      </w:r>
    </w:p>
    <w:tbl>
      <w:tblPr>
        <w:tblW w:w="0" w:type="auto"/>
        <w:tblLayout w:type="fixed"/>
        <w:tblCellMar>
          <w:left w:w="62" w:type="dxa"/>
          <w:right w:w="62" w:type="dxa"/>
        </w:tblCellMar>
        <w:tblLook w:val="0000"/>
      </w:tblPr>
      <w:tblGrid>
        <w:gridCol w:w="3466"/>
        <w:gridCol w:w="5056"/>
      </w:tblGrid>
      <w:tr w:rsidTr="008C7E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RANGE STATEMENT</w:t>
            </w:r>
          </w:p>
        </w:tc>
      </w:tr>
      <w:tr w:rsidTr="008C7E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t>The range statement relates to the unit of competency as a whole. It allows for different work environments and situations that may affect performance. Bold italicised wording, if used in the performance criteria, is detailed below. Essential operating con</w:t>
            </w:r>
            <w:r w:rsidRPr="000936F5">
              <w:t>ditions that may be present with training and assessment (depending on the work situation, needs of the candidate, accessibility of the item, and local industry and regional contexts) may also be included.</w:t>
            </w:r>
          </w:p>
        </w:tc>
      </w:tr>
      <w:tr w:rsidTr="008C7E5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BoldandItalics"/>
              </w:rPr>
              <w:t>Relevant government regulations</w:t>
            </w:r>
            <w:r w:rsidRPr="000936F5">
              <w:t xml:space="preserve">, </w:t>
            </w:r>
            <w:r w:rsidRPr="000936F5">
              <w:rPr>
                <w:rStyle w:val="BoldandItalics"/>
              </w:rPr>
              <w:t>licensing and o</w:t>
            </w:r>
            <w:r w:rsidRPr="000936F5">
              <w:rPr>
                <w:rStyle w:val="BoldandItalics"/>
              </w:rPr>
              <w:t>ther compliance requirements</w:t>
            </w:r>
            <w:r w:rsidRPr="000936F5">
              <w:t xml:space="preserve"> may include: </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Bullet"/>
            </w:pPr>
            <w:r w:rsidRPr="000936F5">
              <w:t>ESD principles, environmental hazard identification, risk assessment and control</w:t>
            </w:r>
          </w:p>
          <w:p w:rsidR="00000000" w:rsidRPr="000936F5" w:rsidP="000936F5">
            <w:pPr>
              <w:pStyle w:val="ListBullet"/>
            </w:pPr>
            <w:r w:rsidRPr="000936F5">
              <w:t>food safety, Hazard Analysis Critical Control Point (HACCP), hygiene and temperature control along chain of custody</w:t>
            </w:r>
          </w:p>
          <w:p w:rsidR="00000000" w:rsidRPr="000936F5" w:rsidP="000936F5">
            <w:pPr>
              <w:pStyle w:val="ListBullet"/>
            </w:pPr>
            <w:r w:rsidRPr="000936F5">
              <w:t>imports quarant</w:t>
            </w:r>
            <w:r w:rsidRPr="000936F5">
              <w:t>ine and inspection, and importing approved arrangements for Australian Quarantine Inspection Service (AQIS), Australian Customs Service (ACS) and Biosecurity Australia (BA)</w:t>
            </w:r>
          </w:p>
          <w:p w:rsidR="00000000" w:rsidRPr="000936F5" w:rsidP="000936F5">
            <w:pPr>
              <w:pStyle w:val="ListBullet"/>
            </w:pPr>
            <w:r w:rsidRPr="000936F5">
              <w:t>land, buildings and vehicles:</w:t>
            </w:r>
          </w:p>
          <w:p w:rsidR="00000000" w:rsidRPr="000936F5" w:rsidP="000936F5">
            <w:pPr>
              <w:pStyle w:val="ListBullet2"/>
            </w:pPr>
            <w:r w:rsidRPr="000936F5">
              <w:t>buildings and structures design and appearance, constructions and additions</w:t>
            </w:r>
          </w:p>
          <w:p w:rsidR="00000000" w:rsidRPr="000936F5" w:rsidP="000936F5">
            <w:pPr>
              <w:pStyle w:val="ListBullet2"/>
            </w:pPr>
            <w:r w:rsidRPr="000936F5">
              <w:t xml:space="preserve">poaching, trespass and theft </w:t>
            </w:r>
          </w:p>
          <w:p w:rsidR="00000000" w:rsidRPr="000936F5" w:rsidP="000936F5">
            <w:pPr>
              <w:pStyle w:val="ListBullet2"/>
            </w:pPr>
            <w:r w:rsidRPr="000936F5">
              <w:t>road laws for use of motor vehicles, bikes, trucks and other transport equipment</w:t>
            </w:r>
          </w:p>
          <w:p w:rsidR="00000000" w:rsidRPr="000936F5" w:rsidP="000936F5">
            <w:pPr>
              <w:pStyle w:val="ListBullet2"/>
            </w:pPr>
            <w:r w:rsidRPr="000936F5">
              <w:t>use of firearms</w:t>
            </w:r>
          </w:p>
          <w:p w:rsidR="00000000" w:rsidRPr="000936F5" w:rsidP="000936F5">
            <w:pPr>
              <w:pStyle w:val="ListBullet2"/>
            </w:pPr>
            <w:r w:rsidRPr="000936F5">
              <w:t>use of utilities, including water, natural gas, elect</w:t>
            </w:r>
            <w:r w:rsidRPr="000936F5">
              <w:t>ricity and sewage</w:t>
            </w:r>
          </w:p>
          <w:p w:rsidR="00000000" w:rsidRPr="000936F5" w:rsidP="000936F5">
            <w:pPr>
              <w:pStyle w:val="ListBullet2"/>
            </w:pPr>
            <w:r w:rsidRPr="000936F5">
              <w:t xml:space="preserve">water or land lease, tenure or ownership and use </w:t>
            </w:r>
          </w:p>
          <w:p w:rsidR="00000000" w:rsidRPr="000936F5" w:rsidP="000936F5">
            <w:pPr>
              <w:pStyle w:val="ListBullet"/>
            </w:pPr>
            <w:r w:rsidRPr="000936F5">
              <w:t>business or workplace operations, policies and practices:</w:t>
            </w:r>
          </w:p>
          <w:p w:rsidR="00000000" w:rsidRPr="000936F5" w:rsidP="000936F5">
            <w:pPr>
              <w:pStyle w:val="ListBullet2"/>
            </w:pPr>
            <w:r w:rsidRPr="000936F5">
              <w:t xml:space="preserve">commercial law, including fair trading and trade practices </w:t>
            </w:r>
          </w:p>
          <w:p w:rsidR="00000000" w:rsidRPr="000936F5" w:rsidP="000936F5">
            <w:pPr>
              <w:pStyle w:val="ListBullet2"/>
            </w:pPr>
            <w:r w:rsidRPr="000936F5">
              <w:t>consumer law</w:t>
            </w:r>
          </w:p>
          <w:p w:rsidR="00000000" w:rsidRPr="000936F5" w:rsidP="000936F5">
            <w:pPr>
              <w:pStyle w:val="ListBullet2"/>
            </w:pPr>
            <w:r w:rsidRPr="000936F5">
              <w:t>corporate law, including registration, licensing and fi</w:t>
            </w:r>
            <w:r w:rsidRPr="000936F5">
              <w:t xml:space="preserve">nancial reporting </w:t>
            </w:r>
          </w:p>
          <w:p w:rsidR="00000000" w:rsidRPr="000936F5" w:rsidP="000936F5">
            <w:pPr>
              <w:pStyle w:val="ListBullet2"/>
            </w:pPr>
            <w:r w:rsidRPr="000936F5">
              <w:t>disability policies and practices</w:t>
            </w:r>
          </w:p>
          <w:p w:rsidR="00000000" w:rsidRPr="000936F5" w:rsidP="000936F5">
            <w:pPr>
              <w:pStyle w:val="ListBullet2"/>
            </w:pPr>
            <w:r w:rsidRPr="000936F5">
              <w:t xml:space="preserve">equal opportunity, anti-discrimination and sexual harassment </w:t>
            </w:r>
          </w:p>
          <w:p w:rsidR="00000000" w:rsidRPr="000936F5" w:rsidP="000936F5">
            <w:pPr>
              <w:pStyle w:val="ListBullet2"/>
            </w:pPr>
            <w:r w:rsidRPr="000936F5">
              <w:t>industrial relations and awards, individual employment contracts and share of catch agreements</w:t>
            </w:r>
          </w:p>
          <w:p w:rsidR="00000000" w:rsidRPr="000936F5" w:rsidP="000936F5">
            <w:pPr>
              <w:pStyle w:val="ListBullet2"/>
            </w:pPr>
            <w:r w:rsidRPr="000936F5">
              <w:t>jurisdictional variations</w:t>
            </w:r>
          </w:p>
          <w:p w:rsidR="00000000" w:rsidRPr="000936F5" w:rsidP="000936F5">
            <w:pPr>
              <w:pStyle w:val="ListBullet2"/>
            </w:pPr>
            <w:r w:rsidRPr="000936F5">
              <w:t>superannuation</w:t>
            </w:r>
          </w:p>
          <w:p w:rsidR="00000000" w:rsidRPr="000936F5" w:rsidP="000936F5">
            <w:pPr>
              <w:pStyle w:val="ListBullet2"/>
            </w:pPr>
            <w:r w:rsidRPr="000936F5">
              <w:t>taxation</w:t>
            </w:r>
          </w:p>
          <w:p w:rsidR="00000000" w:rsidRPr="000936F5" w:rsidP="000936F5">
            <w:pPr>
              <w:pStyle w:val="ListBullet2"/>
            </w:pPr>
            <w:r w:rsidRPr="000936F5">
              <w:t xml:space="preserve">trade practices </w:t>
            </w:r>
          </w:p>
          <w:p w:rsidR="00000000" w:rsidRPr="000936F5" w:rsidP="000936F5">
            <w:pPr>
              <w:pStyle w:val="ListBullet2"/>
            </w:pPr>
            <w:r w:rsidRPr="000936F5">
              <w:t>warnings and dismissals</w:t>
            </w:r>
          </w:p>
          <w:p w:rsidR="00000000" w:rsidRPr="000936F5" w:rsidP="000936F5">
            <w:pPr>
              <w:pStyle w:val="ListBullet2"/>
            </w:pPr>
            <w:r w:rsidRPr="000936F5">
              <w:t>worker's compensation</w:t>
            </w:r>
          </w:p>
          <w:p w:rsidR="00000000" w:rsidRPr="000936F5" w:rsidP="000936F5">
            <w:pPr>
              <w:pStyle w:val="ListBullet"/>
            </w:pPr>
            <w:r w:rsidRPr="000936F5">
              <w:t>OHS hazard identification, risk assessment and control</w:t>
            </w:r>
          </w:p>
          <w:p w:rsidR="00000000" w:rsidRPr="000936F5" w:rsidP="000936F5">
            <w:pPr>
              <w:pStyle w:val="ListBullet"/>
            </w:pPr>
            <w:r w:rsidRPr="000936F5">
              <w:t>product quality assurance:</w:t>
            </w:r>
          </w:p>
          <w:p w:rsidR="00000000" w:rsidRPr="000936F5" w:rsidP="000936F5">
            <w:pPr>
              <w:pStyle w:val="ListBullet2"/>
            </w:pPr>
            <w:r w:rsidRPr="000936F5">
              <w:t>correct naming and labelling (e.g. country of origin, Australian Fish Names Standard and eco-labelli</w:t>
            </w:r>
            <w:r w:rsidRPr="000936F5">
              <w:t>ng)</w:t>
            </w:r>
          </w:p>
          <w:p w:rsidR="00000000" w:rsidRPr="000936F5" w:rsidP="000936F5">
            <w:pPr>
              <w:pStyle w:val="ListBullet2"/>
            </w:pPr>
            <w:r w:rsidRPr="000936F5">
              <w:t>correct quantities, sizes and other customer requirements</w:t>
            </w:r>
          </w:p>
          <w:p w:rsidR="00000000" w:rsidP="000936F5">
            <w:pPr>
              <w:pStyle w:val="ListBullet2"/>
              <w:rPr>
                <w:lang w:val="en-NZ"/>
              </w:rPr>
            </w:pPr>
            <w:r w:rsidRPr="000936F5">
              <w:t>third-party certification (e.g. Australian Grown and ISO 14001:2004 Environmental management systems.</w:t>
            </w:r>
          </w:p>
        </w:tc>
      </w:tr>
      <w:tr w:rsidTr="008C7E5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BoldandItalics"/>
              </w:rPr>
              <w:t>OHS guidelines</w:t>
            </w:r>
            <w:r w:rsidRPr="000936F5">
              <w:t xml:space="preserve"> may include: </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Bullet"/>
            </w:pPr>
            <w:r w:rsidRPr="000936F5">
              <w:t>appropriate workplace provision of first aid kits and fire extinguishers</w:t>
            </w:r>
          </w:p>
          <w:p w:rsidR="00000000" w:rsidRPr="000936F5" w:rsidP="000936F5">
            <w:pPr>
              <w:pStyle w:val="ListBullet"/>
            </w:pPr>
            <w:r w:rsidRPr="000936F5">
              <w:t>clean, uncluttered, hygienic workplace</w:t>
            </w:r>
          </w:p>
          <w:p w:rsidR="00000000" w:rsidRPr="000936F5" w:rsidP="000936F5">
            <w:pPr>
              <w:pStyle w:val="ListBullet"/>
            </w:pPr>
            <w:r w:rsidRPr="000936F5">
              <w:t>codes of practice, regulations and/or guidance notes which may apply in a jurisdiction or industry sector</w:t>
            </w:r>
          </w:p>
          <w:p w:rsidR="00000000" w:rsidRPr="000936F5" w:rsidP="000936F5">
            <w:pPr>
              <w:pStyle w:val="ListBullet"/>
            </w:pPr>
            <w:r w:rsidRPr="000936F5">
              <w:t>enterprise-specific OHS procedures, po</w:t>
            </w:r>
            <w:r w:rsidRPr="000936F5">
              <w:t>licies or standards</w:t>
            </w:r>
          </w:p>
          <w:p w:rsidR="00000000" w:rsidRPr="000936F5" w:rsidP="000936F5">
            <w:pPr>
              <w:pStyle w:val="ListBullet"/>
            </w:pPr>
            <w:r w:rsidRPr="000936F5">
              <w:t>hazard and risk assessment of workplace and maintenance activities and control measures</w:t>
            </w:r>
          </w:p>
          <w:p w:rsidR="00000000" w:rsidRPr="000936F5" w:rsidP="000936F5">
            <w:pPr>
              <w:pStyle w:val="ListBullet"/>
            </w:pPr>
            <w:r w:rsidRPr="000936F5">
              <w:t>induction or training of staff, contractors and visitors in relevant OHS procedures and/or requirements to allow them to carry out their duties in a</w:t>
            </w:r>
            <w:r w:rsidRPr="000936F5">
              <w:t xml:space="preserve"> safe manner </w:t>
            </w:r>
          </w:p>
          <w:p w:rsidR="00000000" w:rsidRPr="000936F5" w:rsidP="000936F5">
            <w:pPr>
              <w:pStyle w:val="ListBullet"/>
            </w:pPr>
            <w:r w:rsidRPr="000936F5">
              <w:t>OHS training register</w:t>
            </w:r>
          </w:p>
          <w:p w:rsidR="00000000" w:rsidRPr="000936F5" w:rsidP="000936F5">
            <w:pPr>
              <w:pStyle w:val="ListBullet"/>
            </w:pPr>
            <w:r w:rsidRPr="000936F5">
              <w:t>safe lifting, carrying and handling techniques, including manual handling, and the handling and storage of hazardous substances</w:t>
            </w:r>
          </w:p>
          <w:p w:rsidR="00000000" w:rsidRPr="000936F5" w:rsidP="000936F5">
            <w:pPr>
              <w:pStyle w:val="ListBullet"/>
            </w:pPr>
            <w:r w:rsidRPr="000936F5">
              <w:t>safe systems and procedures for outdoor work, including protection from solar radiation, fal</w:t>
            </w:r>
            <w:r w:rsidRPr="000936F5">
              <w:t>l protection, confined space entry and the protection of people in the workplace</w:t>
            </w:r>
          </w:p>
          <w:p w:rsidR="00000000" w:rsidRPr="000936F5" w:rsidP="000936F5">
            <w:pPr>
              <w:pStyle w:val="ListBullet"/>
            </w:pPr>
            <w:r w:rsidRPr="000936F5">
              <w:t>systems and procedures for the safe maintenance of property, machinery and equipment, including hydraulics and exposed moving parts</w:t>
            </w:r>
          </w:p>
          <w:p w:rsidR="00000000" w:rsidP="000936F5">
            <w:pPr>
              <w:pStyle w:val="ListBullet"/>
              <w:rPr>
                <w:lang w:val="en-NZ"/>
              </w:rPr>
            </w:pPr>
            <w:r w:rsidRPr="000936F5">
              <w:t>the appropriate use, maintenance and storag</w:t>
            </w:r>
            <w:r w:rsidRPr="000936F5">
              <w:t>e of PPE.</w:t>
            </w:r>
          </w:p>
        </w:tc>
      </w:tr>
      <w:tr w:rsidTr="008C7E5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BoldandItalics"/>
              </w:rPr>
              <w:t>Food safety and hygiene regulations and procedures</w:t>
            </w:r>
            <w:r w:rsidRPr="000936F5">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Bullet"/>
            </w:pPr>
            <w:r w:rsidRPr="000936F5">
              <w:t>Australian Shellfish Sanitation program</w:t>
            </w:r>
          </w:p>
          <w:p w:rsidR="00000000" w:rsidRPr="000936F5" w:rsidP="000936F5">
            <w:pPr>
              <w:pStyle w:val="ListBullet"/>
            </w:pPr>
            <w:r w:rsidRPr="000936F5">
              <w:t>display, packaging and sale of food, including seafood and aquatic products</w:t>
            </w:r>
          </w:p>
          <w:p w:rsidR="00000000" w:rsidRPr="000936F5" w:rsidP="000936F5">
            <w:pPr>
              <w:pStyle w:val="ListBullet"/>
            </w:pPr>
            <w:r w:rsidRPr="000936F5">
              <w:t xml:space="preserve">equipment design, use, cleaning and maintenance </w:t>
            </w:r>
          </w:p>
          <w:p w:rsidR="00000000" w:rsidRPr="000936F5" w:rsidP="000936F5">
            <w:pPr>
              <w:pStyle w:val="ListBullet"/>
            </w:pPr>
            <w:r w:rsidRPr="000936F5">
              <w:t>exporting requirements, including AQIS Export Control (Fish) orders</w:t>
            </w:r>
          </w:p>
          <w:p w:rsidR="00000000" w:rsidRPr="000936F5" w:rsidP="000936F5">
            <w:pPr>
              <w:pStyle w:val="ListBullet"/>
            </w:pPr>
            <w:r w:rsidRPr="000936F5">
              <w:t>handling and disposal of condemned or recalled seafood products</w:t>
            </w:r>
          </w:p>
          <w:p w:rsidR="00000000" w:rsidRPr="000936F5" w:rsidP="000936F5">
            <w:pPr>
              <w:pStyle w:val="ListBullet"/>
            </w:pPr>
            <w:r w:rsidRPr="000936F5">
              <w:t>HACCP, food safety program, and other risk minimisation and quality assurance systems</w:t>
            </w:r>
          </w:p>
          <w:p w:rsidR="00000000" w:rsidRPr="000936F5" w:rsidP="000936F5">
            <w:pPr>
              <w:pStyle w:val="ListBullet"/>
            </w:pPr>
            <w:r w:rsidRPr="000936F5">
              <w:t>location, construction and servicing o</w:t>
            </w:r>
            <w:r w:rsidRPr="000936F5">
              <w:t xml:space="preserve">f seafood premises </w:t>
            </w:r>
          </w:p>
          <w:p w:rsidR="00000000" w:rsidRPr="000936F5" w:rsidP="000936F5">
            <w:pPr>
              <w:pStyle w:val="ListBullet"/>
            </w:pPr>
            <w:r w:rsidRPr="000936F5">
              <w:t>people, product and place hygiene and sanitation requirements</w:t>
            </w:r>
          </w:p>
          <w:p w:rsidR="00000000" w:rsidRPr="000936F5" w:rsidP="000936F5">
            <w:pPr>
              <w:pStyle w:val="ListBullet"/>
            </w:pPr>
            <w:r w:rsidRPr="000936F5">
              <w:t xml:space="preserve">Primary Products Standard and the Australian Seafood Standard (voluntary) </w:t>
            </w:r>
          </w:p>
          <w:p w:rsidR="00000000" w:rsidRPr="000936F5" w:rsidP="000936F5">
            <w:pPr>
              <w:pStyle w:val="ListBullet"/>
            </w:pPr>
            <w:r w:rsidRPr="000936F5">
              <w:t xml:space="preserve">processing, further processing and preparation of food, including seafood and aquatic products </w:t>
            </w:r>
          </w:p>
          <w:p w:rsidR="00000000" w:rsidRPr="000936F5" w:rsidP="000936F5">
            <w:pPr>
              <w:pStyle w:val="ListBullet"/>
            </w:pPr>
            <w:r w:rsidRPr="000936F5">
              <w:t>pro</w:t>
            </w:r>
            <w:r w:rsidRPr="000936F5">
              <w:t>duct labelling, tracing and recall</w:t>
            </w:r>
          </w:p>
          <w:p w:rsidR="00000000" w:rsidRPr="000936F5" w:rsidP="000936F5">
            <w:pPr>
              <w:pStyle w:val="ListBullet"/>
            </w:pPr>
            <w:r w:rsidRPr="000936F5">
              <w:t>receipt, storage and transportation of food, including seafood and aquatic products</w:t>
            </w:r>
          </w:p>
          <w:p w:rsidR="00000000" w:rsidRPr="000936F5" w:rsidP="000936F5">
            <w:pPr>
              <w:pStyle w:val="ListBullet"/>
            </w:pPr>
            <w:r w:rsidRPr="000936F5">
              <w:t>requirements set out in Australian and New Zealand Food Authority (ANZFA) Food Standards Code and state and territory food regulations</w:t>
            </w:r>
          </w:p>
          <w:p w:rsidR="00000000" w:rsidP="000936F5">
            <w:pPr>
              <w:pStyle w:val="ListBullet"/>
              <w:rPr>
                <w:lang w:val="en-NZ"/>
              </w:rPr>
            </w:pPr>
            <w:r w:rsidRPr="000936F5">
              <w:t>te</w:t>
            </w:r>
            <w:r w:rsidRPr="000936F5">
              <w:t>mperature and contamination control along chain of custody.</w:t>
            </w:r>
          </w:p>
        </w:tc>
      </w:tr>
      <w:tr w:rsidTr="008C7E5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BoldandItalics"/>
              </w:rPr>
              <w:t>ESD principles</w:t>
            </w:r>
            <w:r w:rsidRPr="000936F5">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Bullet"/>
            </w:pPr>
            <w:r w:rsidRPr="000936F5">
              <w:t>controlling the use and recycling of water, and managing water quality and quantity</w:t>
            </w:r>
          </w:p>
          <w:p w:rsidR="00000000" w:rsidRPr="000936F5" w:rsidP="000936F5">
            <w:pPr>
              <w:pStyle w:val="ListBullet"/>
            </w:pPr>
            <w:r w:rsidRPr="000936F5">
              <w:t>increasing use of renewable, recyclable and recoverable resources</w:t>
            </w:r>
          </w:p>
          <w:p w:rsidR="00000000" w:rsidRPr="000936F5" w:rsidP="000936F5">
            <w:pPr>
              <w:pStyle w:val="ListBullet"/>
            </w:pPr>
            <w:r w:rsidRPr="000936F5">
              <w:t>managing environmental hazard identification, risk assessment and control</w:t>
            </w:r>
          </w:p>
          <w:p w:rsidR="00000000" w:rsidRPr="000936F5" w:rsidP="000936F5">
            <w:pPr>
              <w:pStyle w:val="ListBullet"/>
            </w:pPr>
            <w:r w:rsidRPr="000936F5">
              <w:t>managing imported products quarantine and inspection, facility biosecurity, translocation of livestock and genetic material, and health certification</w:t>
            </w:r>
          </w:p>
          <w:p w:rsidR="00000000" w:rsidRPr="000936F5" w:rsidP="000936F5">
            <w:pPr>
              <w:pStyle w:val="ListBullet"/>
            </w:pPr>
            <w:r w:rsidRPr="000936F5">
              <w:t>managing, controlling and treati</w:t>
            </w:r>
            <w:r w:rsidRPr="000936F5">
              <w:t xml:space="preserve">ng effluents, chemical residues, contaminants, wastes and pollution </w:t>
            </w:r>
          </w:p>
          <w:p w:rsidR="00000000" w:rsidRPr="000936F5" w:rsidP="000936F5">
            <w:pPr>
              <w:pStyle w:val="ListBullet"/>
            </w:pPr>
            <w:r w:rsidRPr="000936F5">
              <w:t>minimising noise, dust, light or odour emissions</w:t>
            </w:r>
          </w:p>
          <w:p w:rsidR="00000000" w:rsidRPr="000936F5" w:rsidP="000936F5">
            <w:pPr>
              <w:pStyle w:val="ListBullet"/>
            </w:pPr>
            <w:r w:rsidRPr="000936F5">
              <w:t>planning environmental and resource efficiency improvements</w:t>
            </w:r>
          </w:p>
          <w:p w:rsidR="00000000" w:rsidRPr="000936F5" w:rsidP="000936F5">
            <w:pPr>
              <w:pStyle w:val="ListBullet"/>
            </w:pPr>
            <w:r w:rsidRPr="000936F5">
              <w:t xml:space="preserve">preventing genetically modified organisms and live cultured or held organisms </w:t>
            </w:r>
            <w:r w:rsidRPr="000936F5">
              <w:t>from escaping into environment</w:t>
            </w:r>
          </w:p>
          <w:p w:rsidR="00000000" w:rsidRPr="000936F5" w:rsidP="000936F5">
            <w:pPr>
              <w:pStyle w:val="ListBullet"/>
            </w:pPr>
            <w:r w:rsidRPr="000936F5">
              <w:t>reducing emissions of greenhouse gases</w:t>
            </w:r>
          </w:p>
          <w:p w:rsidR="00000000" w:rsidRPr="000936F5" w:rsidP="000936F5">
            <w:pPr>
              <w:pStyle w:val="ListBullet"/>
            </w:pPr>
            <w:r w:rsidRPr="000936F5">
              <w:t>reducing use of non-renewable resources</w:t>
            </w:r>
          </w:p>
          <w:p w:rsidR="00000000" w:rsidP="000936F5">
            <w:pPr>
              <w:pStyle w:val="ListBullet"/>
              <w:rPr>
                <w:lang w:val="en-NZ"/>
              </w:rPr>
            </w:pPr>
            <w:r w:rsidRPr="000936F5">
              <w:t>reducing energy use and introducing alternative energy sources.</w:t>
            </w:r>
          </w:p>
        </w:tc>
      </w:tr>
      <w:tr w:rsidTr="008C7E5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BoldandItalics"/>
              </w:rPr>
              <w:t>Processing activities requiring control</w:t>
            </w:r>
            <w:r w:rsidRPr="000936F5">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Bullet"/>
            </w:pPr>
            <w:r w:rsidRPr="000936F5">
              <w:t>energy efficiency of the pr</w:t>
            </w:r>
            <w:r w:rsidRPr="000936F5">
              <w:t>ocess</w:t>
            </w:r>
          </w:p>
          <w:p w:rsidR="00000000" w:rsidRPr="000936F5" w:rsidP="000936F5">
            <w:pPr>
              <w:pStyle w:val="ListBullet"/>
            </w:pPr>
            <w:r w:rsidRPr="000936F5">
              <w:t>enterprise HACCP plan</w:t>
            </w:r>
          </w:p>
          <w:p w:rsidR="00000000" w:rsidRPr="000936F5" w:rsidP="000936F5">
            <w:pPr>
              <w:pStyle w:val="ListBullet"/>
            </w:pPr>
            <w:r w:rsidRPr="000936F5">
              <w:t>product specifications</w:t>
            </w:r>
          </w:p>
          <w:p w:rsidR="00000000" w:rsidRPr="000936F5" w:rsidP="000936F5">
            <w:pPr>
              <w:pStyle w:val="ListBullet"/>
            </w:pPr>
            <w:r w:rsidRPr="000936F5">
              <w:t>skills required to process product to the required specification</w:t>
            </w:r>
          </w:p>
          <w:p w:rsidR="00000000" w:rsidP="000936F5">
            <w:pPr>
              <w:pStyle w:val="ListBullet"/>
              <w:rPr>
                <w:lang w:val="en-NZ"/>
              </w:rPr>
            </w:pPr>
            <w:r w:rsidRPr="000936F5">
              <w:t>the requirements of food safety standards.</w:t>
            </w:r>
          </w:p>
        </w:tc>
      </w:tr>
      <w:tr w:rsidTr="008C7E5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BoldandItalics"/>
              </w:rPr>
              <w:t>Energy requirements</w:t>
            </w:r>
            <w:r w:rsidRPr="000936F5">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Bullet"/>
            </w:pPr>
            <w:r w:rsidRPr="000936F5">
              <w:t>component composition</w:t>
            </w:r>
          </w:p>
          <w:p w:rsidR="00000000" w:rsidRPr="000936F5" w:rsidP="000936F5">
            <w:pPr>
              <w:pStyle w:val="ListBullet"/>
            </w:pPr>
            <w:r w:rsidRPr="000936F5">
              <w:t>heat/energy efficiency</w:t>
            </w:r>
          </w:p>
          <w:p w:rsidR="00000000" w:rsidRPr="000936F5" w:rsidP="000936F5">
            <w:pPr>
              <w:pStyle w:val="ListBullet"/>
            </w:pPr>
            <w:r w:rsidRPr="000936F5">
              <w:t>heating/cooling rates</w:t>
            </w:r>
          </w:p>
          <w:p w:rsidR="00000000" w:rsidRPr="000936F5" w:rsidP="000936F5">
            <w:pPr>
              <w:pStyle w:val="ListBullet"/>
            </w:pPr>
            <w:r w:rsidRPr="000936F5">
              <w:t>material temperature</w:t>
            </w:r>
          </w:p>
          <w:p w:rsidR="00000000" w:rsidRPr="000936F5" w:rsidP="000936F5">
            <w:pPr>
              <w:pStyle w:val="ListBullet"/>
            </w:pPr>
            <w:r w:rsidRPr="000936F5">
              <w:t>product or material flow rate</w:t>
            </w:r>
          </w:p>
          <w:p w:rsidR="00000000" w:rsidP="000936F5">
            <w:pPr>
              <w:pStyle w:val="ListBullet"/>
              <w:rPr>
                <w:lang w:val="en-NZ"/>
              </w:rPr>
            </w:pPr>
            <w:r w:rsidRPr="000936F5">
              <w:t>storage conditions required for finished product.</w:t>
            </w:r>
          </w:p>
        </w:tc>
      </w:tr>
      <w:tr w:rsidTr="008C7E5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BoldandItalics"/>
              </w:rPr>
              <w:t>Microbiological factors</w:t>
            </w:r>
            <w:r w:rsidRPr="000936F5">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ListBullet"/>
              <w:rPr>
                <w:lang w:val="en-NZ"/>
              </w:rPr>
            </w:pPr>
            <w:r w:rsidRPr="000936F5">
              <w:t>the measurement of pathogenic and spoilage microorganisms present in seafood and the processes</w:t>
            </w:r>
            <w:r w:rsidRPr="000936F5">
              <w:t xml:space="preserve"> for maintaining safe levels during all processing stages.</w:t>
            </w:r>
          </w:p>
        </w:tc>
      </w:tr>
      <w:tr w:rsidTr="008C7E5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BoldandItalics"/>
              </w:rPr>
              <w:t>Chemical and physical</w:t>
            </w:r>
            <w:r w:rsidRPr="000936F5">
              <w:t xml:space="preserve"> </w:t>
            </w:r>
            <w:r w:rsidRPr="000936F5">
              <w:rPr>
                <w:rStyle w:val="BoldandItalics"/>
              </w:rPr>
              <w:t>aspects</w:t>
            </w:r>
            <w:r w:rsidRPr="000936F5">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Bullet"/>
            </w:pPr>
            <w:r w:rsidRPr="000936F5">
              <w:t>determining the presence or absence of chemical contaminants</w:t>
            </w:r>
          </w:p>
          <w:p w:rsidR="00000000" w:rsidRPr="000936F5" w:rsidP="000936F5">
            <w:pPr>
              <w:pStyle w:val="ListBullet"/>
            </w:pPr>
            <w:r w:rsidRPr="000936F5">
              <w:t>methods to exclude physical contamination</w:t>
            </w:r>
          </w:p>
          <w:p w:rsidR="00000000" w:rsidRPr="000936F5" w:rsidP="000936F5">
            <w:pPr>
              <w:pStyle w:val="ListBullet"/>
            </w:pPr>
            <w:r w:rsidRPr="000936F5">
              <w:t>temperature and other environmental conditions necessary to ensure food safety</w:t>
            </w:r>
          </w:p>
          <w:p w:rsidR="00000000" w:rsidP="000936F5">
            <w:pPr>
              <w:pStyle w:val="ListBullet"/>
              <w:rPr>
                <w:lang w:val="en-NZ"/>
              </w:rPr>
            </w:pPr>
            <w:r w:rsidRPr="000936F5">
              <w:t>the enterprise HACCP plan.</w:t>
            </w:r>
          </w:p>
        </w:tc>
      </w:tr>
      <w:tr w:rsidTr="008C7E5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BoldandItalics"/>
              </w:rPr>
              <w:t>Packaging and storage conditions</w:t>
            </w:r>
            <w:r w:rsidRPr="000936F5">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ListBullet"/>
            </w:pPr>
            <w:r w:rsidRPr="000936F5">
              <w:t>customer requirements</w:t>
            </w:r>
          </w:p>
          <w:p w:rsidR="00000000" w:rsidRPr="000936F5" w:rsidP="000936F5">
            <w:pPr>
              <w:pStyle w:val="ListBullet"/>
            </w:pPr>
            <w:r w:rsidRPr="000936F5">
              <w:t>enterprise capacity to accommodate finished product</w:t>
            </w:r>
          </w:p>
          <w:p w:rsidR="00000000" w:rsidRPr="000936F5" w:rsidP="000936F5">
            <w:pPr>
              <w:pStyle w:val="ListBullet"/>
            </w:pPr>
            <w:r w:rsidRPr="000936F5">
              <w:t>food standards and other tec</w:t>
            </w:r>
            <w:r w:rsidRPr="000936F5">
              <w:t>hnical standards</w:t>
            </w:r>
          </w:p>
          <w:p w:rsidR="00000000" w:rsidRPr="000936F5" w:rsidP="000936F5">
            <w:pPr>
              <w:pStyle w:val="ListBullet"/>
            </w:pPr>
            <w:r w:rsidRPr="000936F5">
              <w:t>importing or exporting country requirements</w:t>
            </w:r>
          </w:p>
          <w:p w:rsidR="00000000" w:rsidRPr="000936F5" w:rsidP="000936F5">
            <w:pPr>
              <w:pStyle w:val="ListBullet"/>
            </w:pPr>
            <w:r w:rsidRPr="000936F5">
              <w:t>product specifications</w:t>
            </w:r>
          </w:p>
          <w:p w:rsidR="00000000" w:rsidRPr="000936F5" w:rsidP="000936F5">
            <w:pPr>
              <w:pStyle w:val="ListBullet"/>
            </w:pPr>
            <w:r w:rsidRPr="000936F5">
              <w:t>regulations relating to labelling and/or packaging.</w:t>
            </w:r>
          </w:p>
        </w:tc>
      </w:tr>
    </w:tbl>
    <w:p w:rsidR="008C7E58" w:rsidP="000936F5">
      <w:pPr>
        <w:pStyle w:val="BodyText"/>
      </w:pPr>
    </w:p>
    <w:p w:rsidR="008C7E58" w:rsidP="000936F5">
      <w:pPr>
        <w:pStyle w:val="BodyText"/>
      </w:pPr>
    </w:p>
    <w:p w:rsidR="00000000" w:rsidRPr="000936F5" w:rsidP="000936F5">
      <w:pPr>
        <w:pStyle w:val="Heading1"/>
      </w:pPr>
      <w:bookmarkStart w:id="12" w:name="O_218597"/>
      <w:bookmarkEnd w:id="12"/>
      <w:r w:rsidRPr="000936F5">
        <w:t>Unit Sector(s)</w:t>
      </w:r>
    </w:p>
    <w:tbl>
      <w:tblPr>
        <w:tblW w:w="0" w:type="auto"/>
        <w:tblLayout w:type="fixed"/>
        <w:tblCellMar>
          <w:left w:w="62" w:type="dxa"/>
          <w:right w:w="62" w:type="dxa"/>
        </w:tblCellMar>
        <w:tblLook w:val="0000"/>
      </w:tblPr>
      <w:tblGrid>
        <w:gridCol w:w="2615"/>
        <w:gridCol w:w="5907"/>
      </w:tblGrid>
      <w:tr w:rsidTr="008C7E58">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BodyText"/>
            </w:pPr>
            <w:r w:rsidRPr="000936F5">
              <w:t>Seafood processing</w:t>
            </w:r>
          </w:p>
        </w:tc>
      </w:tr>
    </w:tbl>
    <w:p w:rsidR="008C7E58" w:rsidP="000936F5">
      <w:pPr>
        <w:pStyle w:val="BodyText"/>
      </w:pPr>
    </w:p>
    <w:p w:rsidR="008C7E58" w:rsidP="000936F5">
      <w:pPr>
        <w:pStyle w:val="BodyText"/>
      </w:pPr>
    </w:p>
    <w:p w:rsidR="00000000" w:rsidRPr="000936F5" w:rsidP="000936F5">
      <w:pPr>
        <w:pStyle w:val="Heading1"/>
      </w:pPr>
      <w:bookmarkStart w:id="13" w:name="O_218594"/>
      <w:bookmarkEnd w:id="13"/>
      <w:r w:rsidRPr="000936F5">
        <w:t>Co-requisite units</w:t>
      </w:r>
    </w:p>
    <w:tbl>
      <w:tblPr>
        <w:tblW w:w="0" w:type="auto"/>
        <w:tblLayout w:type="fixed"/>
        <w:tblCellMar>
          <w:left w:w="62" w:type="dxa"/>
          <w:right w:w="62" w:type="dxa"/>
        </w:tblCellMar>
        <w:tblLook w:val="0000"/>
      </w:tblPr>
      <w:tblGrid>
        <w:gridCol w:w="2641"/>
        <w:gridCol w:w="1322"/>
        <w:gridCol w:w="4559"/>
      </w:tblGrid>
      <w:tr w:rsidTr="008C7E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p>
        </w:tc>
      </w:tr>
      <w:tr w:rsidTr="008C7E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p>
        </w:tc>
      </w:tr>
      <w:tr w:rsidTr="008C7E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BodyText"/>
            </w:pPr>
          </w:p>
        </w:tc>
      </w:tr>
    </w:tbl>
    <w:p w:rsidR="008C7E58" w:rsidP="000936F5">
      <w:pPr>
        <w:pStyle w:val="BodyText"/>
      </w:pPr>
    </w:p>
    <w:p w:rsidR="008C7E58" w:rsidP="000936F5">
      <w:pPr>
        <w:pStyle w:val="BodyText"/>
      </w:pPr>
    </w:p>
    <w:p w:rsidR="00000000" w:rsidRPr="000936F5" w:rsidP="000936F5">
      <w:pPr>
        <w:pStyle w:val="Heading1"/>
      </w:pPr>
      <w:bookmarkStart w:id="14" w:name="O_218596"/>
      <w:bookmarkEnd w:id="14"/>
      <w:r w:rsidRPr="000936F5">
        <w:t>Competency field</w:t>
      </w:r>
    </w:p>
    <w:tbl>
      <w:tblPr>
        <w:tblW w:w="0" w:type="auto"/>
        <w:tblLayout w:type="fixed"/>
        <w:tblCellMar>
          <w:left w:w="62" w:type="dxa"/>
          <w:right w:w="62" w:type="dxa"/>
        </w:tblCellMar>
        <w:tblLook w:val="0000"/>
      </w:tblPr>
      <w:tblGrid>
        <w:gridCol w:w="2784"/>
        <w:gridCol w:w="5738"/>
      </w:tblGrid>
      <w:tr w:rsidTr="008C7E5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F5">
            <w:pPr>
              <w:pStyle w:val="BodyText"/>
              <w:rPr>
                <w:lang w:val="en-NZ"/>
              </w:rPr>
            </w:pPr>
            <w:r w:rsidRPr="000936F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F5" w:rsidP="000936F5">
            <w:pPr>
              <w:pStyle w:val="BodyText"/>
            </w:pPr>
          </w:p>
        </w:tc>
      </w:tr>
    </w:tbl>
    <w:p w:rsidR="008C7E58" w:rsidP="000936F5">
      <w:pPr>
        <w:pStyle w:val="BodyText"/>
      </w:pPr>
    </w:p>
    <w:p w:rsidR="008C7E58" w:rsidP="000936F5">
      <w:pPr>
        <w:pStyle w:val="BodyText"/>
      </w:pPr>
    </w:p>
    <w:p w:rsidR="00000000" w:rsidRPr="000936F5" w:rsidP="000936F5"/>
    <w:sectPr w:rsidSect="000936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6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7E58" w:rsidP="008C7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6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58" w:rsidP="000936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C7E58" w:rsidP="000936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C7E58" w:rsidP="000936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6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7E58" w:rsidP="008C7E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6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58" w:rsidP="000936F5">
    <w:pPr>
      <w:pStyle w:val="Header"/>
      <w:framePr w:wrap="around"/>
    </w:pPr>
    <w:r>
      <w:fldChar w:fldCharType="begin"/>
    </w:r>
    <w:r>
      <w:instrText xml:space="preserve"> TITLE   \* MERGEFORMAT </w:instrText>
    </w:r>
    <w:r>
      <w:fldChar w:fldCharType="separate"/>
    </w:r>
    <w:r>
      <w:t>SFIPROC502C Produce technical reports on seafood processing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7E58" w:rsidP="000936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7EB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1EB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AE7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6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36F5"/>
    <w:pPr>
      <w:spacing w:before="360" w:after="60"/>
      <w:outlineLvl w:val="0"/>
    </w:pPr>
    <w:rPr>
      <w:sz w:val="32"/>
    </w:rPr>
  </w:style>
  <w:style w:type="paragraph" w:styleId="Heading2">
    <w:name w:val="heading 2"/>
    <w:basedOn w:val="HeadingBase"/>
    <w:next w:val="BodyText"/>
    <w:link w:val="Heading2Char"/>
    <w:qFormat/>
    <w:rsid w:val="000936F5"/>
    <w:pPr>
      <w:keepLines/>
      <w:spacing w:before="240" w:after="120"/>
      <w:outlineLvl w:val="1"/>
    </w:pPr>
    <w:rPr>
      <w:sz w:val="28"/>
      <w:szCs w:val="40"/>
    </w:rPr>
  </w:style>
  <w:style w:type="paragraph" w:styleId="Heading3">
    <w:name w:val="heading 3"/>
    <w:basedOn w:val="HeadingBase"/>
    <w:next w:val="BodyText"/>
    <w:link w:val="Heading3Char"/>
    <w:qFormat/>
    <w:rsid w:val="000936F5"/>
    <w:pPr>
      <w:spacing w:before="180" w:after="120"/>
      <w:outlineLvl w:val="2"/>
    </w:pPr>
    <w:rPr>
      <w:spacing w:val="-10"/>
      <w:kern w:val="32"/>
    </w:rPr>
  </w:style>
  <w:style w:type="paragraph" w:styleId="Heading4">
    <w:name w:val="heading 4"/>
    <w:basedOn w:val="HeadingBase"/>
    <w:next w:val="BodyText"/>
    <w:link w:val="Heading4Char"/>
    <w:qFormat/>
    <w:rsid w:val="000936F5"/>
    <w:pPr>
      <w:spacing w:before="160" w:after="120"/>
      <w:outlineLvl w:val="3"/>
    </w:pPr>
    <w:rPr>
      <w:sz w:val="22"/>
    </w:rPr>
  </w:style>
  <w:style w:type="paragraph" w:styleId="Heading5">
    <w:name w:val="heading 5"/>
    <w:basedOn w:val="HeadingBase"/>
    <w:next w:val="Normal"/>
    <w:link w:val="Heading5Char"/>
    <w:qFormat/>
    <w:rsid w:val="000936F5"/>
    <w:pPr>
      <w:spacing w:before="80"/>
      <w:outlineLvl w:val="4"/>
    </w:pPr>
    <w:rPr>
      <w:color w:val="918585"/>
      <w:sz w:val="20"/>
    </w:rPr>
  </w:style>
  <w:style w:type="paragraph" w:styleId="Heading6">
    <w:name w:val="heading 6"/>
    <w:basedOn w:val="HeadingBase"/>
    <w:next w:val="Normal"/>
    <w:link w:val="Heading6Char"/>
    <w:qFormat/>
    <w:rsid w:val="000936F5"/>
    <w:pPr>
      <w:spacing w:before="60"/>
      <w:outlineLvl w:val="5"/>
    </w:pPr>
    <w:rPr>
      <w:color w:val="918585"/>
      <w:sz w:val="20"/>
    </w:rPr>
  </w:style>
  <w:style w:type="paragraph" w:styleId="Heading7">
    <w:name w:val="heading 7"/>
    <w:basedOn w:val="Normal"/>
    <w:next w:val="Normal"/>
    <w:link w:val="Heading7Char"/>
    <w:qFormat/>
    <w:rsid w:val="000936F5"/>
    <w:pPr>
      <w:ind w:left="720"/>
      <w:outlineLvl w:val="6"/>
    </w:pPr>
    <w:rPr>
      <w:i/>
    </w:rPr>
  </w:style>
  <w:style w:type="paragraph" w:styleId="Heading8">
    <w:name w:val="heading 8"/>
    <w:basedOn w:val="Normal"/>
    <w:next w:val="Normal"/>
    <w:link w:val="Heading8Char"/>
    <w:qFormat/>
    <w:rsid w:val="000936F5"/>
    <w:pPr>
      <w:ind w:left="720"/>
      <w:outlineLvl w:val="7"/>
    </w:pPr>
    <w:rPr>
      <w:i/>
    </w:rPr>
  </w:style>
  <w:style w:type="paragraph" w:styleId="Heading9">
    <w:name w:val="heading 9"/>
    <w:basedOn w:val="Normal"/>
    <w:next w:val="Normal"/>
    <w:link w:val="Heading9Char"/>
    <w:qFormat/>
    <w:rsid w:val="000936F5"/>
    <w:pPr>
      <w:ind w:left="720"/>
      <w:outlineLvl w:val="8"/>
    </w:pPr>
    <w:rPr>
      <w:i/>
    </w:rPr>
  </w:style>
  <w:style w:type="character" w:default="1" w:styleId="DefaultParagraphFont">
    <w:name w:val="Default Paragraph Font"/>
    <w:uiPriority w:val="1"/>
    <w:unhideWhenUsed/>
    <w:rsid w:val="000936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6F5"/>
  </w:style>
  <w:style w:type="character" w:customStyle="1" w:styleId="Heading1Char">
    <w:name w:val="Heading 1 Char"/>
    <w:basedOn w:val="DefaultParagraphFont"/>
    <w:link w:val="Heading1"/>
    <w:rsid w:val="000936F5"/>
    <w:rPr>
      <w:rFonts w:ascii="Times New Roman" w:eastAsia="Times New Roman" w:hAnsi="Times New Roman" w:cs="Times New Roman"/>
      <w:b/>
      <w:sz w:val="32"/>
      <w:szCs w:val="20"/>
      <w:lang w:eastAsia="en-US"/>
    </w:rPr>
  </w:style>
  <w:style w:type="paragraph" w:styleId="BodyText">
    <w:name w:val="Body Text"/>
    <w:basedOn w:val="Normal"/>
    <w:link w:val="BodyTextChar"/>
    <w:rsid w:val="000936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36F5"/>
    <w:rPr>
      <w:rFonts w:ascii="Times New Roman" w:eastAsia="Times New Roman" w:hAnsi="Times New Roman" w:cs="Times New Roman"/>
      <w:sz w:val="24"/>
      <w:lang w:val="en-US" w:eastAsia="en-US"/>
    </w:rPr>
  </w:style>
  <w:style w:type="paragraph" w:styleId="Footer">
    <w:name w:val="footer"/>
    <w:basedOn w:val="Normal"/>
    <w:link w:val="FooterChar"/>
    <w:rsid w:val="000936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6F5"/>
    <w:rPr>
      <w:rFonts w:ascii="Times New Roman" w:eastAsia="Times New Roman" w:hAnsi="Times New Roman" w:cs="Times New Roman"/>
      <w:sz w:val="16"/>
      <w:lang w:val="en-US" w:eastAsia="en-US"/>
    </w:rPr>
  </w:style>
  <w:style w:type="paragraph" w:styleId="List">
    <w:name w:val="List"/>
    <w:basedOn w:val="BodyText"/>
    <w:next w:val="BodyText"/>
    <w:rsid w:val="000936F5"/>
    <w:pPr>
      <w:tabs>
        <w:tab w:val="left" w:pos="340"/>
      </w:tabs>
      <w:spacing w:before="60" w:after="60"/>
      <w:ind w:left="340" w:hanging="340"/>
    </w:pPr>
  </w:style>
  <w:style w:type="paragraph" w:styleId="ListBullet">
    <w:name w:val="List Bullet"/>
    <w:basedOn w:val="List"/>
    <w:rsid w:val="000936F5"/>
    <w:pPr>
      <w:numPr>
        <w:numId w:val="13"/>
      </w:numPr>
      <w:tabs>
        <w:tab w:val="clear" w:pos="340"/>
      </w:tabs>
      <w:spacing w:before="40" w:after="40"/>
    </w:pPr>
  </w:style>
  <w:style w:type="character" w:customStyle="1" w:styleId="SpecialBold">
    <w:name w:val="Special Bold"/>
    <w:basedOn w:val="DefaultParagraphFont"/>
    <w:rsid w:val="000936F5"/>
    <w:rPr>
      <w:b/>
      <w:spacing w:val="0"/>
    </w:rPr>
  </w:style>
  <w:style w:type="paragraph" w:styleId="ListBullet2">
    <w:name w:val="List Bullet 2"/>
    <w:basedOn w:val="List2"/>
    <w:rsid w:val="000936F5"/>
    <w:pPr>
      <w:numPr>
        <w:numId w:val="14"/>
      </w:numPr>
      <w:tabs>
        <w:tab w:val="clear" w:pos="680"/>
      </w:tabs>
    </w:pPr>
  </w:style>
  <w:style w:type="paragraph" w:styleId="Header">
    <w:name w:val="header"/>
    <w:basedOn w:val="Normal"/>
    <w:link w:val="HeaderChar"/>
    <w:rsid w:val="000936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6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36F5"/>
    <w:pPr>
      <w:spacing w:before="240" w:after="120"/>
      <w:outlineLvl w:val="0"/>
    </w:pPr>
    <w:rPr>
      <w:rFonts w:ascii="Times New Roman" w:hAnsi="Times New Roman"/>
      <w:b/>
      <w:sz w:val="28"/>
    </w:rPr>
  </w:style>
  <w:style w:type="paragraph" w:customStyle="1" w:styleId="AllowPageBreak">
    <w:name w:val="AllowPageBreak"/>
    <w:rsid w:val="000936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36F5"/>
    <w:pPr>
      <w:tabs>
        <w:tab w:val="left" w:pos="680"/>
      </w:tabs>
      <w:spacing w:before="60" w:after="60"/>
      <w:ind w:left="680" w:hanging="340"/>
    </w:pPr>
  </w:style>
  <w:style w:type="character" w:customStyle="1" w:styleId="BoldandItalics">
    <w:name w:val="Bold and Italics"/>
    <w:qFormat/>
    <w:rsid w:val="000936F5"/>
    <w:rPr>
      <w:b/>
      <w:i/>
      <w:u w:val="none"/>
    </w:rPr>
  </w:style>
  <w:style w:type="character" w:customStyle="1" w:styleId="Heading2Char">
    <w:name w:val="Heading 2 Char"/>
    <w:basedOn w:val="DefaultParagraphFont"/>
    <w:link w:val="Heading2"/>
    <w:rsid w:val="000936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6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6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6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6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6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36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36F5"/>
    <w:rPr>
      <w:rFonts w:ascii="Courier New" w:eastAsia="Times New Roman" w:hAnsi="Courier New" w:cs="Times New Roman"/>
      <w:i/>
      <w:szCs w:val="20"/>
      <w:lang w:val="en-US" w:eastAsia="en-US"/>
    </w:rPr>
  </w:style>
  <w:style w:type="paragraph" w:customStyle="1" w:styleId="HeadingBase">
    <w:name w:val="Heading Base"/>
    <w:rsid w:val="000936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6F5"/>
    <w:pPr>
      <w:tabs>
        <w:tab w:val="right" w:leader="dot" w:pos="9072"/>
      </w:tabs>
      <w:ind w:left="567"/>
    </w:pPr>
    <w:rPr>
      <w:szCs w:val="22"/>
    </w:rPr>
  </w:style>
  <w:style w:type="paragraph" w:customStyle="1" w:styleId="TOCBase">
    <w:name w:val="TOC Base"/>
    <w:rsid w:val="000936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6F5"/>
    <w:pPr>
      <w:tabs>
        <w:tab w:val="right" w:leader="dot" w:pos="9072"/>
      </w:tabs>
      <w:spacing w:before="40" w:after="40"/>
      <w:ind w:left="284"/>
    </w:pPr>
    <w:rPr>
      <w:rFonts w:ascii="Times New Roman" w:hAnsi="Times New Roman"/>
    </w:rPr>
  </w:style>
  <w:style w:type="paragraph" w:styleId="TOC1">
    <w:name w:val="toc 1"/>
    <w:basedOn w:val="TOCBase"/>
    <w:next w:val="Normal"/>
    <w:rsid w:val="000936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36F5"/>
    <w:pPr>
      <w:spacing w:before="5040"/>
      <w:jc w:val="center"/>
    </w:pPr>
    <w:rPr>
      <w:sz w:val="48"/>
      <w:szCs w:val="72"/>
      <w:lang w:val="en-US"/>
    </w:rPr>
  </w:style>
  <w:style w:type="character" w:customStyle="1" w:styleId="TitleChar">
    <w:name w:val="Title Char"/>
    <w:basedOn w:val="DefaultParagraphFont"/>
    <w:link w:val="Title"/>
    <w:rsid w:val="000936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6F5"/>
    <w:pPr>
      <w:tabs>
        <w:tab w:val="left" w:pos="3600"/>
        <w:tab w:val="left" w:pos="3958"/>
      </w:tabs>
    </w:pPr>
  </w:style>
  <w:style w:type="paragraph" w:customStyle="1" w:styleId="Note">
    <w:name w:val="Note"/>
    <w:basedOn w:val="BodyText"/>
    <w:rsid w:val="000936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6F5"/>
    <w:pPr>
      <w:framePr w:wrap="auto" w:hAnchor="text" w:y="6049"/>
    </w:pPr>
    <w:rPr>
      <w:color w:val="000000"/>
      <w:sz w:val="40"/>
    </w:rPr>
  </w:style>
  <w:style w:type="paragraph" w:customStyle="1" w:styleId="TOCTitle">
    <w:name w:val="TOCTitle"/>
    <w:basedOn w:val="Heading1"/>
    <w:rsid w:val="000936F5"/>
    <w:pPr>
      <w:spacing w:after="240"/>
      <w:jc w:val="center"/>
      <w:outlineLvl w:val="9"/>
    </w:pPr>
    <w:rPr>
      <w:caps/>
    </w:rPr>
  </w:style>
  <w:style w:type="paragraph" w:customStyle="1" w:styleId="Version">
    <w:name w:val="Version"/>
    <w:rsid w:val="000936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6F5"/>
    <w:pPr>
      <w:keepNext w:val="0"/>
      <w:tabs>
        <w:tab w:val="right" w:pos="4176"/>
      </w:tabs>
      <w:ind w:left="198" w:hanging="198"/>
    </w:pPr>
    <w:rPr>
      <w:rFonts w:ascii="Garamond" w:hAnsi="Garamond"/>
    </w:rPr>
  </w:style>
  <w:style w:type="paragraph" w:styleId="IndexHeading">
    <w:name w:val="index heading"/>
    <w:basedOn w:val="Normal"/>
    <w:next w:val="Index1"/>
    <w:semiHidden/>
    <w:rsid w:val="000936F5"/>
    <w:pPr>
      <w:spacing w:before="120" w:after="120"/>
    </w:pPr>
    <w:rPr>
      <w:rFonts w:ascii="Arial" w:hAnsi="Arial"/>
      <w:b/>
      <w:color w:val="918585"/>
      <w:sz w:val="24"/>
    </w:rPr>
  </w:style>
  <w:style w:type="paragraph" w:customStyle="1" w:styleId="Chapter">
    <w:name w:val="Chapter"/>
    <w:basedOn w:val="Normal"/>
    <w:rsid w:val="000936F5"/>
    <w:pPr>
      <w:spacing w:before="240"/>
    </w:pPr>
    <w:rPr>
      <w:rFonts w:ascii="Times New Roman" w:hAnsi="Times New Roman"/>
      <w:smallCaps/>
      <w:spacing w:val="80"/>
      <w:sz w:val="28"/>
    </w:rPr>
  </w:style>
  <w:style w:type="paragraph" w:customStyle="1" w:styleId="InChapter">
    <w:name w:val="InChapter"/>
    <w:basedOn w:val="Heading3"/>
    <w:rsid w:val="000936F5"/>
    <w:pPr>
      <w:spacing w:after="240"/>
      <w:outlineLvl w:val="9"/>
    </w:pPr>
    <w:rPr>
      <w:noProof/>
    </w:rPr>
  </w:style>
  <w:style w:type="paragraph" w:styleId="Index2">
    <w:name w:val="index 2"/>
    <w:basedOn w:val="Normal"/>
    <w:next w:val="Normal"/>
    <w:semiHidden/>
    <w:rsid w:val="000936F5"/>
    <w:pPr>
      <w:tabs>
        <w:tab w:val="right" w:pos="4176"/>
      </w:tabs>
      <w:ind w:left="568" w:hanging="284"/>
    </w:pPr>
    <w:rPr>
      <w:rFonts w:ascii="Garamond" w:hAnsi="Garamond"/>
    </w:rPr>
  </w:style>
  <w:style w:type="paragraph" w:customStyle="1" w:styleId="Byline">
    <w:name w:val="Byline"/>
    <w:rsid w:val="000936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6F5"/>
    <w:pPr>
      <w:tabs>
        <w:tab w:val="clear" w:pos="3600"/>
        <w:tab w:val="clear" w:pos="3958"/>
      </w:tabs>
      <w:jc w:val="right"/>
    </w:pPr>
  </w:style>
  <w:style w:type="character" w:styleId="Emphasis">
    <w:name w:val="Emphasis"/>
    <w:basedOn w:val="DefaultParagraphFont"/>
    <w:qFormat/>
    <w:rsid w:val="000936F5"/>
    <w:rPr>
      <w:i/>
    </w:rPr>
  </w:style>
  <w:style w:type="paragraph" w:styleId="Caption">
    <w:name w:val="caption"/>
    <w:basedOn w:val="BodyText"/>
    <w:next w:val="Normal"/>
    <w:qFormat/>
    <w:rsid w:val="000936F5"/>
    <w:pPr>
      <w:framePr w:w="2268" w:hSpace="181" w:vSpace="181" w:wrap="around" w:vAnchor="text" w:hAnchor="page" w:x="1135" w:y="285" w:anchorLock="1"/>
    </w:pPr>
    <w:rPr>
      <w:i/>
    </w:rPr>
  </w:style>
  <w:style w:type="paragraph" w:customStyle="1" w:styleId="MiniTOCTitle">
    <w:name w:val="MiniTOCTitle"/>
    <w:basedOn w:val="Heading4"/>
    <w:rsid w:val="000936F5"/>
    <w:pPr>
      <w:spacing w:before="240"/>
      <w:outlineLvl w:val="9"/>
    </w:pPr>
    <w:rPr>
      <w:noProof/>
      <w:sz w:val="24"/>
    </w:rPr>
  </w:style>
  <w:style w:type="paragraph" w:customStyle="1" w:styleId="MiniTOCItem">
    <w:name w:val="MiniTOCItem"/>
    <w:basedOn w:val="ListBullet"/>
    <w:rsid w:val="000936F5"/>
    <w:pPr>
      <w:numPr>
        <w:numId w:val="0"/>
      </w:numPr>
      <w:tabs>
        <w:tab w:val="right" w:leader="dot" w:pos="6521"/>
      </w:tabs>
      <w:spacing w:before="0" w:after="0"/>
    </w:pPr>
  </w:style>
  <w:style w:type="paragraph" w:customStyle="1" w:styleId="TOFTitle">
    <w:name w:val="TOFTitle"/>
    <w:basedOn w:val="TOCTitle"/>
    <w:rsid w:val="000936F5"/>
  </w:style>
  <w:style w:type="paragraph" w:styleId="TableofFigures">
    <w:name w:val="table of figures"/>
    <w:basedOn w:val="Normal"/>
    <w:next w:val="Normal"/>
    <w:semiHidden/>
    <w:rsid w:val="000936F5"/>
    <w:pPr>
      <w:tabs>
        <w:tab w:val="right" w:leader="dot" w:pos="9072"/>
      </w:tabs>
      <w:ind w:left="970" w:hanging="403"/>
    </w:pPr>
    <w:rPr>
      <w:rFonts w:ascii="Times New Roman" w:hAnsi="Times New Roman"/>
      <w:b/>
    </w:rPr>
  </w:style>
  <w:style w:type="paragraph" w:styleId="ListNumber">
    <w:name w:val="List Number"/>
    <w:basedOn w:val="List"/>
    <w:rsid w:val="000936F5"/>
    <w:pPr>
      <w:numPr>
        <w:numId w:val="11"/>
      </w:numPr>
    </w:pPr>
  </w:style>
  <w:style w:type="character" w:customStyle="1" w:styleId="WingdingSymbols">
    <w:name w:val="Wingding Symbols"/>
    <w:rsid w:val="000936F5"/>
    <w:rPr>
      <w:rFonts w:ascii="Wingdings" w:hAnsi="Wingdings"/>
    </w:rPr>
  </w:style>
  <w:style w:type="paragraph" w:customStyle="1" w:styleId="TableHeading">
    <w:name w:val="Table Heading"/>
    <w:basedOn w:val="HeadingBase"/>
    <w:rsid w:val="000936F5"/>
    <w:pPr>
      <w:keepLines/>
      <w:pBdr>
        <w:bottom w:val="single" w:sz="6" w:space="1" w:color="918585"/>
      </w:pBdr>
      <w:spacing w:before="240"/>
    </w:pPr>
  </w:style>
  <w:style w:type="character" w:customStyle="1" w:styleId="HotSpot">
    <w:name w:val="HotSpot"/>
    <w:rsid w:val="000936F5"/>
    <w:rPr>
      <w:color w:val="0033CC"/>
      <w:u w:val="none"/>
    </w:rPr>
  </w:style>
  <w:style w:type="paragraph" w:customStyle="1" w:styleId="BodyTextRight">
    <w:name w:val="Body Text Right"/>
    <w:basedOn w:val="BodyText"/>
    <w:rsid w:val="000936F5"/>
    <w:pPr>
      <w:spacing w:before="0" w:after="0"/>
      <w:jc w:val="right"/>
    </w:pPr>
  </w:style>
  <w:style w:type="paragraph" w:styleId="Index3">
    <w:name w:val="index 3"/>
    <w:basedOn w:val="ListNumber2"/>
    <w:next w:val="Normal"/>
    <w:semiHidden/>
    <w:rsid w:val="000936F5"/>
    <w:pPr>
      <w:numPr>
        <w:numId w:val="0"/>
      </w:numPr>
      <w:tabs>
        <w:tab w:val="right" w:leader="dot" w:pos="4176"/>
      </w:tabs>
    </w:pPr>
  </w:style>
  <w:style w:type="paragraph" w:styleId="ListNumber2">
    <w:name w:val="List Number 2"/>
    <w:basedOn w:val="List2"/>
    <w:rsid w:val="000936F5"/>
    <w:pPr>
      <w:numPr>
        <w:numId w:val="10"/>
      </w:numPr>
      <w:tabs>
        <w:tab w:val="clear" w:pos="1060"/>
      </w:tabs>
    </w:pPr>
  </w:style>
  <w:style w:type="paragraph" w:customStyle="1" w:styleId="MarginNote">
    <w:name w:val="Margin Note"/>
    <w:basedOn w:val="BodyText"/>
    <w:rsid w:val="000936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6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6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36F5"/>
    <w:rPr>
      <w:sz w:val="32"/>
    </w:rPr>
  </w:style>
  <w:style w:type="paragraph" w:customStyle="1" w:styleId="HeadingProcedure">
    <w:name w:val="Heading Procedure"/>
    <w:basedOn w:val="HeadingBase"/>
    <w:next w:val="Normal"/>
    <w:rsid w:val="000936F5"/>
    <w:pPr>
      <w:tabs>
        <w:tab w:val="left" w:pos="0"/>
      </w:tabs>
      <w:spacing w:before="120" w:after="60"/>
    </w:pPr>
    <w:rPr>
      <w:i/>
      <w:color w:val="918585"/>
      <w:sz w:val="22"/>
    </w:rPr>
  </w:style>
  <w:style w:type="paragraph" w:customStyle="1" w:styleId="TableBodyText">
    <w:name w:val="Table Body Text"/>
    <w:basedOn w:val="BodyText"/>
    <w:rsid w:val="000936F5"/>
    <w:pPr>
      <w:spacing w:before="60" w:after="60"/>
    </w:pPr>
  </w:style>
  <w:style w:type="paragraph" w:styleId="ListContinue">
    <w:name w:val="List Continue"/>
    <w:basedOn w:val="List"/>
    <w:rsid w:val="000936F5"/>
    <w:pPr>
      <w:ind w:firstLine="0"/>
    </w:pPr>
  </w:style>
  <w:style w:type="paragraph" w:customStyle="1" w:styleId="ListNote">
    <w:name w:val="List Note"/>
    <w:basedOn w:val="List"/>
    <w:rsid w:val="000936F5"/>
    <w:pPr>
      <w:pBdr>
        <w:top w:val="single" w:sz="6" w:space="2" w:color="918585"/>
        <w:bottom w:val="single" w:sz="6" w:space="2" w:color="918585"/>
      </w:pBdr>
      <w:tabs>
        <w:tab w:val="left" w:pos="1021"/>
      </w:tabs>
      <w:ind w:firstLine="0"/>
    </w:pPr>
  </w:style>
  <w:style w:type="paragraph" w:customStyle="1" w:styleId="Warning">
    <w:name w:val="Warning"/>
    <w:basedOn w:val="BodyText"/>
    <w:rsid w:val="000936F5"/>
    <w:pPr>
      <w:shd w:val="clear" w:color="auto" w:fill="D9D9D9"/>
      <w:tabs>
        <w:tab w:val="left" w:pos="992"/>
      </w:tabs>
      <w:ind w:left="119" w:right="119"/>
    </w:pPr>
    <w:rPr>
      <w:sz w:val="20"/>
    </w:rPr>
  </w:style>
  <w:style w:type="paragraph" w:customStyle="1" w:styleId="MarginIcons">
    <w:name w:val="Margin Icons"/>
    <w:basedOn w:val="BodyText"/>
    <w:rsid w:val="000936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6F5"/>
    <w:rPr>
      <w:rFonts w:ascii="Courier New" w:hAnsi="Courier New"/>
    </w:rPr>
  </w:style>
  <w:style w:type="paragraph" w:customStyle="1" w:styleId="NoteBullet">
    <w:name w:val="Note Bullet"/>
    <w:basedOn w:val="Note"/>
    <w:rsid w:val="000936F5"/>
    <w:pPr>
      <w:tabs>
        <w:tab w:val="clear" w:pos="680"/>
      </w:tabs>
      <w:spacing w:before="60" w:after="60"/>
    </w:pPr>
  </w:style>
  <w:style w:type="paragraph" w:customStyle="1" w:styleId="SubHeading2">
    <w:name w:val="SubHeading2"/>
    <w:basedOn w:val="HeadingBase"/>
    <w:rsid w:val="000936F5"/>
    <w:pPr>
      <w:spacing w:before="240" w:after="60"/>
    </w:pPr>
    <w:rPr>
      <w:sz w:val="20"/>
    </w:rPr>
  </w:style>
  <w:style w:type="paragraph" w:customStyle="1" w:styleId="SubHeading1">
    <w:name w:val="SubHeading1"/>
    <w:basedOn w:val="HeadingBase"/>
    <w:rsid w:val="000936F5"/>
    <w:pPr>
      <w:spacing w:before="240" w:after="60"/>
    </w:pPr>
    <w:rPr>
      <w:color w:val="918585"/>
      <w:sz w:val="22"/>
    </w:rPr>
  </w:style>
  <w:style w:type="paragraph" w:customStyle="1" w:styleId="SideHeading">
    <w:name w:val="Side Heading"/>
    <w:basedOn w:val="HeadingBase"/>
    <w:rsid w:val="000936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6F5"/>
    <w:pPr>
      <w:numPr>
        <w:numId w:val="12"/>
      </w:numPr>
    </w:pPr>
  </w:style>
  <w:style w:type="paragraph" w:styleId="PlainText">
    <w:name w:val="Plain Text"/>
    <w:basedOn w:val="Normal"/>
    <w:link w:val="PlainTextChar"/>
    <w:rsid w:val="000936F5"/>
    <w:rPr>
      <w:sz w:val="20"/>
    </w:rPr>
  </w:style>
  <w:style w:type="character" w:customStyle="1" w:styleId="PlainTextChar">
    <w:name w:val="Plain Text Char"/>
    <w:basedOn w:val="DefaultParagraphFont"/>
    <w:link w:val="PlainText"/>
    <w:rsid w:val="000936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36F5"/>
    <w:rPr>
      <w:b/>
      <w:smallCaps/>
    </w:rPr>
  </w:style>
  <w:style w:type="paragraph" w:customStyle="1" w:styleId="TableListNumber">
    <w:name w:val="Table List Number"/>
    <w:basedOn w:val="ListNumber"/>
    <w:rsid w:val="000936F5"/>
    <w:pPr>
      <w:numPr>
        <w:numId w:val="0"/>
      </w:numPr>
    </w:pPr>
  </w:style>
  <w:style w:type="paragraph" w:styleId="TOC4">
    <w:name w:val="toc 4"/>
    <w:basedOn w:val="TOCBase"/>
    <w:next w:val="Normal"/>
    <w:semiHidden/>
    <w:rsid w:val="000936F5"/>
    <w:pPr>
      <w:tabs>
        <w:tab w:val="right" w:leader="dot" w:pos="9071"/>
      </w:tabs>
      <w:ind w:left="1701"/>
    </w:pPr>
  </w:style>
  <w:style w:type="paragraph" w:customStyle="1" w:styleId="ListAlpha">
    <w:name w:val="List Alpha"/>
    <w:basedOn w:val="List"/>
    <w:rsid w:val="000936F5"/>
    <w:pPr>
      <w:numPr>
        <w:numId w:val="9"/>
      </w:numPr>
    </w:pPr>
  </w:style>
  <w:style w:type="paragraph" w:customStyle="1" w:styleId="ListAlpha2">
    <w:name w:val="List Alpha 2"/>
    <w:basedOn w:val="List2"/>
    <w:rsid w:val="000936F5"/>
    <w:pPr>
      <w:numPr>
        <w:numId w:val="8"/>
      </w:numPr>
    </w:pPr>
  </w:style>
  <w:style w:type="paragraph" w:styleId="List3">
    <w:name w:val="List 3"/>
    <w:basedOn w:val="BodyText"/>
    <w:rsid w:val="000936F5"/>
    <w:pPr>
      <w:tabs>
        <w:tab w:val="left" w:pos="1021"/>
      </w:tabs>
      <w:spacing w:before="60" w:after="60"/>
      <w:ind w:left="1020" w:hanging="340"/>
    </w:pPr>
  </w:style>
  <w:style w:type="paragraph" w:styleId="List4">
    <w:name w:val="List 4"/>
    <w:basedOn w:val="BodyText"/>
    <w:rsid w:val="000936F5"/>
    <w:pPr>
      <w:tabs>
        <w:tab w:val="left" w:pos="1361"/>
      </w:tabs>
      <w:spacing w:before="60" w:after="60"/>
      <w:ind w:left="1361" w:hanging="340"/>
    </w:pPr>
  </w:style>
  <w:style w:type="paragraph" w:styleId="List5">
    <w:name w:val="List 5"/>
    <w:basedOn w:val="BodyText"/>
    <w:rsid w:val="000936F5"/>
    <w:pPr>
      <w:tabs>
        <w:tab w:val="left" w:pos="1701"/>
      </w:tabs>
      <w:spacing w:before="60" w:after="60"/>
      <w:ind w:left="1701" w:hanging="340"/>
    </w:pPr>
  </w:style>
  <w:style w:type="paragraph" w:styleId="ListBullet3">
    <w:name w:val="List Bullet 3"/>
    <w:basedOn w:val="List3"/>
    <w:rsid w:val="000936F5"/>
    <w:pPr>
      <w:numPr>
        <w:numId w:val="15"/>
      </w:numPr>
      <w:tabs>
        <w:tab w:val="clear" w:pos="1021"/>
      </w:tabs>
      <w:ind w:left="1037" w:hanging="357"/>
    </w:pPr>
  </w:style>
  <w:style w:type="paragraph" w:styleId="ListBullet4">
    <w:name w:val="List Bullet 4"/>
    <w:basedOn w:val="List4"/>
    <w:rsid w:val="000936F5"/>
    <w:pPr>
      <w:numPr>
        <w:numId w:val="3"/>
      </w:numPr>
    </w:pPr>
  </w:style>
  <w:style w:type="paragraph" w:styleId="ListBullet5">
    <w:name w:val="List Bullet 5"/>
    <w:basedOn w:val="List5"/>
    <w:rsid w:val="000936F5"/>
    <w:pPr>
      <w:numPr>
        <w:numId w:val="4"/>
      </w:numPr>
    </w:pPr>
  </w:style>
  <w:style w:type="paragraph" w:styleId="ListContinue2">
    <w:name w:val="List Continue 2"/>
    <w:basedOn w:val="List2"/>
    <w:rsid w:val="000936F5"/>
    <w:pPr>
      <w:ind w:firstLine="0"/>
    </w:pPr>
  </w:style>
  <w:style w:type="paragraph" w:styleId="ListContinue3">
    <w:name w:val="List Continue 3"/>
    <w:basedOn w:val="List3"/>
    <w:rsid w:val="000936F5"/>
    <w:pPr>
      <w:ind w:left="1021" w:firstLine="0"/>
    </w:pPr>
  </w:style>
  <w:style w:type="paragraph" w:styleId="ListContinue4">
    <w:name w:val="List Continue 4"/>
    <w:basedOn w:val="List4"/>
    <w:rsid w:val="000936F5"/>
    <w:pPr>
      <w:ind w:firstLine="0"/>
    </w:pPr>
  </w:style>
  <w:style w:type="paragraph" w:styleId="ListContinue5">
    <w:name w:val="List Continue 5"/>
    <w:basedOn w:val="List5"/>
    <w:rsid w:val="000936F5"/>
    <w:pPr>
      <w:ind w:firstLine="0"/>
    </w:pPr>
  </w:style>
  <w:style w:type="paragraph" w:styleId="ListNumber3">
    <w:name w:val="List Number 3"/>
    <w:basedOn w:val="List3"/>
    <w:rsid w:val="000936F5"/>
    <w:pPr>
      <w:numPr>
        <w:numId w:val="5"/>
      </w:numPr>
    </w:pPr>
  </w:style>
  <w:style w:type="paragraph" w:styleId="ListNumber4">
    <w:name w:val="List Number 4"/>
    <w:basedOn w:val="List4"/>
    <w:rsid w:val="000936F5"/>
    <w:pPr>
      <w:numPr>
        <w:numId w:val="6"/>
      </w:numPr>
    </w:pPr>
  </w:style>
  <w:style w:type="paragraph" w:styleId="ListNumber5">
    <w:name w:val="List Number 5"/>
    <w:basedOn w:val="List5"/>
    <w:rsid w:val="000936F5"/>
    <w:pPr>
      <w:numPr>
        <w:numId w:val="7"/>
      </w:numPr>
    </w:pPr>
  </w:style>
  <w:style w:type="paragraph" w:styleId="BlockText">
    <w:name w:val="Block Text"/>
    <w:basedOn w:val="Normal"/>
    <w:rsid w:val="000936F5"/>
    <w:pPr>
      <w:spacing w:after="120"/>
      <w:ind w:left="1440" w:right="1440"/>
    </w:pPr>
  </w:style>
  <w:style w:type="character" w:customStyle="1" w:styleId="Subscript">
    <w:name w:val="Subscript"/>
    <w:basedOn w:val="DefaultParagraphFont"/>
    <w:rsid w:val="000936F5"/>
    <w:rPr>
      <w:sz w:val="16"/>
      <w:vertAlign w:val="subscript"/>
    </w:rPr>
  </w:style>
  <w:style w:type="character" w:customStyle="1" w:styleId="Superscript">
    <w:name w:val="Superscript"/>
    <w:basedOn w:val="DefaultParagraphFont"/>
    <w:rsid w:val="000936F5"/>
    <w:rPr>
      <w:sz w:val="16"/>
      <w:vertAlign w:val="superscript"/>
    </w:rPr>
  </w:style>
  <w:style w:type="character" w:customStyle="1" w:styleId="Symbols">
    <w:name w:val="Symbols"/>
    <w:basedOn w:val="DefaultParagraphFont"/>
    <w:rsid w:val="000936F5"/>
    <w:rPr>
      <w:rFonts w:ascii="Symbol" w:hAnsi="Symbol"/>
    </w:rPr>
  </w:style>
  <w:style w:type="character" w:customStyle="1" w:styleId="MenuOptions">
    <w:name w:val="Menu Options"/>
    <w:basedOn w:val="DefaultParagraphFont"/>
    <w:rsid w:val="000936F5"/>
    <w:rPr>
      <w:rFonts w:ascii="Arial Narrow" w:hAnsi="Arial Narrow"/>
      <w:smallCaps/>
    </w:rPr>
  </w:style>
  <w:style w:type="character" w:customStyle="1" w:styleId="Buttons">
    <w:name w:val="Buttons"/>
    <w:basedOn w:val="DefaultParagraphFont"/>
    <w:rsid w:val="000936F5"/>
    <w:rPr>
      <w:b/>
    </w:rPr>
  </w:style>
  <w:style w:type="character" w:customStyle="1" w:styleId="Underlined">
    <w:name w:val="Underlined"/>
    <w:basedOn w:val="DefaultParagraphFont"/>
    <w:rsid w:val="000936F5"/>
    <w:rPr>
      <w:u w:val="single"/>
    </w:rPr>
  </w:style>
  <w:style w:type="paragraph" w:customStyle="1" w:styleId="TableBodyTextRight">
    <w:name w:val="Table Body Text Right"/>
    <w:basedOn w:val="TableBodyText"/>
    <w:rsid w:val="000936F5"/>
    <w:pPr>
      <w:widowControl w:val="0"/>
      <w:autoSpaceDE w:val="0"/>
      <w:autoSpaceDN w:val="0"/>
      <w:adjustRightInd w:val="0"/>
      <w:jc w:val="right"/>
    </w:pPr>
    <w:rPr>
      <w:rFonts w:cs="Arial"/>
      <w:szCs w:val="18"/>
    </w:rPr>
  </w:style>
  <w:style w:type="paragraph" w:customStyle="1" w:styleId="CopyrightText">
    <w:name w:val="Copyright Text"/>
    <w:basedOn w:val="BodyText"/>
    <w:rsid w:val="000936F5"/>
    <w:rPr>
      <w:sz w:val="18"/>
    </w:rPr>
  </w:style>
  <w:style w:type="paragraph" w:customStyle="1" w:styleId="BodySmallRight">
    <w:name w:val="Body Small Right"/>
    <w:basedOn w:val="BodyTextRight"/>
    <w:rsid w:val="000936F5"/>
    <w:rPr>
      <w:sz w:val="18"/>
      <w:szCs w:val="18"/>
    </w:rPr>
  </w:style>
  <w:style w:type="paragraph" w:customStyle="1" w:styleId="MarginEdition">
    <w:name w:val="Margin Edition"/>
    <w:basedOn w:val="MarginNote"/>
    <w:rsid w:val="000936F5"/>
    <w:pPr>
      <w:spacing w:before="0" w:after="0"/>
    </w:pPr>
    <w:rPr>
      <w:rFonts w:ascii="Times New Roman" w:hAnsi="Times New Roman"/>
      <w:color w:val="999999"/>
    </w:rPr>
  </w:style>
  <w:style w:type="paragraph" w:customStyle="1" w:styleId="Spacer">
    <w:name w:val="Spacer"/>
    <w:basedOn w:val="Normal"/>
    <w:rsid w:val="000936F5"/>
    <w:rPr>
      <w:sz w:val="2"/>
      <w:szCs w:val="2"/>
    </w:rPr>
  </w:style>
  <w:style w:type="character" w:customStyle="1" w:styleId="Small">
    <w:name w:val="Small"/>
    <w:basedOn w:val="DefaultParagraphFont"/>
    <w:rsid w:val="000936F5"/>
    <w:rPr>
      <w:sz w:val="16"/>
    </w:rPr>
  </w:style>
  <w:style w:type="paragraph" w:customStyle="1" w:styleId="WideTable">
    <w:name w:val="Wide Table"/>
    <w:basedOn w:val="Normal"/>
    <w:rsid w:val="000936F5"/>
    <w:pPr>
      <w:ind w:left="-1418"/>
    </w:pPr>
    <w:rPr>
      <w:sz w:val="2"/>
      <w:szCs w:val="2"/>
    </w:rPr>
  </w:style>
  <w:style w:type="character" w:styleId="PageNumber">
    <w:name w:val="page number"/>
    <w:basedOn w:val="DefaultParagraphFont"/>
    <w:rsid w:val="000936F5"/>
  </w:style>
  <w:style w:type="paragraph" w:styleId="Quote">
    <w:name w:val="Quote"/>
    <w:basedOn w:val="Heading1"/>
    <w:link w:val="QuoteChar"/>
    <w:qFormat/>
    <w:rsid w:val="000936F5"/>
    <w:rPr>
      <w:b w:val="0"/>
      <w:sz w:val="72"/>
      <w:szCs w:val="72"/>
      <w:lang w:val="en-NZ"/>
    </w:rPr>
  </w:style>
  <w:style w:type="character" w:customStyle="1" w:styleId="QuoteChar">
    <w:name w:val="Quote Char"/>
    <w:basedOn w:val="DefaultParagraphFont"/>
    <w:link w:val="Quote"/>
    <w:rsid w:val="000936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6F5"/>
    <w:pPr>
      <w:pageBreakBefore/>
    </w:pPr>
  </w:style>
  <w:style w:type="paragraph" w:customStyle="1" w:styleId="Border">
    <w:name w:val="Border"/>
    <w:basedOn w:val="Normal"/>
    <w:qFormat/>
    <w:rsid w:val="000936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6F5"/>
    <w:rPr>
      <w:b/>
      <w:bCs/>
      <w:i/>
      <w:iCs/>
      <w:color w:val="auto"/>
    </w:rPr>
  </w:style>
  <w:style w:type="paragraph" w:styleId="IntenseQuote">
    <w:name w:val="Intense Quote"/>
    <w:basedOn w:val="Normal"/>
    <w:next w:val="Normal"/>
    <w:link w:val="IntenseQuoteChar"/>
    <w:uiPriority w:val="30"/>
    <w:qFormat/>
    <w:rsid w:val="000936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6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36F5"/>
    <w:rPr>
      <w:smallCaps/>
      <w:color w:val="auto"/>
      <w:u w:val="single"/>
    </w:rPr>
  </w:style>
  <w:style w:type="character" w:styleId="IntenseReference">
    <w:name w:val="Intense Reference"/>
    <w:basedOn w:val="DefaultParagraphFont"/>
    <w:uiPriority w:val="32"/>
    <w:qFormat/>
    <w:rsid w:val="000936F5"/>
    <w:rPr>
      <w:b/>
      <w:bCs/>
      <w:smallCaps/>
      <w:color w:val="auto"/>
      <w:spacing w:val="5"/>
      <w:u w:val="single"/>
    </w:rPr>
  </w:style>
  <w:style w:type="paragraph" w:customStyle="1" w:styleId="2ColumnHeading">
    <w:name w:val="2Column Heading"/>
    <w:basedOn w:val="BodyText"/>
    <w:qFormat/>
    <w:rsid w:val="000936F5"/>
    <w:pPr>
      <w:spacing w:after="60"/>
      <w:ind w:left="-2268"/>
    </w:pPr>
    <w:rPr>
      <w:b/>
    </w:rPr>
  </w:style>
  <w:style w:type="paragraph" w:customStyle="1" w:styleId="Heading1TOC">
    <w:name w:val="Heading1 TOC"/>
    <w:basedOn w:val="Normal"/>
    <w:qFormat/>
    <w:rsid w:val="000936F5"/>
    <w:pPr>
      <w:spacing w:before="240" w:after="120"/>
    </w:pPr>
    <w:rPr>
      <w:rFonts w:ascii="Times New Roman" w:hAnsi="Times New Roman"/>
      <w:b/>
      <w:sz w:val="32"/>
    </w:rPr>
  </w:style>
  <w:style w:type="paragraph" w:customStyle="1" w:styleId="Heading2TOC">
    <w:name w:val="Heading2 TOC"/>
    <w:basedOn w:val="Normal"/>
    <w:qFormat/>
    <w:rsid w:val="000936F5"/>
    <w:pPr>
      <w:spacing w:before="240" w:after="60"/>
    </w:pPr>
    <w:rPr>
      <w:rFonts w:ascii="Times New Roman" w:hAnsi="Times New Roman"/>
      <w:b/>
      <w:sz w:val="28"/>
    </w:rPr>
  </w:style>
  <w:style w:type="character" w:customStyle="1" w:styleId="Underline">
    <w:name w:val="Underline"/>
    <w:basedOn w:val="DefaultParagraphFont"/>
    <w:qFormat/>
    <w:rsid w:val="000936F5"/>
    <w:rPr>
      <w:u w:val="single"/>
    </w:rPr>
  </w:style>
  <w:style w:type="paragraph" w:styleId="BalloonText">
    <w:name w:val="Balloon Text"/>
    <w:basedOn w:val="Normal"/>
    <w:link w:val="BalloonTextChar"/>
    <w:rsid w:val="000936F5"/>
    <w:rPr>
      <w:rFonts w:ascii="Tahoma" w:hAnsi="Tahoma" w:cs="Tahoma"/>
      <w:sz w:val="16"/>
      <w:szCs w:val="16"/>
    </w:rPr>
  </w:style>
  <w:style w:type="character" w:customStyle="1" w:styleId="BalloonTextChar">
    <w:name w:val="Balloon Text Char"/>
    <w:basedOn w:val="DefaultParagraphFont"/>
    <w:link w:val="BalloonText"/>
    <w:rsid w:val="000936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36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36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1875</Words>
  <Characters>12715</Characters>
  <Application>Microsoft Office Word</Application>
  <DocSecurity>0</DocSecurity>
  <Lines>457</Lines>
  <Paragraphs>223</Paragraphs>
  <ScaleCrop>false</ScaleCrop>
  <Company>Author-it Software Corporation Ltd.</Company>
  <LinksUpToDate>false</LinksUpToDate>
  <CharactersWithSpaces>14528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SFIPROC502C Produce technical reports on seafood processing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2012-05-26T08:39:00Z</dcterms:created>
  <dcterms:modified xsi:type="dcterms:W3CDTF">2012-05-26T08:39:00Z</dcterms:modified>
</cp:coreProperties>
</file>