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FA2" w:rsidP="00292FA2">
      <w:pPr>
        <w:pStyle w:val="Title"/>
      </w:pPr>
      <w:r>
        <w:fldChar w:fldCharType="begin"/>
      </w:r>
      <w:r>
        <w:instrText xml:space="preserve"> TITLE   \* MERGEFORMAT </w:instrText>
      </w:r>
      <w:r>
        <w:fldChar w:fldCharType="separate"/>
      </w:r>
      <w:r>
        <w:t>SFIPROC403C Follow basic food safety practices</w:t>
      </w:r>
      <w:r>
        <w:fldChar w:fldCharType="end"/>
      </w:r>
    </w:p>
    <w:p w:rsidR="00292FA2" w:rsidP="00292FA2">
      <w:pPr>
        <w:pStyle w:val="Version"/>
        <w:sectPr w:rsidSect="006C6C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C3C" w:rsidP="006C6C3C">
      <w:pPr>
        <w:pStyle w:val="SuperHeading"/>
      </w:pPr>
      <w:r w:rsidRPr="006C6C3C">
        <w:t>SFIPROC403C Follow basic food safety practices</w:t>
      </w:r>
    </w:p>
    <w:p w:rsidR="00000000" w:rsidRPr="006C6C3C" w:rsidP="006C6C3C">
      <w:pPr>
        <w:pStyle w:val="Heading1"/>
      </w:pPr>
      <w:bookmarkStart w:id="1" w:name="O_273294"/>
      <w:bookmarkEnd w:id="1"/>
      <w:r w:rsidRPr="006C6C3C">
        <w:t>Modification History</w:t>
      </w:r>
    </w:p>
    <w:p w:rsidR="00000000" w:rsidRPr="006C6C3C" w:rsidP="006C6C3C">
      <w:pPr>
        <w:pStyle w:val="BodyText"/>
      </w:pPr>
      <w:r w:rsidRPr="006C6C3C">
        <w:t>Not Applicable</w:t>
      </w:r>
    </w:p>
    <w:p w:rsidR="00000000" w:rsidRPr="006C6C3C" w:rsidP="006C6C3C">
      <w:pPr>
        <w:pStyle w:val="AllowPageBreak"/>
      </w:pPr>
    </w:p>
    <w:p w:rsidR="00000000" w:rsidRPr="006C6C3C" w:rsidP="006C6C3C">
      <w:pPr>
        <w:pStyle w:val="Heading1"/>
      </w:pPr>
      <w:bookmarkStart w:id="2" w:name="O_218549"/>
      <w:bookmarkEnd w:id="2"/>
      <w:r w:rsidRPr="006C6C3C">
        <w:t>Unit Descriptor</w:t>
      </w:r>
    </w:p>
    <w:tbl>
      <w:tblPr>
        <w:tblW w:w="0" w:type="auto"/>
        <w:tblLayout w:type="fixed"/>
        <w:tblCellMar>
          <w:left w:w="62" w:type="dxa"/>
          <w:right w:w="62" w:type="dxa"/>
        </w:tblCellMar>
        <w:tblLook w:val="0000"/>
      </w:tblPr>
      <w:tblGrid>
        <w:gridCol w:w="2657"/>
        <w:gridCol w:w="5865"/>
      </w:tblGrid>
      <w:tr w:rsidTr="00292FA2">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r w:rsidRPr="006C6C3C">
              <w:t>This unit of competency covers basic food safety practices, including personal hygiene and c</w:t>
            </w:r>
            <w:r w:rsidRPr="006C6C3C">
              <w:t>onduct when working in a food business. It describes the most basic level of competence required by any person in any industry who directly handles food.</w:t>
            </w:r>
          </w:p>
          <w:p w:rsidR="00000000" w:rsidRPr="006C6C3C" w:rsidP="006C6C3C">
            <w:pPr>
              <w:pStyle w:val="BodyText"/>
            </w:pPr>
            <w:r w:rsidRPr="006C6C3C">
              <w:t>Where a food handler requires a more detailed understanding of the types of food safety hazards likely</w:t>
            </w:r>
            <w:r w:rsidRPr="006C6C3C">
              <w:t xml:space="preserve"> to occur in their workplace and methods of control, refer to SFIPROC404C Apply and monitor food safety requirements.</w:t>
            </w:r>
          </w:p>
          <w:p w:rsidR="00000000" w:rsidRPr="006C6C3C" w:rsidP="006C6C3C">
            <w:pPr>
              <w:pStyle w:val="BodyText"/>
            </w:pPr>
            <w:r w:rsidRPr="006C6C3C">
              <w:t>This unit supports the implementation of national, state and territory food safety legislation and regulations.</w:t>
            </w:r>
          </w:p>
          <w:p w:rsidR="00000000" w:rsidRPr="006C6C3C" w:rsidP="006C6C3C">
            <w:pPr>
              <w:pStyle w:val="BodyText"/>
            </w:pPr>
            <w:r w:rsidRPr="006C6C3C">
              <w:t>Licensing, legislative, re</w:t>
            </w:r>
            <w:r w:rsidRPr="006C6C3C">
              <w:t>gulatory or certification requirements may apply to this unit. Therefore it will be necessary to check with the relevant state or territory regulators for current licensing, legislative or regulatory requirements before undertaking this unit.</w:t>
            </w:r>
          </w:p>
        </w:tc>
      </w:tr>
    </w:tbl>
    <w:p w:rsidR="00292FA2" w:rsidP="006C6C3C">
      <w:pPr>
        <w:pStyle w:val="BodyText"/>
      </w:pPr>
    </w:p>
    <w:p w:rsidR="00292FA2" w:rsidP="006C6C3C">
      <w:pPr>
        <w:pStyle w:val="BodyText"/>
      </w:pPr>
    </w:p>
    <w:p w:rsidR="00000000" w:rsidRPr="006C6C3C" w:rsidP="006C6C3C">
      <w:pPr>
        <w:pStyle w:val="Heading1"/>
      </w:pPr>
      <w:bookmarkStart w:id="3" w:name="O_218553"/>
      <w:bookmarkEnd w:id="3"/>
      <w:r w:rsidRPr="006C6C3C">
        <w:t>Application of the Unit</w:t>
      </w:r>
    </w:p>
    <w:tbl>
      <w:tblPr>
        <w:tblW w:w="0" w:type="auto"/>
        <w:tblLayout w:type="fixed"/>
        <w:tblCellMar>
          <w:left w:w="62" w:type="dxa"/>
          <w:right w:w="62" w:type="dxa"/>
        </w:tblCellMar>
        <w:tblLook w:val="0000"/>
      </w:tblPr>
      <w:tblGrid>
        <w:gridCol w:w="2744"/>
        <w:gridCol w:w="5778"/>
      </w:tblGrid>
      <w:tr w:rsidTr="00292FA2">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r w:rsidRPr="006C6C3C">
              <w:t>This unit has application for those in a supervising role who are responsible for overseeing the activities of individuals working in a food handling area and directly involved in the production or pr</w:t>
            </w:r>
            <w:r w:rsidRPr="006C6C3C">
              <w:t>ocessing of seafood.</w:t>
            </w:r>
          </w:p>
          <w:p w:rsidR="00000000" w:rsidRPr="006C6C3C" w:rsidP="006C6C3C">
            <w:pPr>
              <w:pStyle w:val="BodyText"/>
            </w:pPr>
            <w:r w:rsidRPr="006C6C3C">
              <w:t xml:space="preserve">All enterprise or workplace procedures and activities are carried out according to </w:t>
            </w:r>
            <w:r w:rsidRPr="006C6C3C">
              <w:rPr>
                <w:rStyle w:val="BoldandItalics"/>
              </w:rPr>
              <w:t>relevant government regulations</w:t>
            </w:r>
            <w:r w:rsidRPr="006C6C3C">
              <w:t xml:space="preserve">, </w:t>
            </w:r>
            <w:r w:rsidRPr="006C6C3C">
              <w:rPr>
                <w:rStyle w:val="BoldandItalics"/>
              </w:rPr>
              <w:t>licensing and other compliance requirements</w:t>
            </w:r>
            <w:r w:rsidRPr="006C6C3C">
              <w:t xml:space="preserve">, </w:t>
            </w:r>
            <w:r w:rsidRPr="006C6C3C">
              <w:rPr>
                <w:rStyle w:val="BoldandItalics"/>
              </w:rPr>
              <w:t>and</w:t>
            </w:r>
            <w:r w:rsidRPr="006C6C3C">
              <w:t xml:space="preserve"> </w:t>
            </w:r>
            <w:r w:rsidRPr="006C6C3C">
              <w:rPr>
                <w:rStyle w:val="BoldandItalics"/>
              </w:rPr>
              <w:t>food safety and hygiene regulations and procedures</w:t>
            </w:r>
            <w:r w:rsidRPr="006C6C3C">
              <w:t xml:space="preserve">.  </w:t>
            </w:r>
          </w:p>
        </w:tc>
      </w:tr>
    </w:tbl>
    <w:p w:rsidR="00292FA2" w:rsidP="006C6C3C">
      <w:pPr>
        <w:pStyle w:val="BodyText"/>
      </w:pPr>
    </w:p>
    <w:p w:rsidR="00292FA2" w:rsidP="006C6C3C">
      <w:pPr>
        <w:pStyle w:val="BodyText"/>
      </w:pPr>
    </w:p>
    <w:p w:rsidR="00000000" w:rsidRPr="006C6C3C" w:rsidP="006C6C3C">
      <w:pPr>
        <w:pStyle w:val="Heading1"/>
      </w:pPr>
      <w:bookmarkStart w:id="4" w:name="O_281554"/>
      <w:bookmarkEnd w:id="4"/>
      <w:r w:rsidRPr="006C6C3C">
        <w:t>Licensing/Regulatory Information</w:t>
      </w:r>
    </w:p>
    <w:p w:rsidR="00000000" w:rsidRPr="006C6C3C" w:rsidP="006C6C3C">
      <w:pPr>
        <w:pStyle w:val="BodyText"/>
      </w:pPr>
      <w:r w:rsidRPr="006C6C3C">
        <w:t>Refer to Unit Descriptor</w:t>
      </w:r>
    </w:p>
    <w:p w:rsidR="00000000" w:rsidRPr="006C6C3C" w:rsidP="006C6C3C">
      <w:pPr>
        <w:pStyle w:val="AllowPageBreak"/>
      </w:pPr>
    </w:p>
    <w:p w:rsidR="00000000" w:rsidRPr="006C6C3C" w:rsidP="006C6C3C">
      <w:pPr>
        <w:pStyle w:val="Heading1"/>
      </w:pPr>
      <w:bookmarkStart w:id="5" w:name="O_218551"/>
      <w:bookmarkEnd w:id="5"/>
      <w:r w:rsidRPr="006C6C3C">
        <w:t>Pre-Requisites</w:t>
      </w:r>
    </w:p>
    <w:tbl>
      <w:tblPr>
        <w:tblW w:w="0" w:type="auto"/>
        <w:tblLayout w:type="fixed"/>
        <w:tblCellMar>
          <w:left w:w="62" w:type="dxa"/>
          <w:right w:w="62" w:type="dxa"/>
        </w:tblCellMar>
        <w:tblLook w:val="0000"/>
      </w:tblPr>
      <w:tblGrid>
        <w:gridCol w:w="2775"/>
        <w:gridCol w:w="1295"/>
        <w:gridCol w:w="4452"/>
      </w:tblGrid>
      <w:tr w:rsidTr="00292F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p>
        </w:tc>
      </w:tr>
      <w:tr w:rsidTr="00292F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p>
        </w:tc>
      </w:tr>
      <w:tr w:rsidTr="00292F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p>
        </w:tc>
      </w:tr>
    </w:tbl>
    <w:p w:rsidR="00292FA2" w:rsidP="006C6C3C">
      <w:pPr>
        <w:pStyle w:val="BodyText"/>
      </w:pPr>
    </w:p>
    <w:p w:rsidR="00292FA2" w:rsidP="006C6C3C">
      <w:pPr>
        <w:pStyle w:val="BodyText"/>
      </w:pPr>
    </w:p>
    <w:p w:rsidR="00000000" w:rsidRPr="006C6C3C" w:rsidP="006C6C3C">
      <w:pPr>
        <w:pStyle w:val="Heading1"/>
      </w:pPr>
      <w:bookmarkStart w:id="6" w:name="O_218550"/>
      <w:bookmarkEnd w:id="6"/>
      <w:r w:rsidRPr="006C6C3C">
        <w:t>Employability Skills Information</w:t>
      </w:r>
    </w:p>
    <w:tbl>
      <w:tblPr>
        <w:tblW w:w="0" w:type="auto"/>
        <w:tblLayout w:type="fixed"/>
        <w:tblCellMar>
          <w:left w:w="62" w:type="dxa"/>
          <w:right w:w="62" w:type="dxa"/>
        </w:tblCellMar>
        <w:tblLook w:val="0000"/>
      </w:tblPr>
      <w:tblGrid>
        <w:gridCol w:w="2802"/>
        <w:gridCol w:w="5720"/>
      </w:tblGrid>
      <w:tr w:rsidTr="00292F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r w:rsidRPr="006C6C3C">
              <w:t xml:space="preserve">This unit contains employability skills. </w:t>
            </w:r>
          </w:p>
        </w:tc>
      </w:tr>
    </w:tbl>
    <w:p w:rsidR="00292FA2" w:rsidP="006C6C3C">
      <w:pPr>
        <w:pStyle w:val="BodyText"/>
      </w:pPr>
    </w:p>
    <w:p w:rsidR="00292FA2" w:rsidP="006C6C3C">
      <w:pPr>
        <w:pStyle w:val="BodyText"/>
      </w:pPr>
    </w:p>
    <w:p w:rsidR="00000000" w:rsidRPr="006C6C3C" w:rsidP="006C6C3C">
      <w:pPr>
        <w:pStyle w:val="Heading1"/>
      </w:pPr>
      <w:bookmarkStart w:id="7" w:name="O_291340"/>
      <w:bookmarkEnd w:id="7"/>
      <w:r w:rsidRPr="006C6C3C">
        <w:t>Elements and Performance Criteria Pre-Content</w:t>
      </w:r>
    </w:p>
    <w:tbl>
      <w:tblPr>
        <w:tblW w:w="0" w:type="auto"/>
        <w:tblLayout w:type="fixed"/>
        <w:tblCellMar>
          <w:left w:w="62" w:type="dxa"/>
          <w:right w:w="62" w:type="dxa"/>
        </w:tblCellMar>
        <w:tblLook w:val="0000"/>
      </w:tblPr>
      <w:tblGrid>
        <w:gridCol w:w="2561"/>
        <w:gridCol w:w="5961"/>
      </w:tblGrid>
      <w:tr w:rsidTr="00292FA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r w:rsidRPr="006C6C3C">
              <w:t>Performance criteria describe the performance needed to demonstrate achievement of the element. Where bold italicised text is used, furt</w:t>
            </w:r>
            <w:r w:rsidRPr="006C6C3C">
              <w:t>her information is detailed in the required skills and knowledge section and the range statement. Assessment of performance is to be consistent with the evidence guide.</w:t>
            </w:r>
          </w:p>
        </w:tc>
      </w:tr>
    </w:tbl>
    <w:p w:rsidR="00000000" w:rsidRPr="006C6C3C" w:rsidP="006C6C3C">
      <w:pPr>
        <w:pStyle w:val="BodyText"/>
      </w:pPr>
    </w:p>
    <w:p w:rsidR="00000000" w:rsidRPr="006C6C3C" w:rsidP="006C6C3C">
      <w:pPr>
        <w:pStyle w:val="AllowPageBreak"/>
      </w:pPr>
    </w:p>
    <w:p w:rsidR="00000000" w:rsidRPr="006C6C3C" w:rsidP="006C6C3C">
      <w:pPr>
        <w:pStyle w:val="Heading1"/>
      </w:pPr>
      <w:bookmarkStart w:id="8" w:name="O_238008"/>
      <w:bookmarkEnd w:id="8"/>
      <w:r w:rsidRPr="006C6C3C">
        <w:t>Elements and Performance Criteria</w:t>
      </w:r>
    </w:p>
    <w:tbl>
      <w:tblPr>
        <w:tblW w:w="0" w:type="auto"/>
        <w:tblLayout w:type="fixed"/>
        <w:tblCellMar>
          <w:left w:w="62" w:type="dxa"/>
          <w:right w:w="62" w:type="dxa"/>
        </w:tblCellMar>
        <w:tblLook w:val="0000"/>
      </w:tblPr>
      <w:tblGrid>
        <w:gridCol w:w="2561"/>
        <w:gridCol w:w="5961"/>
      </w:tblGrid>
      <w:tr w:rsidTr="00292FA2">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r w:rsidRPr="006C6C3C">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PERFORMANCE CRITERIA</w:t>
            </w:r>
          </w:p>
        </w:tc>
      </w:tr>
      <w:tr w:rsidTr="00292FA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List"/>
              <w:rPr>
                <w:lang w:val="en-NZ"/>
              </w:rPr>
            </w:pPr>
            <w:r w:rsidRPr="006C6C3C">
              <w:t>1.</w:t>
            </w:r>
            <w:r w:rsidRPr="006C6C3C">
              <w:tab/>
            </w:r>
            <w:r w:rsidRPr="006C6C3C">
              <w:t xml:space="preserve">Interpret </w:t>
            </w:r>
            <w:r w:rsidRPr="006C6C3C">
              <w:rPr>
                <w:rStyle w:val="BoldandItalics"/>
              </w:rPr>
              <w:t>food safety program</w:t>
            </w:r>
            <w:r w:rsidRPr="006C6C3C">
              <w:t xml:space="preserve">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2"/>
            </w:pPr>
            <w:r w:rsidRPr="006C6C3C">
              <w:t>1.1.</w:t>
            </w:r>
            <w:r w:rsidRPr="006C6C3C">
              <w:tab/>
              <w:t>Workplace information relating to food safety responsibilities is accessed, interpreted and confirmed with personnel as identified in the enterprise food safety program.</w:t>
            </w:r>
          </w:p>
          <w:p w:rsidR="00000000" w:rsidRPr="006C6C3C" w:rsidP="006C6C3C">
            <w:pPr>
              <w:pStyle w:val="List2"/>
            </w:pPr>
            <w:r w:rsidRPr="006C6C3C">
              <w:t>1.2.</w:t>
            </w:r>
            <w:r w:rsidRPr="006C6C3C">
              <w:tab/>
              <w:t>Hazard and Critical Control Point</w:t>
            </w:r>
            <w:r w:rsidRPr="006C6C3C">
              <w:t xml:space="preserve">s (HACCP) and food safety procedures relevant to </w:t>
            </w:r>
            <w:r w:rsidRPr="006C6C3C">
              <w:rPr>
                <w:rStyle w:val="BoldandItalics"/>
              </w:rPr>
              <w:t>own work responsibility</w:t>
            </w:r>
            <w:r w:rsidRPr="006C6C3C">
              <w:t xml:space="preserve"> are identified and confirmed with relevant personnel.</w:t>
            </w:r>
          </w:p>
          <w:p w:rsidR="00000000" w:rsidRPr="006C6C3C" w:rsidP="006C6C3C">
            <w:pPr>
              <w:pStyle w:val="List2"/>
            </w:pPr>
            <w:r w:rsidRPr="006C6C3C">
              <w:t>1.3.</w:t>
            </w:r>
            <w:r w:rsidRPr="006C6C3C">
              <w:tab/>
            </w:r>
            <w:r w:rsidRPr="006C6C3C">
              <w:rPr>
                <w:rStyle w:val="BoldandItalics"/>
              </w:rPr>
              <w:t>Own work practices</w:t>
            </w:r>
            <w:r w:rsidRPr="006C6C3C">
              <w:t xml:space="preserve"> are monitored for compliance with food safety program and modelled in the workplace.</w:t>
            </w:r>
          </w:p>
          <w:p w:rsidR="00000000" w:rsidP="006C6C3C">
            <w:pPr>
              <w:pStyle w:val="List2"/>
              <w:rPr>
                <w:lang w:val="en-NZ"/>
              </w:rPr>
            </w:pPr>
            <w:r w:rsidRPr="006C6C3C">
              <w:t>1.4.</w:t>
            </w:r>
            <w:r w:rsidRPr="006C6C3C">
              <w:tab/>
            </w:r>
            <w:r w:rsidRPr="006C6C3C">
              <w:rPr>
                <w:rStyle w:val="BoldandItalics"/>
              </w:rPr>
              <w:t>Personnel are s</w:t>
            </w:r>
            <w:r w:rsidRPr="006C6C3C">
              <w:rPr>
                <w:rStyle w:val="BoldandItalics"/>
              </w:rPr>
              <w:t>upported</w:t>
            </w:r>
            <w:r w:rsidRPr="006C6C3C">
              <w:t xml:space="preserve"> to implement food safety program and procedures.</w:t>
            </w:r>
          </w:p>
        </w:tc>
      </w:tr>
      <w:tr w:rsidTr="00292FA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List"/>
              <w:rPr>
                <w:lang w:val="en-NZ"/>
              </w:rPr>
            </w:pPr>
            <w:r w:rsidRPr="006C6C3C">
              <w:t>2.</w:t>
            </w:r>
            <w:r w:rsidRPr="006C6C3C">
              <w:tab/>
              <w:t xml:space="preserve">Maintain food safety while carrying out </w:t>
            </w:r>
            <w:r w:rsidRPr="006C6C3C">
              <w:rPr>
                <w:rStyle w:val="BoldandItalics"/>
              </w:rPr>
              <w:t>food handling</w:t>
            </w:r>
            <w:r w:rsidRPr="006C6C3C">
              <w:t xml:space="preserve"> </w:t>
            </w:r>
            <w:r w:rsidRPr="006C6C3C">
              <w:rPr>
                <w:rStyle w:val="BoldandItalics"/>
              </w:rPr>
              <w:t>activities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2"/>
            </w:pPr>
            <w:r w:rsidRPr="006C6C3C">
              <w:t>2.1.</w:t>
            </w:r>
            <w:r w:rsidRPr="006C6C3C">
              <w:tab/>
              <w:t>Food handling and storage is carried out according to the food safety program.</w:t>
            </w:r>
          </w:p>
          <w:p w:rsidR="00000000" w:rsidRPr="006C6C3C" w:rsidP="006C6C3C">
            <w:pPr>
              <w:pStyle w:val="List2"/>
            </w:pPr>
            <w:r w:rsidRPr="006C6C3C">
              <w:t>2.2.</w:t>
            </w:r>
            <w:r w:rsidRPr="006C6C3C">
              <w:tab/>
              <w:t>Procedures or practices which are not co</w:t>
            </w:r>
            <w:r w:rsidRPr="006C6C3C">
              <w:t>nsistent with food safety program are identified, reported or corrected.</w:t>
            </w:r>
          </w:p>
          <w:p w:rsidR="00000000" w:rsidRPr="006C6C3C" w:rsidP="006C6C3C">
            <w:pPr>
              <w:pStyle w:val="List2"/>
            </w:pPr>
            <w:r w:rsidRPr="006C6C3C">
              <w:t>2.3.</w:t>
            </w:r>
            <w:r w:rsidRPr="006C6C3C">
              <w:tab/>
              <w:t>Corrective action is taken within level of responsibility, according to the food safety program.</w:t>
            </w:r>
          </w:p>
          <w:p w:rsidR="00000000" w:rsidRPr="006C6C3C" w:rsidP="006C6C3C">
            <w:pPr>
              <w:pStyle w:val="List2"/>
            </w:pPr>
            <w:r w:rsidRPr="006C6C3C">
              <w:t>2.4.</w:t>
            </w:r>
            <w:r w:rsidRPr="006C6C3C">
              <w:tab/>
            </w:r>
            <w:r w:rsidRPr="006C6C3C">
              <w:t>Recalled or contaminated food, waste and recyclable material is handling and disposed of according to food safety program.</w:t>
            </w:r>
          </w:p>
          <w:p w:rsidR="00000000" w:rsidP="006C6C3C">
            <w:pPr>
              <w:pStyle w:val="List2"/>
              <w:rPr>
                <w:lang w:val="en-NZ"/>
              </w:rPr>
            </w:pPr>
            <w:r w:rsidRPr="006C6C3C">
              <w:t>2.5.</w:t>
            </w:r>
            <w:r w:rsidRPr="006C6C3C">
              <w:tab/>
              <w:t>The workplace in maintained in a clean and tidy order to meet hygiene standards.</w:t>
            </w:r>
          </w:p>
        </w:tc>
      </w:tr>
      <w:tr w:rsidTr="00292FA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List"/>
              <w:rPr>
                <w:lang w:val="en-NZ"/>
              </w:rPr>
            </w:pPr>
            <w:r w:rsidRPr="006C6C3C">
              <w:t>3.</w:t>
            </w:r>
            <w:r w:rsidRPr="006C6C3C">
              <w:tab/>
              <w:t>Comply with personal hygiene standards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2"/>
            </w:pPr>
            <w:r w:rsidRPr="006C6C3C">
              <w:t>3.1.</w:t>
            </w:r>
            <w:r w:rsidRPr="006C6C3C">
              <w:tab/>
              <w:t>Personal hygiene meets the requirements for the food safety program.</w:t>
            </w:r>
          </w:p>
          <w:p w:rsidR="00000000" w:rsidRPr="006C6C3C" w:rsidP="006C6C3C">
            <w:pPr>
              <w:pStyle w:val="List2"/>
            </w:pPr>
            <w:r w:rsidRPr="006C6C3C">
              <w:t>3.2.</w:t>
            </w:r>
            <w:r w:rsidRPr="006C6C3C">
              <w:tab/>
              <w:t>Health conditions and/or illness are reported and recorded as required by the food safety program.</w:t>
            </w:r>
          </w:p>
          <w:p w:rsidR="00000000" w:rsidRPr="006C6C3C" w:rsidP="006C6C3C">
            <w:pPr>
              <w:pStyle w:val="List2"/>
            </w:pPr>
            <w:r w:rsidRPr="006C6C3C">
              <w:t>3.3.</w:t>
            </w:r>
            <w:r w:rsidRPr="006C6C3C">
              <w:tab/>
              <w:t>Clothing and footwear worn is appropriate for the food handling task and meet</w:t>
            </w:r>
            <w:r w:rsidRPr="006C6C3C">
              <w:t>s the requirements of the food safety program.</w:t>
            </w:r>
          </w:p>
          <w:p w:rsidR="00000000" w:rsidRPr="006C6C3C" w:rsidP="006C6C3C">
            <w:pPr>
              <w:pStyle w:val="List2"/>
            </w:pPr>
            <w:r w:rsidRPr="006C6C3C">
              <w:t>3.4.</w:t>
            </w:r>
            <w:r w:rsidRPr="006C6C3C">
              <w:tab/>
              <w:t>Precautions are taken when moving between or around the workplace and/or from one task to another so that food safety is not compromised.</w:t>
            </w:r>
          </w:p>
        </w:tc>
      </w:tr>
    </w:tbl>
    <w:p w:rsidR="00292FA2" w:rsidP="006C6C3C">
      <w:pPr>
        <w:pStyle w:val="BodyText"/>
      </w:pPr>
    </w:p>
    <w:p w:rsidR="00292FA2" w:rsidP="006C6C3C">
      <w:pPr>
        <w:pStyle w:val="BodyText"/>
      </w:pPr>
    </w:p>
    <w:p w:rsidR="00000000" w:rsidRPr="006C6C3C" w:rsidP="006C6C3C">
      <w:pPr>
        <w:pStyle w:val="Heading1"/>
      </w:pPr>
      <w:bookmarkStart w:id="9" w:name="O_261799"/>
      <w:bookmarkEnd w:id="9"/>
      <w:r w:rsidRPr="006C6C3C">
        <w:t>Required Skills and Knowledge</w:t>
      </w:r>
    </w:p>
    <w:tbl>
      <w:tblPr>
        <w:tblW w:w="0" w:type="auto"/>
        <w:tblLayout w:type="fixed"/>
        <w:tblCellMar>
          <w:left w:w="62" w:type="dxa"/>
          <w:right w:w="62" w:type="dxa"/>
        </w:tblCellMar>
        <w:tblLook w:val="0000"/>
      </w:tblPr>
      <w:tblGrid>
        <w:gridCol w:w="8522"/>
      </w:tblGrid>
      <w:tr w:rsidTr="00292F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ListBullet2"/>
              <w:rPr>
                <w:lang w:val="en-NZ"/>
              </w:rPr>
            </w:pPr>
            <w:r w:rsidRPr="006C6C3C">
              <w:t>REQUIRED SKILLS AND KNOWLEDGE</w:t>
            </w:r>
          </w:p>
        </w:tc>
      </w:tr>
      <w:tr w:rsidTr="00292F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t>This section describes the skills and knowledge required for this unit.</w:t>
            </w:r>
          </w:p>
        </w:tc>
      </w:tr>
      <w:tr w:rsidTr="00292F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Required skills</w:t>
            </w:r>
          </w:p>
        </w:tc>
      </w:tr>
      <w:tr w:rsidTr="00292F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Bullet"/>
            </w:pPr>
            <w:r w:rsidRPr="006C6C3C">
              <w:t xml:space="preserve">communicating to clarify own work responsibilities in relation to HACCP and the </w:t>
            </w:r>
            <w:r w:rsidRPr="006C6C3C">
              <w:t>food safety program and to support personnel to implement procedures related to food safety program, such as:</w:t>
            </w:r>
          </w:p>
          <w:p w:rsidR="00000000" w:rsidRPr="006C6C3C" w:rsidP="006C6C3C">
            <w:pPr>
              <w:pStyle w:val="ListBullet2"/>
            </w:pPr>
            <w:r w:rsidRPr="006C6C3C">
              <w:t>maintaining personal hygiene standards</w:t>
            </w:r>
          </w:p>
          <w:p w:rsidR="00000000" w:rsidRPr="006C6C3C" w:rsidP="006C6C3C">
            <w:pPr>
              <w:pStyle w:val="ListBullet2"/>
            </w:pPr>
            <w:r w:rsidRPr="006C6C3C">
              <w:t>handling and disposing of recalled or contaminated food, waste and recyclable material</w:t>
            </w:r>
          </w:p>
          <w:p w:rsidR="00000000" w:rsidRPr="006C6C3C" w:rsidP="006C6C3C">
            <w:pPr>
              <w:pStyle w:val="ListBullet2"/>
            </w:pPr>
            <w:r w:rsidRPr="006C6C3C">
              <w:t>maintaining the wor</w:t>
            </w:r>
            <w:r w:rsidRPr="006C6C3C">
              <w:t>k area in a clean and tidy state</w:t>
            </w:r>
          </w:p>
          <w:p w:rsidR="00000000" w:rsidRPr="006C6C3C" w:rsidP="006C6C3C">
            <w:pPr>
              <w:pStyle w:val="ListBullet2"/>
            </w:pPr>
            <w:r w:rsidRPr="006C6C3C">
              <w:t>reporting health conditions and illness</w:t>
            </w:r>
          </w:p>
          <w:p w:rsidR="00000000" w:rsidRPr="006C6C3C" w:rsidP="006C6C3C">
            <w:pPr>
              <w:pStyle w:val="ListBullet2"/>
            </w:pPr>
            <w:r w:rsidRPr="006C6C3C">
              <w:t>reporting signs of pest infestation</w:t>
            </w:r>
          </w:p>
          <w:p w:rsidR="00000000" w:rsidRPr="006C6C3C" w:rsidP="006C6C3C">
            <w:pPr>
              <w:pStyle w:val="ListBullet"/>
            </w:pPr>
            <w:r w:rsidRPr="006C6C3C">
              <w:t>identifying procedures or practices that are inconsistent with or compromise the food safety program.</w:t>
            </w:r>
          </w:p>
          <w:p w:rsidR="00000000" w:rsidRPr="006C6C3C" w:rsidP="006C6C3C">
            <w:pPr>
              <w:pStyle w:val="BodyText"/>
            </w:pPr>
          </w:p>
          <w:p w:rsidR="00000000" w:rsidRPr="006C6C3C" w:rsidP="006C6C3C">
            <w:pPr>
              <w:pStyle w:val="BodyText"/>
            </w:pPr>
            <w:r w:rsidRPr="006C6C3C">
              <w:rPr>
                <w:rStyle w:val="SpecialBold"/>
              </w:rPr>
              <w:t>Literacy skills used for</w:t>
            </w:r>
            <w:r w:rsidRPr="006C6C3C">
              <w:t xml:space="preserve">: </w:t>
            </w:r>
          </w:p>
          <w:p w:rsidR="00000000" w:rsidRPr="006C6C3C" w:rsidP="006C6C3C">
            <w:pPr>
              <w:pStyle w:val="ListBullet"/>
            </w:pPr>
            <w:r w:rsidRPr="006C6C3C">
              <w:t>documenting corrective actions</w:t>
            </w:r>
          </w:p>
          <w:p w:rsidR="00000000" w:rsidRPr="006C6C3C" w:rsidP="006C6C3C">
            <w:pPr>
              <w:pStyle w:val="ListBullet"/>
            </w:pPr>
            <w:r w:rsidRPr="006C6C3C">
              <w:t>providing diagrammatic instructions relating to procedures outlining food safety responsibilities</w:t>
            </w:r>
          </w:p>
          <w:p w:rsidR="00000000" w:rsidRPr="006C6C3C" w:rsidP="006C6C3C">
            <w:pPr>
              <w:pStyle w:val="ListBullet"/>
            </w:pPr>
            <w:r w:rsidRPr="006C6C3C">
              <w:t>interpreting food safety program</w:t>
            </w:r>
          </w:p>
          <w:p w:rsidR="00000000" w:rsidRPr="006C6C3C" w:rsidP="006C6C3C">
            <w:pPr>
              <w:pStyle w:val="ListBullet"/>
            </w:pPr>
            <w:r w:rsidRPr="006C6C3C">
              <w:t>reporting and documenting health conditions and illnesses.</w:t>
            </w:r>
          </w:p>
          <w:p w:rsidR="00000000" w:rsidRPr="006C6C3C" w:rsidP="006C6C3C">
            <w:pPr>
              <w:pStyle w:val="BodyText"/>
            </w:pPr>
          </w:p>
          <w:p w:rsidR="00000000" w:rsidRPr="006C6C3C" w:rsidP="006C6C3C">
            <w:pPr>
              <w:pStyle w:val="BodyText"/>
            </w:pPr>
            <w:r w:rsidRPr="006C6C3C">
              <w:rPr>
                <w:rStyle w:val="SpecialBold"/>
              </w:rPr>
              <w:t>Numeracy skills used for</w:t>
            </w:r>
            <w:r w:rsidRPr="006C6C3C">
              <w:t xml:space="preserve">: </w:t>
            </w:r>
          </w:p>
          <w:p w:rsidR="00000000" w:rsidP="006C6C3C">
            <w:pPr>
              <w:pStyle w:val="ListBullet"/>
              <w:rPr>
                <w:lang w:val="en-NZ"/>
              </w:rPr>
            </w:pPr>
            <w:r w:rsidRPr="006C6C3C">
              <w:t>interpreting critical limits as documented in the food safety plan.</w:t>
            </w:r>
          </w:p>
        </w:tc>
      </w:tr>
      <w:tr w:rsidTr="00292F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Required knowledge</w:t>
            </w:r>
          </w:p>
        </w:tc>
      </w:tr>
      <w:tr w:rsidTr="00292F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Bullet"/>
            </w:pPr>
            <w:r w:rsidRPr="006C6C3C">
              <w:t>appropriate bandages and dressing to be used when undertaking food handling</w:t>
            </w:r>
          </w:p>
          <w:p w:rsidR="00000000" w:rsidRPr="006C6C3C" w:rsidP="006C6C3C">
            <w:pPr>
              <w:pStyle w:val="ListBullet"/>
            </w:pPr>
            <w:r w:rsidRPr="006C6C3C">
              <w:t>cleaning plans and procedures and use and storage of cleaning equipment as required to carry out own work responsibilities</w:t>
            </w:r>
          </w:p>
          <w:p w:rsidR="00000000" w:rsidRPr="006C6C3C" w:rsidP="006C6C3C">
            <w:pPr>
              <w:pStyle w:val="ListBullet"/>
            </w:pPr>
            <w:r w:rsidRPr="006C6C3C">
              <w:t>clothing and footwear requirements for working in and/or moving between food handling areas</w:t>
            </w:r>
          </w:p>
          <w:p w:rsidR="00000000" w:rsidRPr="006C6C3C" w:rsidP="006C6C3C">
            <w:pPr>
              <w:pStyle w:val="ListBullet"/>
            </w:pPr>
            <w:r w:rsidRPr="006C6C3C">
              <w:t>legal responsibilities relating to person</w:t>
            </w:r>
            <w:r w:rsidRPr="006C6C3C">
              <w:t>al hygiene practices and the reporting of illness as required by the Food Safety Standard and/or state or territory legislation and regulations (it may also include restrictions on wearing of jewellery and other adornments, such as nail polish)</w:t>
            </w:r>
          </w:p>
          <w:p w:rsidR="00000000" w:rsidRPr="006C6C3C" w:rsidP="006C6C3C">
            <w:pPr>
              <w:pStyle w:val="ListBullet"/>
            </w:pPr>
            <w:r w:rsidRPr="006C6C3C">
              <w:t>personal cl</w:t>
            </w:r>
            <w:r w:rsidRPr="006C6C3C">
              <w:t>othing maintenance, laundering and storage requirements</w:t>
            </w:r>
          </w:p>
          <w:p w:rsidR="00000000" w:rsidRPr="006C6C3C" w:rsidP="006C6C3C">
            <w:pPr>
              <w:pStyle w:val="ListBullet"/>
            </w:pPr>
            <w:r w:rsidRPr="006C6C3C">
              <w:t>suitable standard of materials, equipment and utensils used in the food handling area</w:t>
            </w:r>
          </w:p>
          <w:p w:rsidR="00000000" w:rsidRPr="006C6C3C" w:rsidP="006C6C3C">
            <w:pPr>
              <w:pStyle w:val="ListBullet"/>
            </w:pPr>
            <w:r w:rsidRPr="006C6C3C">
              <w:t>the food safety requirements and procedures related to own work and the possible consequences of not following the</w:t>
            </w:r>
            <w:r w:rsidRPr="006C6C3C">
              <w:t>se procedures</w:t>
            </w:r>
          </w:p>
          <w:p w:rsidR="00000000" w:rsidRPr="006C6C3C" w:rsidP="006C6C3C">
            <w:pPr>
              <w:pStyle w:val="ListBullet"/>
            </w:pPr>
            <w:r w:rsidRPr="006C6C3C">
              <w:t>waste collection, recycling and handling procedures relevant to own work responsibilities.</w:t>
            </w:r>
          </w:p>
        </w:tc>
      </w:tr>
    </w:tbl>
    <w:p w:rsidR="00292FA2" w:rsidP="006C6C3C">
      <w:pPr>
        <w:pStyle w:val="BodyText"/>
      </w:pPr>
    </w:p>
    <w:p w:rsidR="00292FA2" w:rsidP="006C6C3C">
      <w:pPr>
        <w:pStyle w:val="BodyText"/>
      </w:pPr>
    </w:p>
    <w:p w:rsidR="00000000" w:rsidRPr="006C6C3C" w:rsidP="006C6C3C">
      <w:pPr>
        <w:pStyle w:val="AllowPageBreak"/>
      </w:pPr>
    </w:p>
    <w:p w:rsidR="00000000" w:rsidRPr="006C6C3C" w:rsidP="006C6C3C">
      <w:pPr>
        <w:pStyle w:val="Heading1"/>
      </w:pPr>
      <w:bookmarkStart w:id="10" w:name="O_245992"/>
      <w:bookmarkEnd w:id="10"/>
      <w:r w:rsidRPr="006C6C3C">
        <w:t>Evidence Guide</w:t>
      </w:r>
    </w:p>
    <w:tbl>
      <w:tblPr>
        <w:tblW w:w="9570" w:type="dxa"/>
        <w:tblLayout w:type="fixed"/>
        <w:tblCellMar>
          <w:left w:w="62" w:type="dxa"/>
          <w:right w:w="62" w:type="dxa"/>
        </w:tblCellMar>
        <w:tblLook w:val="0000"/>
      </w:tblPr>
      <w:tblGrid>
        <w:gridCol w:w="3908"/>
        <w:gridCol w:w="5662"/>
      </w:tblGrid>
      <w:tr w:rsidTr="00292F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EVIDENCE GUIDE</w:t>
            </w:r>
          </w:p>
        </w:tc>
      </w:tr>
      <w:tr w:rsidTr="00292F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t>The evidence guide provides advice on assessment and must be read in conjunction with the performance criteria, required skills and knowledge, range statement and the Assessment Guidelines for the Training Package.</w:t>
            </w:r>
          </w:p>
        </w:tc>
      </w:tr>
      <w:tr w:rsidTr="00292F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p>
        </w:tc>
      </w:tr>
      <w:tr w:rsidTr="00292F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Critical aspec</w:t>
            </w:r>
            <w:r w:rsidRPr="006C6C3C">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r w:rsidRPr="006C6C3C">
              <w:t xml:space="preserve">Assessment must confirm the ability to: </w:t>
            </w:r>
          </w:p>
          <w:p w:rsidR="00000000" w:rsidRPr="006C6C3C" w:rsidP="006C6C3C">
            <w:pPr>
              <w:pStyle w:val="ListBullet"/>
            </w:pPr>
            <w:r w:rsidRPr="006C6C3C">
              <w:t>follow basic food safety procedures and practices in a supervisory role.</w:t>
            </w:r>
          </w:p>
          <w:p w:rsidR="00000000" w:rsidRPr="006C6C3C" w:rsidP="006C6C3C">
            <w:pPr>
              <w:pStyle w:val="BodyText"/>
            </w:pPr>
          </w:p>
          <w:p w:rsidR="00000000" w:rsidRPr="006C6C3C" w:rsidP="006C6C3C">
            <w:pPr>
              <w:pStyle w:val="BodyText"/>
            </w:pPr>
            <w:r w:rsidRPr="006C6C3C">
              <w:t xml:space="preserve">Assessment must confirm knowledge of: </w:t>
            </w:r>
          </w:p>
          <w:p w:rsidR="00000000" w:rsidRPr="006C6C3C" w:rsidP="006C6C3C">
            <w:pPr>
              <w:pStyle w:val="ListBullet"/>
            </w:pPr>
            <w:r w:rsidRPr="006C6C3C">
              <w:t>activities needed to return to the required levels of hygiene and sanitation</w:t>
            </w:r>
          </w:p>
          <w:p w:rsidR="00000000" w:rsidRPr="006C6C3C" w:rsidP="006C6C3C">
            <w:pPr>
              <w:pStyle w:val="ListBullet"/>
            </w:pPr>
            <w:r w:rsidRPr="006C6C3C">
              <w:t>procedures and/or practices which are not consistent with the food safety plan</w:t>
            </w:r>
          </w:p>
          <w:p w:rsidR="00000000" w:rsidRPr="006C6C3C" w:rsidP="006C6C3C">
            <w:pPr>
              <w:pStyle w:val="ListBullet"/>
            </w:pPr>
            <w:r w:rsidRPr="006C6C3C">
              <w:t>reporting and recording requirements of the food safety plan</w:t>
            </w:r>
          </w:p>
          <w:p w:rsidR="00000000" w:rsidRPr="006C6C3C" w:rsidP="006C6C3C">
            <w:pPr>
              <w:pStyle w:val="ListBullet"/>
            </w:pPr>
            <w:r w:rsidRPr="006C6C3C">
              <w:t>the requirements of the food safety pla</w:t>
            </w:r>
            <w:r w:rsidRPr="006C6C3C">
              <w:t>n in general and personal hygiene requirements in particular</w:t>
            </w:r>
          </w:p>
          <w:p w:rsidR="00000000" w:rsidP="006C6C3C">
            <w:pPr>
              <w:pStyle w:val="ListBullet"/>
              <w:rPr>
                <w:lang w:val="en-NZ"/>
              </w:rPr>
            </w:pPr>
            <w:r w:rsidRPr="006C6C3C">
              <w:t>waste disposal routines.</w:t>
            </w:r>
          </w:p>
        </w:tc>
      </w:tr>
      <w:tr w:rsidTr="00292F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r w:rsidRPr="006C6C3C">
              <w:t>Assessment of this unit may occur in either a real or simulated workplace. Such an environment must provide a typical ra</w:t>
            </w:r>
            <w:r w:rsidRPr="006C6C3C">
              <w:t>nge of seafood handling and related food safety requirements that would normally be found in a food handling business. The assessment process must provide an opportunity for the assessee to demonstrate work activities that are consistent with food safety l</w:t>
            </w:r>
            <w:r w:rsidRPr="006C6C3C">
              <w:t>egislation and regulations.</w:t>
            </w:r>
          </w:p>
          <w:p w:rsidR="00000000" w:rsidRPr="006C6C3C" w:rsidP="006C6C3C">
            <w:pPr>
              <w:pStyle w:val="BodyText"/>
            </w:pPr>
          </w:p>
          <w:p w:rsidR="00000000" w:rsidRPr="006C6C3C" w:rsidP="006C6C3C">
            <w:pPr>
              <w:pStyle w:val="BodyText"/>
            </w:pPr>
            <w:r w:rsidRPr="006C6C3C">
              <w:t>Resources required for assessment may include:</w:t>
            </w:r>
          </w:p>
          <w:p w:rsidR="00000000" w:rsidRPr="006C6C3C" w:rsidP="006C6C3C">
            <w:pPr>
              <w:pStyle w:val="ListBullet"/>
            </w:pPr>
            <w:r w:rsidRPr="006C6C3C">
              <w:t xml:space="preserve">personnel to supervise </w:t>
            </w:r>
          </w:p>
          <w:p w:rsidR="00000000" w:rsidRPr="006C6C3C" w:rsidP="006C6C3C">
            <w:pPr>
              <w:pStyle w:val="ListBullet"/>
            </w:pPr>
            <w:r w:rsidRPr="006C6C3C">
              <w:t>enterprise food safety plan</w:t>
            </w:r>
          </w:p>
          <w:p w:rsidR="00000000" w:rsidRPr="006C6C3C" w:rsidP="006C6C3C">
            <w:pPr>
              <w:pStyle w:val="ListBullet"/>
            </w:pPr>
            <w:r w:rsidRPr="006C6C3C">
              <w:t>enterprise OHS policy and procedures</w:t>
            </w:r>
          </w:p>
          <w:p w:rsidR="00000000" w:rsidRPr="006C6C3C" w:rsidP="006C6C3C">
            <w:pPr>
              <w:pStyle w:val="ListBullet"/>
            </w:pPr>
            <w:r w:rsidRPr="006C6C3C">
              <w:t>HACCP plan</w:t>
            </w:r>
          </w:p>
          <w:p w:rsidR="00000000" w:rsidP="006C6C3C">
            <w:pPr>
              <w:pStyle w:val="ListBullet"/>
              <w:rPr>
                <w:lang w:val="en-NZ"/>
              </w:rPr>
            </w:pPr>
            <w:r w:rsidRPr="006C6C3C">
              <w:t>relevant protective clothing and equipment.</w:t>
            </w:r>
          </w:p>
        </w:tc>
      </w:tr>
      <w:tr w:rsidTr="00292F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r w:rsidRPr="006C6C3C">
              <w:t xml:space="preserve">The following assessment methods are suggested: </w:t>
            </w:r>
          </w:p>
          <w:p w:rsidR="00000000" w:rsidRPr="006C6C3C" w:rsidP="006C6C3C">
            <w:pPr>
              <w:pStyle w:val="ListBullet"/>
            </w:pPr>
            <w:r w:rsidRPr="006C6C3C">
              <w:t>demonstration</w:t>
            </w:r>
          </w:p>
          <w:p w:rsidR="00000000" w:rsidRPr="006C6C3C" w:rsidP="006C6C3C">
            <w:pPr>
              <w:pStyle w:val="ListBullet"/>
            </w:pPr>
            <w:r w:rsidRPr="006C6C3C">
              <w:t>workplace documentation</w:t>
            </w:r>
          </w:p>
          <w:p w:rsidR="00000000" w:rsidP="006C6C3C">
            <w:pPr>
              <w:pStyle w:val="ListBullet"/>
              <w:rPr>
                <w:lang w:val="en-NZ"/>
              </w:rPr>
            </w:pPr>
            <w:r w:rsidRPr="006C6C3C">
              <w:t>written or oral questions.</w:t>
            </w:r>
          </w:p>
        </w:tc>
      </w:tr>
      <w:tr w:rsidTr="00292F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r w:rsidRPr="006C6C3C">
              <w:t>This unit may be assessed holistically with other seafood processing units within a qualification.</w:t>
            </w:r>
          </w:p>
        </w:tc>
      </w:tr>
    </w:tbl>
    <w:p w:rsidR="00292FA2" w:rsidP="006C6C3C">
      <w:pPr>
        <w:pStyle w:val="BodyText"/>
      </w:pPr>
    </w:p>
    <w:p w:rsidR="00292FA2" w:rsidP="006C6C3C">
      <w:pPr>
        <w:pStyle w:val="BodyText"/>
      </w:pPr>
    </w:p>
    <w:p w:rsidR="00000000" w:rsidRPr="006C6C3C" w:rsidP="006C6C3C">
      <w:pPr>
        <w:pStyle w:val="Heading1"/>
      </w:pPr>
      <w:bookmarkStart w:id="11" w:name="O_253975"/>
      <w:bookmarkEnd w:id="11"/>
      <w:r w:rsidRPr="006C6C3C">
        <w:t>Range Statement</w:t>
      </w:r>
    </w:p>
    <w:tbl>
      <w:tblPr>
        <w:tblW w:w="0" w:type="auto"/>
        <w:tblLayout w:type="fixed"/>
        <w:tblCellMar>
          <w:left w:w="62" w:type="dxa"/>
          <w:right w:w="62" w:type="dxa"/>
        </w:tblCellMar>
        <w:tblLook w:val="0000"/>
      </w:tblPr>
      <w:tblGrid>
        <w:gridCol w:w="3466"/>
        <w:gridCol w:w="5056"/>
      </w:tblGrid>
      <w:tr w:rsidTr="00292F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RANGE STATEMENT</w:t>
            </w:r>
          </w:p>
        </w:tc>
      </w:tr>
      <w:tr w:rsidTr="00292F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t>The range statement relates to the unit of competency as a whole. It allows for different work environments and situations that may affect performance. Bold italicised wording, if used in the performance c</w:t>
            </w:r>
            <w:r w:rsidRPr="006C6C3C">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292FA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BoldandItalics"/>
              </w:rPr>
              <w:t>Relevant government regulations</w:t>
            </w:r>
            <w:r w:rsidRPr="006C6C3C">
              <w:t xml:space="preserve">, </w:t>
            </w:r>
            <w:r w:rsidRPr="006C6C3C">
              <w:rPr>
                <w:rStyle w:val="BoldandItalics"/>
              </w:rPr>
              <w:t>licensing and other compliance requirements</w:t>
            </w:r>
            <w:r w:rsidRPr="006C6C3C">
              <w:t xml:space="preserve"> may include: </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Bullet"/>
            </w:pPr>
            <w:r w:rsidRPr="006C6C3C">
              <w:t>ecologically sustainable development (ESD) principles, environmental hazard identification, risk assessment and control</w:t>
            </w:r>
          </w:p>
          <w:p w:rsidR="00000000" w:rsidRPr="006C6C3C" w:rsidP="006C6C3C">
            <w:pPr>
              <w:pStyle w:val="ListBullet"/>
            </w:pPr>
            <w:r w:rsidRPr="006C6C3C">
              <w:t>food safety, HACCP, hygiene and temperature control along chain of custody</w:t>
            </w:r>
          </w:p>
          <w:p w:rsidR="00000000" w:rsidRPr="006C6C3C" w:rsidP="006C6C3C">
            <w:pPr>
              <w:pStyle w:val="ListBullet"/>
            </w:pPr>
            <w:r w:rsidRPr="006C6C3C">
              <w:t>imports quarantine and inspection, and importing approved arrangements for Australian Quarantine Inspection Service (AQIS), Australian Customs Service (ACS) and Biosecurity Australi</w:t>
            </w:r>
            <w:r w:rsidRPr="006C6C3C">
              <w:t>a (BA)</w:t>
            </w:r>
          </w:p>
          <w:p w:rsidR="00000000" w:rsidRPr="006C6C3C" w:rsidP="006C6C3C">
            <w:pPr>
              <w:pStyle w:val="ListBullet"/>
            </w:pPr>
            <w:r w:rsidRPr="006C6C3C">
              <w:t>business or workplace operations, policies and practices:</w:t>
            </w:r>
          </w:p>
          <w:p w:rsidR="00000000" w:rsidRPr="006C6C3C" w:rsidP="006C6C3C">
            <w:pPr>
              <w:pStyle w:val="ListBullet2"/>
            </w:pPr>
            <w:r w:rsidRPr="006C6C3C">
              <w:t xml:space="preserve">commercial law, including fair trading and trade practices </w:t>
            </w:r>
          </w:p>
          <w:p w:rsidR="00000000" w:rsidRPr="006C6C3C" w:rsidP="006C6C3C">
            <w:pPr>
              <w:pStyle w:val="ListBullet2"/>
            </w:pPr>
            <w:r w:rsidRPr="006C6C3C">
              <w:t>consumer law</w:t>
            </w:r>
          </w:p>
          <w:p w:rsidR="00000000" w:rsidRPr="006C6C3C" w:rsidP="006C6C3C">
            <w:pPr>
              <w:pStyle w:val="ListBullet2"/>
            </w:pPr>
            <w:r w:rsidRPr="006C6C3C">
              <w:t xml:space="preserve">corporate law, including registration, licensing and financial reporting </w:t>
            </w:r>
          </w:p>
          <w:p w:rsidR="00000000" w:rsidRPr="006C6C3C" w:rsidP="006C6C3C">
            <w:pPr>
              <w:pStyle w:val="ListBullet2"/>
            </w:pPr>
            <w:r w:rsidRPr="006C6C3C">
              <w:t>disability policies and practices</w:t>
            </w:r>
          </w:p>
          <w:p w:rsidR="00000000" w:rsidRPr="006C6C3C" w:rsidP="006C6C3C">
            <w:pPr>
              <w:pStyle w:val="ListBullet2"/>
            </w:pPr>
            <w:r w:rsidRPr="006C6C3C">
              <w:t>equal opp</w:t>
            </w:r>
            <w:r w:rsidRPr="006C6C3C">
              <w:t xml:space="preserve">ortunity, anti-discrimination and sexual harassment </w:t>
            </w:r>
          </w:p>
          <w:p w:rsidR="00000000" w:rsidRPr="006C6C3C" w:rsidP="006C6C3C">
            <w:pPr>
              <w:pStyle w:val="ListBullet2"/>
            </w:pPr>
            <w:r w:rsidRPr="006C6C3C">
              <w:t>industrial relations and awards, individual employment contracts and share of catch agreements</w:t>
            </w:r>
          </w:p>
          <w:p w:rsidR="00000000" w:rsidRPr="006C6C3C" w:rsidP="006C6C3C">
            <w:pPr>
              <w:pStyle w:val="ListBullet2"/>
            </w:pPr>
            <w:r w:rsidRPr="006C6C3C">
              <w:t>jurisdictional variations</w:t>
            </w:r>
          </w:p>
          <w:p w:rsidR="00000000" w:rsidRPr="006C6C3C" w:rsidP="006C6C3C">
            <w:pPr>
              <w:pStyle w:val="ListBullet2"/>
            </w:pPr>
            <w:r w:rsidRPr="006C6C3C">
              <w:t>superannuation</w:t>
            </w:r>
          </w:p>
          <w:p w:rsidR="00000000" w:rsidRPr="006C6C3C" w:rsidP="006C6C3C">
            <w:pPr>
              <w:pStyle w:val="ListBullet2"/>
            </w:pPr>
            <w:r w:rsidRPr="006C6C3C">
              <w:t>taxation</w:t>
            </w:r>
          </w:p>
          <w:p w:rsidR="00000000" w:rsidRPr="006C6C3C" w:rsidP="006C6C3C">
            <w:pPr>
              <w:pStyle w:val="ListBullet2"/>
            </w:pPr>
            <w:r w:rsidRPr="006C6C3C">
              <w:t xml:space="preserve">trade practices </w:t>
            </w:r>
          </w:p>
          <w:p w:rsidR="00000000" w:rsidRPr="006C6C3C" w:rsidP="006C6C3C">
            <w:pPr>
              <w:pStyle w:val="ListBullet2"/>
            </w:pPr>
            <w:r w:rsidRPr="006C6C3C">
              <w:t>warnings and dismissals</w:t>
            </w:r>
          </w:p>
          <w:p w:rsidR="00000000" w:rsidRPr="006C6C3C" w:rsidP="006C6C3C">
            <w:pPr>
              <w:pStyle w:val="ListBullet2"/>
            </w:pPr>
            <w:r w:rsidRPr="006C6C3C">
              <w:t>worker's compensation</w:t>
            </w:r>
          </w:p>
          <w:p w:rsidR="00000000" w:rsidRPr="006C6C3C" w:rsidP="006C6C3C">
            <w:pPr>
              <w:pStyle w:val="ListBullet"/>
            </w:pPr>
            <w:r w:rsidRPr="006C6C3C">
              <w:t>occupational health and safety (OHS) hazard identification, risk assessment and control</w:t>
            </w:r>
          </w:p>
          <w:p w:rsidR="00000000" w:rsidRPr="006C6C3C" w:rsidP="006C6C3C">
            <w:pPr>
              <w:pStyle w:val="ListBullet"/>
            </w:pPr>
            <w:r w:rsidRPr="006C6C3C">
              <w:t>product quality assurance:</w:t>
            </w:r>
          </w:p>
          <w:p w:rsidR="00000000" w:rsidRPr="006C6C3C" w:rsidP="006C6C3C">
            <w:pPr>
              <w:pStyle w:val="ListBullet2"/>
            </w:pPr>
            <w:r w:rsidRPr="006C6C3C">
              <w:t>correct naming and labelling (e.g. country of origin, Australian Fish Names Standard and eco-labelling)</w:t>
            </w:r>
          </w:p>
          <w:p w:rsidR="00000000" w:rsidRPr="006C6C3C" w:rsidP="006C6C3C">
            <w:pPr>
              <w:pStyle w:val="ListBullet2"/>
            </w:pPr>
            <w:r w:rsidRPr="006C6C3C">
              <w:t>correct quant</w:t>
            </w:r>
            <w:r w:rsidRPr="006C6C3C">
              <w:t>ities, sizes, other customer requirements</w:t>
            </w:r>
          </w:p>
          <w:p w:rsidR="00000000" w:rsidP="006C6C3C">
            <w:pPr>
              <w:pStyle w:val="ListBullet2"/>
              <w:rPr>
                <w:lang w:val="en-NZ"/>
              </w:rPr>
            </w:pPr>
            <w:r w:rsidRPr="006C6C3C">
              <w:t>third-party certification (e.g. Australian Grown and ISO 14001:2004 Environmental management systems.</w:t>
            </w:r>
          </w:p>
        </w:tc>
      </w:tr>
      <w:tr w:rsidTr="00292FA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BoldandItalics"/>
              </w:rPr>
              <w:t>Food safety and hygiene regulations and procedures</w:t>
            </w:r>
            <w:r w:rsidRPr="006C6C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Bullet"/>
            </w:pPr>
            <w:r w:rsidRPr="006C6C3C">
              <w:t>Australian Shellfish Sanitation program</w:t>
            </w:r>
          </w:p>
          <w:p w:rsidR="00000000" w:rsidRPr="006C6C3C" w:rsidP="006C6C3C">
            <w:pPr>
              <w:pStyle w:val="ListBullet"/>
            </w:pPr>
            <w:r w:rsidRPr="006C6C3C">
              <w:t>display, packaging and sale of food, including seafood and aquatic products</w:t>
            </w:r>
          </w:p>
          <w:p w:rsidR="00000000" w:rsidRPr="006C6C3C" w:rsidP="006C6C3C">
            <w:pPr>
              <w:pStyle w:val="ListBullet"/>
            </w:pPr>
            <w:r w:rsidRPr="006C6C3C">
              <w:t xml:space="preserve">equipment design, use, cleaning and maintenance </w:t>
            </w:r>
          </w:p>
          <w:p w:rsidR="00000000" w:rsidRPr="006C6C3C" w:rsidP="006C6C3C">
            <w:pPr>
              <w:pStyle w:val="ListBullet"/>
            </w:pPr>
            <w:r w:rsidRPr="006C6C3C">
              <w:t>exporting requirements, including AQIS Export Control (Fish) orders</w:t>
            </w:r>
          </w:p>
          <w:p w:rsidR="00000000" w:rsidRPr="006C6C3C" w:rsidP="006C6C3C">
            <w:pPr>
              <w:pStyle w:val="ListBullet"/>
            </w:pPr>
            <w:r w:rsidRPr="006C6C3C">
              <w:t>handling and disposal of condemned or recalled seafood products</w:t>
            </w:r>
          </w:p>
          <w:p w:rsidR="00000000" w:rsidRPr="006C6C3C" w:rsidP="006C6C3C">
            <w:pPr>
              <w:pStyle w:val="ListBullet"/>
            </w:pPr>
            <w:r w:rsidRPr="006C6C3C">
              <w:t>HACCP, food safety program, and other risk minimisation and quality assurance systems</w:t>
            </w:r>
          </w:p>
          <w:p w:rsidR="00000000" w:rsidRPr="006C6C3C" w:rsidP="006C6C3C">
            <w:pPr>
              <w:pStyle w:val="ListBullet"/>
            </w:pPr>
            <w:r w:rsidRPr="006C6C3C">
              <w:t xml:space="preserve">location, construction and servicing of seafood premises </w:t>
            </w:r>
          </w:p>
          <w:p w:rsidR="00000000" w:rsidRPr="006C6C3C" w:rsidP="006C6C3C">
            <w:pPr>
              <w:pStyle w:val="ListBullet"/>
            </w:pPr>
            <w:r w:rsidRPr="006C6C3C">
              <w:t>people, product and place hygiene and sanitation requirements</w:t>
            </w:r>
          </w:p>
          <w:p w:rsidR="00000000" w:rsidRPr="006C6C3C" w:rsidP="006C6C3C">
            <w:pPr>
              <w:pStyle w:val="ListBullet"/>
            </w:pPr>
            <w:r w:rsidRPr="006C6C3C">
              <w:t>Primary Products Standard and the Australian Seaf</w:t>
            </w:r>
            <w:r w:rsidRPr="006C6C3C">
              <w:t xml:space="preserve">ood Standard (voluntary) </w:t>
            </w:r>
          </w:p>
          <w:p w:rsidR="00000000" w:rsidRPr="006C6C3C" w:rsidP="006C6C3C">
            <w:pPr>
              <w:pStyle w:val="ListBullet"/>
            </w:pPr>
            <w:r w:rsidRPr="006C6C3C">
              <w:t xml:space="preserve">processing, further processing and preparation of food, including seafood and aquatic products </w:t>
            </w:r>
          </w:p>
          <w:p w:rsidR="00000000" w:rsidRPr="006C6C3C" w:rsidP="006C6C3C">
            <w:pPr>
              <w:pStyle w:val="ListBullet"/>
            </w:pPr>
            <w:r w:rsidRPr="006C6C3C">
              <w:t>product labelling, tracing and recall</w:t>
            </w:r>
          </w:p>
          <w:p w:rsidR="00000000" w:rsidRPr="006C6C3C" w:rsidP="006C6C3C">
            <w:pPr>
              <w:pStyle w:val="ListBullet"/>
            </w:pPr>
            <w:r w:rsidRPr="006C6C3C">
              <w:t>receipt, storage and transportation of food, including seafood and aquatic products</w:t>
            </w:r>
          </w:p>
          <w:p w:rsidR="00000000" w:rsidRPr="006C6C3C" w:rsidP="006C6C3C">
            <w:pPr>
              <w:pStyle w:val="ListBullet"/>
            </w:pPr>
            <w:r w:rsidRPr="006C6C3C">
              <w:t>requirements</w:t>
            </w:r>
            <w:r w:rsidRPr="006C6C3C">
              <w:t xml:space="preserve"> set out in Australian and New Zealand Food Authority (ANZFA) Food Standards Code and state and territory food regulations</w:t>
            </w:r>
          </w:p>
          <w:p w:rsidR="00000000" w:rsidP="006C6C3C">
            <w:pPr>
              <w:pStyle w:val="ListBullet"/>
              <w:rPr>
                <w:lang w:val="en-NZ"/>
              </w:rPr>
            </w:pPr>
            <w:r w:rsidRPr="006C6C3C">
              <w:t>temperature and contamination control along chain of custody.</w:t>
            </w:r>
          </w:p>
        </w:tc>
      </w:tr>
      <w:tr w:rsidTr="00292FA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BoldandItalics"/>
              </w:rPr>
              <w:t>Food safety program</w:t>
            </w:r>
            <w:r w:rsidRPr="006C6C3C">
              <w:t>:</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Bullet"/>
            </w:pPr>
            <w:r w:rsidRPr="006C6C3C">
              <w:t>systematically identifies the food safety hazards that may be reasonably expected to occur in all food handling and storage operations of the food business. The food safety program will comply with relevant national, state, territory and industry legislati</w:t>
            </w:r>
            <w:r w:rsidRPr="006C6C3C">
              <w:t>on and regulations.</w:t>
            </w:r>
          </w:p>
          <w:p w:rsidR="00000000" w:rsidP="006C6C3C">
            <w:pPr>
              <w:pStyle w:val="BodyText"/>
              <w:rPr>
                <w:lang w:val="en-NZ"/>
              </w:rPr>
            </w:pPr>
            <w:r w:rsidRPr="006C6C3C">
              <w:t>For the purpose of applying this competency standard in circumstances where formal food safety programs are not legal requirements, the term can be understood to cover the same detail as would be covered by a food safety program.</w:t>
            </w:r>
          </w:p>
        </w:tc>
      </w:tr>
      <w:tr w:rsidTr="00292FA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BoldandItalics"/>
              </w:rPr>
              <w:t>Own w</w:t>
            </w:r>
            <w:r w:rsidRPr="006C6C3C">
              <w:rPr>
                <w:rStyle w:val="BoldandItalics"/>
              </w:rPr>
              <w:t>ork responsibilities</w:t>
            </w:r>
            <w:r w:rsidRPr="006C6C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Bullet"/>
            </w:pPr>
            <w:r w:rsidRPr="006C6C3C">
              <w:t xml:space="preserve">cleaning and storing equipment and utensils </w:t>
            </w:r>
          </w:p>
          <w:p w:rsidR="00000000" w:rsidRPr="006C6C3C" w:rsidP="006C6C3C">
            <w:pPr>
              <w:pStyle w:val="ListBullet"/>
            </w:pPr>
            <w:r w:rsidRPr="006C6C3C">
              <w:t>handling and storage of products and materials, such as:</w:t>
            </w:r>
          </w:p>
          <w:p w:rsidR="00000000" w:rsidRPr="006C6C3C" w:rsidP="006C6C3C">
            <w:pPr>
              <w:pStyle w:val="ListBullet2"/>
            </w:pPr>
            <w:r w:rsidRPr="006C6C3C">
              <w:t>consumables</w:t>
            </w:r>
          </w:p>
          <w:p w:rsidR="00000000" w:rsidRPr="006C6C3C" w:rsidP="006C6C3C">
            <w:pPr>
              <w:pStyle w:val="ListBullet2"/>
            </w:pPr>
            <w:r w:rsidRPr="006C6C3C">
              <w:t>finished product</w:t>
            </w:r>
          </w:p>
          <w:p w:rsidR="00000000" w:rsidRPr="006C6C3C" w:rsidP="006C6C3C">
            <w:pPr>
              <w:pStyle w:val="ListBullet2"/>
            </w:pPr>
            <w:r w:rsidRPr="006C6C3C">
              <w:t>ingredients</w:t>
            </w:r>
          </w:p>
          <w:p w:rsidR="00000000" w:rsidRPr="006C6C3C" w:rsidP="006C6C3C">
            <w:pPr>
              <w:pStyle w:val="ListBullet2"/>
            </w:pPr>
            <w:r w:rsidRPr="006C6C3C">
              <w:t>part-processed product</w:t>
            </w:r>
          </w:p>
          <w:p w:rsidR="00000000" w:rsidRPr="006C6C3C" w:rsidP="006C6C3C">
            <w:pPr>
              <w:pStyle w:val="ListBullet2"/>
            </w:pPr>
            <w:r w:rsidRPr="006C6C3C">
              <w:t>raw materials</w:t>
            </w:r>
          </w:p>
          <w:p w:rsidR="00000000" w:rsidRPr="006C6C3C" w:rsidP="006C6C3C">
            <w:pPr>
              <w:pStyle w:val="ListBullet"/>
            </w:pPr>
            <w:r w:rsidRPr="006C6C3C">
              <w:t>seafood handling, such as:</w:t>
            </w:r>
          </w:p>
          <w:p w:rsidR="00000000" w:rsidRPr="006C6C3C" w:rsidP="006C6C3C">
            <w:pPr>
              <w:pStyle w:val="ListBullet2"/>
            </w:pPr>
            <w:r w:rsidRPr="006C6C3C">
              <w:t xml:space="preserve">basic handling and inspection </w:t>
            </w:r>
          </w:p>
          <w:p w:rsidR="00000000" w:rsidRPr="006C6C3C" w:rsidP="006C6C3C">
            <w:pPr>
              <w:pStyle w:val="ListBullet2"/>
            </w:pPr>
            <w:r w:rsidRPr="006C6C3C">
              <w:t>display, packaging and storage</w:t>
            </w:r>
          </w:p>
          <w:p w:rsidR="00000000" w:rsidRPr="006C6C3C" w:rsidP="006C6C3C">
            <w:pPr>
              <w:pStyle w:val="ListBullet2"/>
            </w:pPr>
            <w:r w:rsidRPr="006C6C3C">
              <w:t>preparation, cooking and cooling</w:t>
            </w:r>
          </w:p>
          <w:p w:rsidR="00000000" w:rsidRPr="006C6C3C" w:rsidP="006C6C3C">
            <w:pPr>
              <w:pStyle w:val="ListBullet2"/>
            </w:pPr>
            <w:r w:rsidRPr="006C6C3C">
              <w:t>processing</w:t>
            </w:r>
          </w:p>
          <w:p w:rsidR="00000000" w:rsidP="006C6C3C">
            <w:pPr>
              <w:pStyle w:val="ListBullet2"/>
              <w:rPr>
                <w:lang w:val="en-NZ"/>
              </w:rPr>
            </w:pPr>
            <w:r w:rsidRPr="006C6C3C">
              <w:t>transportation of seafood.</w:t>
            </w:r>
          </w:p>
        </w:tc>
      </w:tr>
      <w:tr w:rsidTr="00292FA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BoldandItalics"/>
              </w:rPr>
              <w:t>Own work practices</w:t>
            </w:r>
            <w:r w:rsidRPr="006C6C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Bullet"/>
            </w:pPr>
            <w:r w:rsidRPr="006C6C3C">
              <w:t>personal hygiene requirements as specified in the food safety program</w:t>
            </w:r>
          </w:p>
          <w:p w:rsidR="00000000" w:rsidRPr="006C6C3C" w:rsidP="006C6C3C">
            <w:pPr>
              <w:pStyle w:val="ListBullet"/>
            </w:pPr>
            <w:r w:rsidRPr="006C6C3C">
              <w:t>wearing clothi</w:t>
            </w:r>
            <w:r w:rsidRPr="006C6C3C">
              <w:t>ng designed to ensure that the body and clothing itself does not contaminate food or surfaces likely to come into contact with food, such as:</w:t>
            </w:r>
          </w:p>
          <w:p w:rsidR="00000000" w:rsidRPr="006C6C3C" w:rsidP="006C6C3C">
            <w:pPr>
              <w:pStyle w:val="ListBullet2"/>
            </w:pPr>
            <w:r w:rsidRPr="006C6C3C">
              <w:t>hair nets and beard nets</w:t>
            </w:r>
          </w:p>
          <w:p w:rsidR="00000000" w:rsidP="006C6C3C">
            <w:pPr>
              <w:pStyle w:val="ListBullet2"/>
              <w:rPr>
                <w:lang w:val="en-NZ"/>
              </w:rPr>
            </w:pPr>
            <w:r w:rsidRPr="006C6C3C">
              <w:t>overalls and gloves.</w:t>
            </w:r>
          </w:p>
        </w:tc>
      </w:tr>
      <w:tr w:rsidTr="00292FA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BoldandItalics"/>
              </w:rPr>
              <w:t>Personnel are supported</w:t>
            </w:r>
            <w:r w:rsidRPr="006C6C3C">
              <w:t xml:space="preserve"> by:</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Bullet"/>
            </w:pPr>
            <w:r w:rsidRPr="006C6C3C">
              <w:t>individual coaching</w:t>
            </w:r>
          </w:p>
          <w:p w:rsidR="00000000" w:rsidRPr="006C6C3C" w:rsidP="006C6C3C">
            <w:pPr>
              <w:pStyle w:val="ListBullet"/>
            </w:pPr>
            <w:r w:rsidRPr="006C6C3C">
              <w:t>on-the-job and off-the-job training</w:t>
            </w:r>
          </w:p>
          <w:p w:rsidR="00000000" w:rsidRPr="006C6C3C" w:rsidP="006C6C3C">
            <w:pPr>
              <w:pStyle w:val="ListBullet"/>
            </w:pPr>
            <w:r w:rsidRPr="006C6C3C">
              <w:t>performance feedback</w:t>
            </w:r>
          </w:p>
          <w:p w:rsidR="00000000" w:rsidRPr="006C6C3C" w:rsidP="006C6C3C">
            <w:pPr>
              <w:pStyle w:val="ListBullet"/>
            </w:pPr>
            <w:r w:rsidRPr="006C6C3C">
              <w:t>wall charts and diagrams</w:t>
            </w:r>
          </w:p>
          <w:p w:rsidR="00000000" w:rsidRPr="006C6C3C" w:rsidP="006C6C3C">
            <w:pPr>
              <w:pStyle w:val="ListBullet"/>
            </w:pPr>
            <w:r w:rsidRPr="006C6C3C">
              <w:t>work team meetings and discussions</w:t>
            </w:r>
          </w:p>
          <w:p w:rsidR="00000000" w:rsidP="006C6C3C">
            <w:pPr>
              <w:pStyle w:val="ListBullet"/>
              <w:rPr>
                <w:lang w:val="en-NZ"/>
              </w:rPr>
            </w:pPr>
            <w:r w:rsidRPr="006C6C3C">
              <w:t>written information sheets.</w:t>
            </w:r>
          </w:p>
        </w:tc>
      </w:tr>
      <w:tr w:rsidTr="00292FA2">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BoldandItalics"/>
              </w:rPr>
              <w:t>Food handling activities</w:t>
            </w:r>
            <w:r w:rsidRPr="006C6C3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ListBullet"/>
            </w:pPr>
            <w:r w:rsidRPr="006C6C3C">
              <w:t>handling and storing products/materials, such as:</w:t>
            </w:r>
          </w:p>
          <w:p w:rsidR="00000000" w:rsidRPr="006C6C3C" w:rsidP="006C6C3C">
            <w:pPr>
              <w:pStyle w:val="ListBullet2"/>
            </w:pPr>
            <w:r w:rsidRPr="006C6C3C">
              <w:t>cleaning materials</w:t>
            </w:r>
          </w:p>
          <w:p w:rsidR="00000000" w:rsidRPr="006C6C3C" w:rsidP="006C6C3C">
            <w:pPr>
              <w:pStyle w:val="ListBullet2"/>
            </w:pPr>
            <w:r w:rsidRPr="006C6C3C">
              <w:t xml:space="preserve">consumables </w:t>
            </w:r>
          </w:p>
          <w:p w:rsidR="00000000" w:rsidRPr="006C6C3C" w:rsidP="006C6C3C">
            <w:pPr>
              <w:pStyle w:val="ListBullet2"/>
            </w:pPr>
            <w:r w:rsidRPr="006C6C3C">
              <w:t>finished product</w:t>
            </w:r>
          </w:p>
          <w:p w:rsidR="00000000" w:rsidRPr="006C6C3C" w:rsidP="006C6C3C">
            <w:pPr>
              <w:pStyle w:val="ListBullet2"/>
            </w:pPr>
            <w:r w:rsidRPr="006C6C3C">
              <w:t>ingredients</w:t>
            </w:r>
          </w:p>
          <w:p w:rsidR="00000000" w:rsidRPr="006C6C3C" w:rsidP="006C6C3C">
            <w:pPr>
              <w:pStyle w:val="ListBullet2"/>
            </w:pPr>
            <w:r w:rsidRPr="006C6C3C">
              <w:t>part-processed product</w:t>
            </w:r>
          </w:p>
          <w:p w:rsidR="00000000" w:rsidRPr="006C6C3C" w:rsidP="006C6C3C">
            <w:pPr>
              <w:pStyle w:val="ListBullet2"/>
            </w:pPr>
            <w:r w:rsidRPr="006C6C3C">
              <w:t>raw materials.</w:t>
            </w:r>
          </w:p>
        </w:tc>
      </w:tr>
    </w:tbl>
    <w:p w:rsidR="00292FA2" w:rsidP="006C6C3C">
      <w:pPr>
        <w:pStyle w:val="BodyText"/>
      </w:pPr>
    </w:p>
    <w:p w:rsidR="00292FA2" w:rsidP="006C6C3C">
      <w:pPr>
        <w:pStyle w:val="BodyText"/>
      </w:pPr>
    </w:p>
    <w:p w:rsidR="00000000" w:rsidRPr="006C6C3C" w:rsidP="006C6C3C">
      <w:pPr>
        <w:pStyle w:val="Heading1"/>
      </w:pPr>
      <w:bookmarkStart w:id="12" w:name="O_218555"/>
      <w:bookmarkEnd w:id="12"/>
      <w:r w:rsidRPr="006C6C3C">
        <w:t>Unit Sector(s)</w:t>
      </w:r>
    </w:p>
    <w:tbl>
      <w:tblPr>
        <w:tblW w:w="0" w:type="auto"/>
        <w:tblLayout w:type="fixed"/>
        <w:tblCellMar>
          <w:left w:w="62" w:type="dxa"/>
          <w:right w:w="62" w:type="dxa"/>
        </w:tblCellMar>
        <w:tblLook w:val="0000"/>
      </w:tblPr>
      <w:tblGrid>
        <w:gridCol w:w="2616"/>
        <w:gridCol w:w="5906"/>
      </w:tblGrid>
      <w:tr w:rsidTr="00292FA2">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r w:rsidRPr="006C6C3C">
              <w:t>Seafood processing</w:t>
            </w:r>
          </w:p>
        </w:tc>
      </w:tr>
    </w:tbl>
    <w:p w:rsidR="00292FA2" w:rsidP="006C6C3C">
      <w:pPr>
        <w:pStyle w:val="BodyText"/>
      </w:pPr>
    </w:p>
    <w:p w:rsidR="00292FA2" w:rsidP="006C6C3C">
      <w:pPr>
        <w:pStyle w:val="BodyText"/>
      </w:pPr>
    </w:p>
    <w:p w:rsidR="00000000" w:rsidRPr="006C6C3C" w:rsidP="006C6C3C">
      <w:pPr>
        <w:pStyle w:val="Heading1"/>
      </w:pPr>
      <w:bookmarkStart w:id="13" w:name="O_218552"/>
      <w:bookmarkEnd w:id="13"/>
      <w:r w:rsidRPr="006C6C3C">
        <w:t>Co-requisite units</w:t>
      </w:r>
    </w:p>
    <w:tbl>
      <w:tblPr>
        <w:tblW w:w="0" w:type="auto"/>
        <w:tblLayout w:type="fixed"/>
        <w:tblCellMar>
          <w:left w:w="62" w:type="dxa"/>
          <w:right w:w="62" w:type="dxa"/>
        </w:tblCellMar>
        <w:tblLook w:val="0000"/>
      </w:tblPr>
      <w:tblGrid>
        <w:gridCol w:w="2641"/>
        <w:gridCol w:w="1322"/>
        <w:gridCol w:w="4559"/>
      </w:tblGrid>
      <w:tr w:rsidTr="00292F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p>
        </w:tc>
      </w:tr>
      <w:tr w:rsidTr="00292F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p>
        </w:tc>
      </w:tr>
      <w:tr w:rsidTr="00292F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p>
        </w:tc>
      </w:tr>
    </w:tbl>
    <w:p w:rsidR="00292FA2" w:rsidP="006C6C3C">
      <w:pPr>
        <w:pStyle w:val="BodyText"/>
      </w:pPr>
    </w:p>
    <w:p w:rsidR="00292FA2" w:rsidP="006C6C3C">
      <w:pPr>
        <w:pStyle w:val="BodyText"/>
      </w:pPr>
    </w:p>
    <w:p w:rsidR="00000000" w:rsidRPr="006C6C3C" w:rsidP="006C6C3C">
      <w:pPr>
        <w:pStyle w:val="Heading1"/>
      </w:pPr>
      <w:bookmarkStart w:id="14" w:name="O_218554"/>
      <w:bookmarkEnd w:id="14"/>
      <w:r w:rsidRPr="006C6C3C">
        <w:t>Competency field</w:t>
      </w:r>
    </w:p>
    <w:tbl>
      <w:tblPr>
        <w:tblW w:w="0" w:type="auto"/>
        <w:tblLayout w:type="fixed"/>
        <w:tblCellMar>
          <w:left w:w="62" w:type="dxa"/>
          <w:right w:w="62" w:type="dxa"/>
        </w:tblCellMar>
        <w:tblLook w:val="0000"/>
      </w:tblPr>
      <w:tblGrid>
        <w:gridCol w:w="2784"/>
        <w:gridCol w:w="5738"/>
      </w:tblGrid>
      <w:tr w:rsidTr="00292FA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C3C">
            <w:pPr>
              <w:pStyle w:val="BodyText"/>
              <w:rPr>
                <w:lang w:val="en-NZ"/>
              </w:rPr>
            </w:pPr>
            <w:r w:rsidRPr="006C6C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C3C" w:rsidP="006C6C3C">
            <w:pPr>
              <w:pStyle w:val="BodyText"/>
            </w:pPr>
          </w:p>
        </w:tc>
      </w:tr>
    </w:tbl>
    <w:p w:rsidR="00292FA2" w:rsidP="006C6C3C">
      <w:pPr>
        <w:pStyle w:val="BodyText"/>
      </w:pPr>
    </w:p>
    <w:p w:rsidR="00292FA2" w:rsidP="006C6C3C">
      <w:pPr>
        <w:pStyle w:val="BodyText"/>
      </w:pPr>
    </w:p>
    <w:p w:rsidR="00000000" w:rsidRPr="006C6C3C" w:rsidP="006C6C3C"/>
    <w:sectPr w:rsidSect="006C6C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FA2" w:rsidP="00292F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A2" w:rsidP="006C6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92FA2" w:rsidP="006C6C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2FA2" w:rsidP="006C6C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FA2" w:rsidP="00292F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FA2" w:rsidP="006C6C3C">
    <w:pPr>
      <w:pStyle w:val="Header"/>
      <w:framePr w:wrap="around"/>
    </w:pPr>
    <w:r>
      <w:fldChar w:fldCharType="begin"/>
    </w:r>
    <w:r>
      <w:instrText xml:space="preserve"> TITLE   \* MERGEFORMAT </w:instrText>
    </w:r>
    <w:r>
      <w:fldChar w:fldCharType="separate"/>
    </w:r>
    <w:r>
      <w:t>SFIPROC403C Follow basic food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2FA2" w:rsidP="006C6C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A6D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50C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F2E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C3C"/>
    <w:pPr>
      <w:spacing w:before="360" w:after="60"/>
      <w:outlineLvl w:val="0"/>
    </w:pPr>
    <w:rPr>
      <w:sz w:val="32"/>
    </w:rPr>
  </w:style>
  <w:style w:type="paragraph" w:styleId="Heading2">
    <w:name w:val="heading 2"/>
    <w:basedOn w:val="HeadingBase"/>
    <w:next w:val="BodyText"/>
    <w:link w:val="Heading2Char"/>
    <w:qFormat/>
    <w:rsid w:val="006C6C3C"/>
    <w:pPr>
      <w:keepLines/>
      <w:spacing w:before="240" w:after="120"/>
      <w:outlineLvl w:val="1"/>
    </w:pPr>
    <w:rPr>
      <w:sz w:val="28"/>
      <w:szCs w:val="40"/>
    </w:rPr>
  </w:style>
  <w:style w:type="paragraph" w:styleId="Heading3">
    <w:name w:val="heading 3"/>
    <w:basedOn w:val="HeadingBase"/>
    <w:next w:val="BodyText"/>
    <w:link w:val="Heading3Char"/>
    <w:qFormat/>
    <w:rsid w:val="006C6C3C"/>
    <w:pPr>
      <w:spacing w:before="180" w:after="120"/>
      <w:outlineLvl w:val="2"/>
    </w:pPr>
    <w:rPr>
      <w:spacing w:val="-10"/>
      <w:kern w:val="32"/>
    </w:rPr>
  </w:style>
  <w:style w:type="paragraph" w:styleId="Heading4">
    <w:name w:val="heading 4"/>
    <w:basedOn w:val="HeadingBase"/>
    <w:next w:val="BodyText"/>
    <w:link w:val="Heading4Char"/>
    <w:qFormat/>
    <w:rsid w:val="006C6C3C"/>
    <w:pPr>
      <w:spacing w:before="160" w:after="120"/>
      <w:outlineLvl w:val="3"/>
    </w:pPr>
    <w:rPr>
      <w:sz w:val="22"/>
    </w:rPr>
  </w:style>
  <w:style w:type="paragraph" w:styleId="Heading5">
    <w:name w:val="heading 5"/>
    <w:basedOn w:val="HeadingBase"/>
    <w:next w:val="Normal"/>
    <w:link w:val="Heading5Char"/>
    <w:qFormat/>
    <w:rsid w:val="006C6C3C"/>
    <w:pPr>
      <w:spacing w:before="80"/>
      <w:outlineLvl w:val="4"/>
    </w:pPr>
    <w:rPr>
      <w:color w:val="918585"/>
      <w:sz w:val="20"/>
    </w:rPr>
  </w:style>
  <w:style w:type="paragraph" w:styleId="Heading6">
    <w:name w:val="heading 6"/>
    <w:basedOn w:val="HeadingBase"/>
    <w:next w:val="Normal"/>
    <w:link w:val="Heading6Char"/>
    <w:qFormat/>
    <w:rsid w:val="006C6C3C"/>
    <w:pPr>
      <w:spacing w:before="60"/>
      <w:outlineLvl w:val="5"/>
    </w:pPr>
    <w:rPr>
      <w:color w:val="918585"/>
      <w:sz w:val="20"/>
    </w:rPr>
  </w:style>
  <w:style w:type="paragraph" w:styleId="Heading7">
    <w:name w:val="heading 7"/>
    <w:basedOn w:val="Normal"/>
    <w:next w:val="Normal"/>
    <w:link w:val="Heading7Char"/>
    <w:qFormat/>
    <w:rsid w:val="006C6C3C"/>
    <w:pPr>
      <w:ind w:left="720"/>
      <w:outlineLvl w:val="6"/>
    </w:pPr>
    <w:rPr>
      <w:i/>
    </w:rPr>
  </w:style>
  <w:style w:type="paragraph" w:styleId="Heading8">
    <w:name w:val="heading 8"/>
    <w:basedOn w:val="Normal"/>
    <w:next w:val="Normal"/>
    <w:link w:val="Heading8Char"/>
    <w:qFormat/>
    <w:rsid w:val="006C6C3C"/>
    <w:pPr>
      <w:ind w:left="720"/>
      <w:outlineLvl w:val="7"/>
    </w:pPr>
    <w:rPr>
      <w:i/>
    </w:rPr>
  </w:style>
  <w:style w:type="paragraph" w:styleId="Heading9">
    <w:name w:val="heading 9"/>
    <w:basedOn w:val="Normal"/>
    <w:next w:val="Normal"/>
    <w:link w:val="Heading9Char"/>
    <w:qFormat/>
    <w:rsid w:val="006C6C3C"/>
    <w:pPr>
      <w:ind w:left="720"/>
      <w:outlineLvl w:val="8"/>
    </w:pPr>
    <w:rPr>
      <w:i/>
    </w:rPr>
  </w:style>
  <w:style w:type="character" w:default="1" w:styleId="DefaultParagraphFont">
    <w:name w:val="Default Paragraph Font"/>
    <w:uiPriority w:val="1"/>
    <w:unhideWhenUsed/>
    <w:rsid w:val="006C6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C3C"/>
  </w:style>
  <w:style w:type="character" w:customStyle="1" w:styleId="Heading1Char">
    <w:name w:val="Heading 1 Char"/>
    <w:basedOn w:val="DefaultParagraphFont"/>
    <w:link w:val="Heading1"/>
    <w:rsid w:val="006C6C3C"/>
    <w:rPr>
      <w:rFonts w:ascii="Times New Roman" w:eastAsia="Times New Roman" w:hAnsi="Times New Roman" w:cs="Times New Roman"/>
      <w:b/>
      <w:sz w:val="32"/>
      <w:szCs w:val="20"/>
      <w:lang w:eastAsia="en-US"/>
    </w:rPr>
  </w:style>
  <w:style w:type="paragraph" w:styleId="BodyText">
    <w:name w:val="Body Text"/>
    <w:basedOn w:val="Normal"/>
    <w:link w:val="BodyTextChar"/>
    <w:rsid w:val="006C6C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6C3C"/>
    <w:rPr>
      <w:rFonts w:ascii="Times New Roman" w:eastAsia="Times New Roman" w:hAnsi="Times New Roman" w:cs="Times New Roman"/>
      <w:sz w:val="24"/>
      <w:lang w:val="en-US" w:eastAsia="en-US"/>
    </w:rPr>
  </w:style>
  <w:style w:type="paragraph" w:styleId="Footer">
    <w:name w:val="footer"/>
    <w:basedOn w:val="Normal"/>
    <w:link w:val="FooterChar"/>
    <w:rsid w:val="006C6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C3C"/>
    <w:rPr>
      <w:rFonts w:ascii="Times New Roman" w:eastAsia="Times New Roman" w:hAnsi="Times New Roman" w:cs="Times New Roman"/>
      <w:sz w:val="16"/>
      <w:lang w:val="en-US" w:eastAsia="en-US"/>
    </w:rPr>
  </w:style>
  <w:style w:type="paragraph" w:styleId="List">
    <w:name w:val="List"/>
    <w:basedOn w:val="BodyText"/>
    <w:next w:val="BodyText"/>
    <w:rsid w:val="006C6C3C"/>
    <w:pPr>
      <w:tabs>
        <w:tab w:val="left" w:pos="340"/>
      </w:tabs>
      <w:spacing w:before="60" w:after="60"/>
      <w:ind w:left="340" w:hanging="340"/>
    </w:pPr>
  </w:style>
  <w:style w:type="paragraph" w:styleId="ListBullet">
    <w:name w:val="List Bullet"/>
    <w:basedOn w:val="List"/>
    <w:rsid w:val="006C6C3C"/>
    <w:pPr>
      <w:numPr>
        <w:numId w:val="13"/>
      </w:numPr>
      <w:tabs>
        <w:tab w:val="clear" w:pos="340"/>
      </w:tabs>
      <w:spacing w:before="40" w:after="40"/>
    </w:pPr>
  </w:style>
  <w:style w:type="character" w:customStyle="1" w:styleId="SpecialBold">
    <w:name w:val="Special Bold"/>
    <w:basedOn w:val="DefaultParagraphFont"/>
    <w:rsid w:val="006C6C3C"/>
    <w:rPr>
      <w:b/>
      <w:spacing w:val="0"/>
    </w:rPr>
  </w:style>
  <w:style w:type="paragraph" w:styleId="ListBullet2">
    <w:name w:val="List Bullet 2"/>
    <w:basedOn w:val="List2"/>
    <w:rsid w:val="006C6C3C"/>
    <w:pPr>
      <w:numPr>
        <w:numId w:val="14"/>
      </w:numPr>
      <w:tabs>
        <w:tab w:val="clear" w:pos="680"/>
      </w:tabs>
    </w:pPr>
  </w:style>
  <w:style w:type="paragraph" w:styleId="Header">
    <w:name w:val="header"/>
    <w:basedOn w:val="Normal"/>
    <w:link w:val="HeaderChar"/>
    <w:rsid w:val="006C6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C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6C3C"/>
    <w:pPr>
      <w:spacing w:before="240" w:after="120"/>
      <w:outlineLvl w:val="0"/>
    </w:pPr>
    <w:rPr>
      <w:rFonts w:ascii="Times New Roman" w:hAnsi="Times New Roman"/>
      <w:b/>
      <w:sz w:val="28"/>
    </w:rPr>
  </w:style>
  <w:style w:type="paragraph" w:customStyle="1" w:styleId="AllowPageBreak">
    <w:name w:val="AllowPageBreak"/>
    <w:rsid w:val="006C6C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6C3C"/>
    <w:pPr>
      <w:tabs>
        <w:tab w:val="left" w:pos="680"/>
      </w:tabs>
      <w:spacing w:before="60" w:after="60"/>
      <w:ind w:left="680" w:hanging="340"/>
    </w:pPr>
  </w:style>
  <w:style w:type="character" w:customStyle="1" w:styleId="BoldandItalics">
    <w:name w:val="Bold and Italics"/>
    <w:qFormat/>
    <w:rsid w:val="006C6C3C"/>
    <w:rPr>
      <w:b/>
      <w:i/>
      <w:u w:val="none"/>
    </w:rPr>
  </w:style>
  <w:style w:type="character" w:customStyle="1" w:styleId="Heading2Char">
    <w:name w:val="Heading 2 Char"/>
    <w:basedOn w:val="DefaultParagraphFont"/>
    <w:link w:val="Heading2"/>
    <w:rsid w:val="006C6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C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C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C3C"/>
    <w:rPr>
      <w:rFonts w:ascii="Courier New" w:eastAsia="Times New Roman" w:hAnsi="Courier New" w:cs="Times New Roman"/>
      <w:i/>
      <w:szCs w:val="20"/>
      <w:lang w:val="en-US" w:eastAsia="en-US"/>
    </w:rPr>
  </w:style>
  <w:style w:type="paragraph" w:customStyle="1" w:styleId="HeadingBase">
    <w:name w:val="Heading Base"/>
    <w:rsid w:val="006C6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C3C"/>
    <w:pPr>
      <w:tabs>
        <w:tab w:val="right" w:leader="dot" w:pos="9072"/>
      </w:tabs>
      <w:ind w:left="567"/>
    </w:pPr>
    <w:rPr>
      <w:szCs w:val="22"/>
    </w:rPr>
  </w:style>
  <w:style w:type="paragraph" w:customStyle="1" w:styleId="TOCBase">
    <w:name w:val="TOC Base"/>
    <w:rsid w:val="006C6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C3C"/>
    <w:pPr>
      <w:tabs>
        <w:tab w:val="right" w:leader="dot" w:pos="9072"/>
      </w:tabs>
      <w:spacing w:before="40" w:after="40"/>
      <w:ind w:left="284"/>
    </w:pPr>
    <w:rPr>
      <w:rFonts w:ascii="Times New Roman" w:hAnsi="Times New Roman"/>
    </w:rPr>
  </w:style>
  <w:style w:type="paragraph" w:styleId="TOC1">
    <w:name w:val="toc 1"/>
    <w:basedOn w:val="TOCBase"/>
    <w:next w:val="Normal"/>
    <w:rsid w:val="006C6C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C3C"/>
    <w:pPr>
      <w:spacing w:before="5040"/>
      <w:jc w:val="center"/>
    </w:pPr>
    <w:rPr>
      <w:sz w:val="48"/>
      <w:szCs w:val="72"/>
      <w:lang w:val="en-US"/>
    </w:rPr>
  </w:style>
  <w:style w:type="character" w:customStyle="1" w:styleId="TitleChar">
    <w:name w:val="Title Char"/>
    <w:basedOn w:val="DefaultParagraphFont"/>
    <w:link w:val="Title"/>
    <w:rsid w:val="006C6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C3C"/>
    <w:pPr>
      <w:tabs>
        <w:tab w:val="left" w:pos="3600"/>
        <w:tab w:val="left" w:pos="3958"/>
      </w:tabs>
    </w:pPr>
  </w:style>
  <w:style w:type="paragraph" w:customStyle="1" w:styleId="Note">
    <w:name w:val="Note"/>
    <w:basedOn w:val="BodyText"/>
    <w:rsid w:val="006C6C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C3C"/>
    <w:pPr>
      <w:framePr w:wrap="auto" w:hAnchor="text" w:y="6049"/>
    </w:pPr>
    <w:rPr>
      <w:color w:val="000000"/>
      <w:sz w:val="40"/>
    </w:rPr>
  </w:style>
  <w:style w:type="paragraph" w:customStyle="1" w:styleId="TOCTitle">
    <w:name w:val="TOCTitle"/>
    <w:basedOn w:val="Heading1"/>
    <w:rsid w:val="006C6C3C"/>
    <w:pPr>
      <w:spacing w:after="240"/>
      <w:jc w:val="center"/>
      <w:outlineLvl w:val="9"/>
    </w:pPr>
    <w:rPr>
      <w:caps/>
    </w:rPr>
  </w:style>
  <w:style w:type="paragraph" w:customStyle="1" w:styleId="Version">
    <w:name w:val="Version"/>
    <w:rsid w:val="006C6C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C3C"/>
    <w:pPr>
      <w:keepNext w:val="0"/>
      <w:tabs>
        <w:tab w:val="right" w:pos="4176"/>
      </w:tabs>
      <w:ind w:left="198" w:hanging="198"/>
    </w:pPr>
    <w:rPr>
      <w:rFonts w:ascii="Garamond" w:hAnsi="Garamond"/>
    </w:rPr>
  </w:style>
  <w:style w:type="paragraph" w:styleId="IndexHeading">
    <w:name w:val="index heading"/>
    <w:basedOn w:val="Normal"/>
    <w:next w:val="Index1"/>
    <w:semiHidden/>
    <w:rsid w:val="006C6C3C"/>
    <w:pPr>
      <w:spacing w:before="120" w:after="120"/>
    </w:pPr>
    <w:rPr>
      <w:rFonts w:ascii="Arial" w:hAnsi="Arial"/>
      <w:b/>
      <w:color w:val="918585"/>
      <w:sz w:val="24"/>
    </w:rPr>
  </w:style>
  <w:style w:type="paragraph" w:customStyle="1" w:styleId="Chapter">
    <w:name w:val="Chapter"/>
    <w:basedOn w:val="Normal"/>
    <w:rsid w:val="006C6C3C"/>
    <w:pPr>
      <w:spacing w:before="240"/>
    </w:pPr>
    <w:rPr>
      <w:rFonts w:ascii="Times New Roman" w:hAnsi="Times New Roman"/>
      <w:smallCaps/>
      <w:spacing w:val="80"/>
      <w:sz w:val="28"/>
    </w:rPr>
  </w:style>
  <w:style w:type="paragraph" w:customStyle="1" w:styleId="InChapter">
    <w:name w:val="InChapter"/>
    <w:basedOn w:val="Heading3"/>
    <w:rsid w:val="006C6C3C"/>
    <w:pPr>
      <w:spacing w:after="240"/>
      <w:outlineLvl w:val="9"/>
    </w:pPr>
    <w:rPr>
      <w:noProof/>
    </w:rPr>
  </w:style>
  <w:style w:type="paragraph" w:styleId="Index2">
    <w:name w:val="index 2"/>
    <w:basedOn w:val="Normal"/>
    <w:next w:val="Normal"/>
    <w:semiHidden/>
    <w:rsid w:val="006C6C3C"/>
    <w:pPr>
      <w:tabs>
        <w:tab w:val="right" w:pos="4176"/>
      </w:tabs>
      <w:ind w:left="568" w:hanging="284"/>
    </w:pPr>
    <w:rPr>
      <w:rFonts w:ascii="Garamond" w:hAnsi="Garamond"/>
    </w:rPr>
  </w:style>
  <w:style w:type="paragraph" w:customStyle="1" w:styleId="Byline">
    <w:name w:val="Byline"/>
    <w:rsid w:val="006C6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C3C"/>
    <w:pPr>
      <w:tabs>
        <w:tab w:val="clear" w:pos="3600"/>
        <w:tab w:val="clear" w:pos="3958"/>
      </w:tabs>
      <w:jc w:val="right"/>
    </w:pPr>
  </w:style>
  <w:style w:type="character" w:styleId="Emphasis">
    <w:name w:val="Emphasis"/>
    <w:basedOn w:val="DefaultParagraphFont"/>
    <w:qFormat/>
    <w:rsid w:val="006C6C3C"/>
    <w:rPr>
      <w:i/>
    </w:rPr>
  </w:style>
  <w:style w:type="paragraph" w:styleId="Caption">
    <w:name w:val="caption"/>
    <w:basedOn w:val="BodyText"/>
    <w:next w:val="Normal"/>
    <w:qFormat/>
    <w:rsid w:val="006C6C3C"/>
    <w:pPr>
      <w:framePr w:w="2268" w:hSpace="181" w:vSpace="181" w:wrap="around" w:vAnchor="text" w:hAnchor="page" w:x="1135" w:y="285" w:anchorLock="1"/>
    </w:pPr>
    <w:rPr>
      <w:i/>
    </w:rPr>
  </w:style>
  <w:style w:type="paragraph" w:customStyle="1" w:styleId="MiniTOCTitle">
    <w:name w:val="MiniTOCTitle"/>
    <w:basedOn w:val="Heading4"/>
    <w:rsid w:val="006C6C3C"/>
    <w:pPr>
      <w:spacing w:before="240"/>
      <w:outlineLvl w:val="9"/>
    </w:pPr>
    <w:rPr>
      <w:noProof/>
      <w:sz w:val="24"/>
    </w:rPr>
  </w:style>
  <w:style w:type="paragraph" w:customStyle="1" w:styleId="MiniTOCItem">
    <w:name w:val="MiniTOCItem"/>
    <w:basedOn w:val="ListBullet"/>
    <w:rsid w:val="006C6C3C"/>
    <w:pPr>
      <w:numPr>
        <w:numId w:val="0"/>
      </w:numPr>
      <w:tabs>
        <w:tab w:val="right" w:leader="dot" w:pos="6521"/>
      </w:tabs>
      <w:spacing w:before="0" w:after="0"/>
    </w:pPr>
  </w:style>
  <w:style w:type="paragraph" w:customStyle="1" w:styleId="TOFTitle">
    <w:name w:val="TOFTitle"/>
    <w:basedOn w:val="TOCTitle"/>
    <w:rsid w:val="006C6C3C"/>
  </w:style>
  <w:style w:type="paragraph" w:styleId="TableofFigures">
    <w:name w:val="table of figures"/>
    <w:basedOn w:val="Normal"/>
    <w:next w:val="Normal"/>
    <w:semiHidden/>
    <w:rsid w:val="006C6C3C"/>
    <w:pPr>
      <w:tabs>
        <w:tab w:val="right" w:leader="dot" w:pos="9072"/>
      </w:tabs>
      <w:ind w:left="970" w:hanging="403"/>
    </w:pPr>
    <w:rPr>
      <w:rFonts w:ascii="Times New Roman" w:hAnsi="Times New Roman"/>
      <w:b/>
    </w:rPr>
  </w:style>
  <w:style w:type="paragraph" w:styleId="ListNumber">
    <w:name w:val="List Number"/>
    <w:basedOn w:val="List"/>
    <w:rsid w:val="006C6C3C"/>
    <w:pPr>
      <w:numPr>
        <w:numId w:val="11"/>
      </w:numPr>
    </w:pPr>
  </w:style>
  <w:style w:type="character" w:customStyle="1" w:styleId="WingdingSymbols">
    <w:name w:val="Wingding Symbols"/>
    <w:rsid w:val="006C6C3C"/>
    <w:rPr>
      <w:rFonts w:ascii="Wingdings" w:hAnsi="Wingdings"/>
    </w:rPr>
  </w:style>
  <w:style w:type="paragraph" w:customStyle="1" w:styleId="TableHeading">
    <w:name w:val="Table Heading"/>
    <w:basedOn w:val="HeadingBase"/>
    <w:rsid w:val="006C6C3C"/>
    <w:pPr>
      <w:keepLines/>
      <w:pBdr>
        <w:bottom w:val="single" w:sz="6" w:space="1" w:color="918585"/>
      </w:pBdr>
      <w:spacing w:before="240"/>
    </w:pPr>
  </w:style>
  <w:style w:type="character" w:customStyle="1" w:styleId="HotSpot">
    <w:name w:val="HotSpot"/>
    <w:rsid w:val="006C6C3C"/>
    <w:rPr>
      <w:color w:val="0033CC"/>
      <w:u w:val="none"/>
    </w:rPr>
  </w:style>
  <w:style w:type="paragraph" w:customStyle="1" w:styleId="BodyTextRight">
    <w:name w:val="Body Text Right"/>
    <w:basedOn w:val="BodyText"/>
    <w:rsid w:val="006C6C3C"/>
    <w:pPr>
      <w:spacing w:before="0" w:after="0"/>
      <w:jc w:val="right"/>
    </w:pPr>
  </w:style>
  <w:style w:type="paragraph" w:styleId="Index3">
    <w:name w:val="index 3"/>
    <w:basedOn w:val="ListNumber2"/>
    <w:next w:val="Normal"/>
    <w:semiHidden/>
    <w:rsid w:val="006C6C3C"/>
    <w:pPr>
      <w:numPr>
        <w:numId w:val="0"/>
      </w:numPr>
      <w:tabs>
        <w:tab w:val="right" w:leader="dot" w:pos="4176"/>
      </w:tabs>
    </w:pPr>
  </w:style>
  <w:style w:type="paragraph" w:styleId="ListNumber2">
    <w:name w:val="List Number 2"/>
    <w:basedOn w:val="List2"/>
    <w:rsid w:val="006C6C3C"/>
    <w:pPr>
      <w:numPr>
        <w:numId w:val="10"/>
      </w:numPr>
      <w:tabs>
        <w:tab w:val="clear" w:pos="1060"/>
      </w:tabs>
    </w:pPr>
  </w:style>
  <w:style w:type="paragraph" w:customStyle="1" w:styleId="MarginNote">
    <w:name w:val="Margin Note"/>
    <w:basedOn w:val="BodyText"/>
    <w:rsid w:val="006C6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C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C3C"/>
    <w:rPr>
      <w:sz w:val="32"/>
    </w:rPr>
  </w:style>
  <w:style w:type="paragraph" w:customStyle="1" w:styleId="HeadingProcedure">
    <w:name w:val="Heading Procedure"/>
    <w:basedOn w:val="HeadingBase"/>
    <w:next w:val="Normal"/>
    <w:rsid w:val="006C6C3C"/>
    <w:pPr>
      <w:tabs>
        <w:tab w:val="left" w:pos="0"/>
      </w:tabs>
      <w:spacing w:before="120" w:after="60"/>
    </w:pPr>
    <w:rPr>
      <w:i/>
      <w:color w:val="918585"/>
      <w:sz w:val="22"/>
    </w:rPr>
  </w:style>
  <w:style w:type="paragraph" w:customStyle="1" w:styleId="TableBodyText">
    <w:name w:val="Table Body Text"/>
    <w:basedOn w:val="BodyText"/>
    <w:rsid w:val="006C6C3C"/>
    <w:pPr>
      <w:spacing w:before="60" w:after="60"/>
    </w:pPr>
  </w:style>
  <w:style w:type="paragraph" w:styleId="ListContinue">
    <w:name w:val="List Continue"/>
    <w:basedOn w:val="List"/>
    <w:rsid w:val="006C6C3C"/>
    <w:pPr>
      <w:ind w:firstLine="0"/>
    </w:pPr>
  </w:style>
  <w:style w:type="paragraph" w:customStyle="1" w:styleId="ListNote">
    <w:name w:val="List Note"/>
    <w:basedOn w:val="List"/>
    <w:rsid w:val="006C6C3C"/>
    <w:pPr>
      <w:pBdr>
        <w:top w:val="single" w:sz="6" w:space="2" w:color="918585"/>
        <w:bottom w:val="single" w:sz="6" w:space="2" w:color="918585"/>
      </w:pBdr>
      <w:tabs>
        <w:tab w:val="left" w:pos="1021"/>
      </w:tabs>
      <w:ind w:firstLine="0"/>
    </w:pPr>
  </w:style>
  <w:style w:type="paragraph" w:customStyle="1" w:styleId="Warning">
    <w:name w:val="Warning"/>
    <w:basedOn w:val="BodyText"/>
    <w:rsid w:val="006C6C3C"/>
    <w:pPr>
      <w:shd w:val="clear" w:color="auto" w:fill="D9D9D9"/>
      <w:tabs>
        <w:tab w:val="left" w:pos="992"/>
      </w:tabs>
      <w:ind w:left="119" w:right="119"/>
    </w:pPr>
    <w:rPr>
      <w:sz w:val="20"/>
    </w:rPr>
  </w:style>
  <w:style w:type="paragraph" w:customStyle="1" w:styleId="MarginIcons">
    <w:name w:val="Margin Icons"/>
    <w:basedOn w:val="BodyText"/>
    <w:rsid w:val="006C6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C3C"/>
    <w:rPr>
      <w:rFonts w:ascii="Courier New" w:hAnsi="Courier New"/>
    </w:rPr>
  </w:style>
  <w:style w:type="paragraph" w:customStyle="1" w:styleId="NoteBullet">
    <w:name w:val="Note Bullet"/>
    <w:basedOn w:val="Note"/>
    <w:rsid w:val="006C6C3C"/>
    <w:pPr>
      <w:tabs>
        <w:tab w:val="clear" w:pos="680"/>
      </w:tabs>
      <w:spacing w:before="60" w:after="60"/>
    </w:pPr>
  </w:style>
  <w:style w:type="paragraph" w:customStyle="1" w:styleId="SubHeading2">
    <w:name w:val="SubHeading2"/>
    <w:basedOn w:val="HeadingBase"/>
    <w:rsid w:val="006C6C3C"/>
    <w:pPr>
      <w:spacing w:before="240" w:after="60"/>
    </w:pPr>
    <w:rPr>
      <w:sz w:val="20"/>
    </w:rPr>
  </w:style>
  <w:style w:type="paragraph" w:customStyle="1" w:styleId="SubHeading1">
    <w:name w:val="SubHeading1"/>
    <w:basedOn w:val="HeadingBase"/>
    <w:rsid w:val="006C6C3C"/>
    <w:pPr>
      <w:spacing w:before="240" w:after="60"/>
    </w:pPr>
    <w:rPr>
      <w:color w:val="918585"/>
      <w:sz w:val="22"/>
    </w:rPr>
  </w:style>
  <w:style w:type="paragraph" w:customStyle="1" w:styleId="SideHeading">
    <w:name w:val="Side Heading"/>
    <w:basedOn w:val="HeadingBase"/>
    <w:rsid w:val="006C6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C3C"/>
    <w:pPr>
      <w:numPr>
        <w:numId w:val="12"/>
      </w:numPr>
    </w:pPr>
  </w:style>
  <w:style w:type="paragraph" w:styleId="PlainText">
    <w:name w:val="Plain Text"/>
    <w:basedOn w:val="Normal"/>
    <w:link w:val="PlainTextChar"/>
    <w:rsid w:val="006C6C3C"/>
    <w:rPr>
      <w:sz w:val="20"/>
    </w:rPr>
  </w:style>
  <w:style w:type="character" w:customStyle="1" w:styleId="PlainTextChar">
    <w:name w:val="Plain Text Char"/>
    <w:basedOn w:val="DefaultParagraphFont"/>
    <w:link w:val="PlainText"/>
    <w:rsid w:val="006C6C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6C3C"/>
    <w:rPr>
      <w:b/>
      <w:smallCaps/>
    </w:rPr>
  </w:style>
  <w:style w:type="paragraph" w:customStyle="1" w:styleId="TableListNumber">
    <w:name w:val="Table List Number"/>
    <w:basedOn w:val="ListNumber"/>
    <w:rsid w:val="006C6C3C"/>
    <w:pPr>
      <w:numPr>
        <w:numId w:val="0"/>
      </w:numPr>
    </w:pPr>
  </w:style>
  <w:style w:type="paragraph" w:styleId="TOC4">
    <w:name w:val="toc 4"/>
    <w:basedOn w:val="TOCBase"/>
    <w:next w:val="Normal"/>
    <w:semiHidden/>
    <w:rsid w:val="006C6C3C"/>
    <w:pPr>
      <w:tabs>
        <w:tab w:val="right" w:leader="dot" w:pos="9071"/>
      </w:tabs>
      <w:ind w:left="1701"/>
    </w:pPr>
  </w:style>
  <w:style w:type="paragraph" w:customStyle="1" w:styleId="ListAlpha">
    <w:name w:val="List Alpha"/>
    <w:basedOn w:val="List"/>
    <w:rsid w:val="006C6C3C"/>
    <w:pPr>
      <w:numPr>
        <w:numId w:val="9"/>
      </w:numPr>
    </w:pPr>
  </w:style>
  <w:style w:type="paragraph" w:customStyle="1" w:styleId="ListAlpha2">
    <w:name w:val="List Alpha 2"/>
    <w:basedOn w:val="List2"/>
    <w:rsid w:val="006C6C3C"/>
    <w:pPr>
      <w:numPr>
        <w:numId w:val="8"/>
      </w:numPr>
    </w:pPr>
  </w:style>
  <w:style w:type="paragraph" w:styleId="List3">
    <w:name w:val="List 3"/>
    <w:basedOn w:val="BodyText"/>
    <w:rsid w:val="006C6C3C"/>
    <w:pPr>
      <w:tabs>
        <w:tab w:val="left" w:pos="1021"/>
      </w:tabs>
      <w:spacing w:before="60" w:after="60"/>
      <w:ind w:left="1020" w:hanging="340"/>
    </w:pPr>
  </w:style>
  <w:style w:type="paragraph" w:styleId="List4">
    <w:name w:val="List 4"/>
    <w:basedOn w:val="BodyText"/>
    <w:rsid w:val="006C6C3C"/>
    <w:pPr>
      <w:tabs>
        <w:tab w:val="left" w:pos="1361"/>
      </w:tabs>
      <w:spacing w:before="60" w:after="60"/>
      <w:ind w:left="1361" w:hanging="340"/>
    </w:pPr>
  </w:style>
  <w:style w:type="paragraph" w:styleId="List5">
    <w:name w:val="List 5"/>
    <w:basedOn w:val="BodyText"/>
    <w:rsid w:val="006C6C3C"/>
    <w:pPr>
      <w:tabs>
        <w:tab w:val="left" w:pos="1701"/>
      </w:tabs>
      <w:spacing w:before="60" w:after="60"/>
      <w:ind w:left="1701" w:hanging="340"/>
    </w:pPr>
  </w:style>
  <w:style w:type="paragraph" w:styleId="ListBullet3">
    <w:name w:val="List Bullet 3"/>
    <w:basedOn w:val="List3"/>
    <w:rsid w:val="006C6C3C"/>
    <w:pPr>
      <w:numPr>
        <w:numId w:val="15"/>
      </w:numPr>
      <w:tabs>
        <w:tab w:val="clear" w:pos="1021"/>
      </w:tabs>
      <w:ind w:left="1037" w:hanging="357"/>
    </w:pPr>
  </w:style>
  <w:style w:type="paragraph" w:styleId="ListBullet4">
    <w:name w:val="List Bullet 4"/>
    <w:basedOn w:val="List4"/>
    <w:rsid w:val="006C6C3C"/>
    <w:pPr>
      <w:numPr>
        <w:numId w:val="3"/>
      </w:numPr>
    </w:pPr>
  </w:style>
  <w:style w:type="paragraph" w:styleId="ListBullet5">
    <w:name w:val="List Bullet 5"/>
    <w:basedOn w:val="List5"/>
    <w:rsid w:val="006C6C3C"/>
    <w:pPr>
      <w:numPr>
        <w:numId w:val="4"/>
      </w:numPr>
    </w:pPr>
  </w:style>
  <w:style w:type="paragraph" w:styleId="ListContinue2">
    <w:name w:val="List Continue 2"/>
    <w:basedOn w:val="List2"/>
    <w:rsid w:val="006C6C3C"/>
    <w:pPr>
      <w:ind w:firstLine="0"/>
    </w:pPr>
  </w:style>
  <w:style w:type="paragraph" w:styleId="ListContinue3">
    <w:name w:val="List Continue 3"/>
    <w:basedOn w:val="List3"/>
    <w:rsid w:val="006C6C3C"/>
    <w:pPr>
      <w:ind w:left="1021" w:firstLine="0"/>
    </w:pPr>
  </w:style>
  <w:style w:type="paragraph" w:styleId="ListContinue4">
    <w:name w:val="List Continue 4"/>
    <w:basedOn w:val="List4"/>
    <w:rsid w:val="006C6C3C"/>
    <w:pPr>
      <w:ind w:firstLine="0"/>
    </w:pPr>
  </w:style>
  <w:style w:type="paragraph" w:styleId="ListContinue5">
    <w:name w:val="List Continue 5"/>
    <w:basedOn w:val="List5"/>
    <w:rsid w:val="006C6C3C"/>
    <w:pPr>
      <w:ind w:firstLine="0"/>
    </w:pPr>
  </w:style>
  <w:style w:type="paragraph" w:styleId="ListNumber3">
    <w:name w:val="List Number 3"/>
    <w:basedOn w:val="List3"/>
    <w:rsid w:val="006C6C3C"/>
    <w:pPr>
      <w:numPr>
        <w:numId w:val="5"/>
      </w:numPr>
    </w:pPr>
  </w:style>
  <w:style w:type="paragraph" w:styleId="ListNumber4">
    <w:name w:val="List Number 4"/>
    <w:basedOn w:val="List4"/>
    <w:rsid w:val="006C6C3C"/>
    <w:pPr>
      <w:numPr>
        <w:numId w:val="6"/>
      </w:numPr>
    </w:pPr>
  </w:style>
  <w:style w:type="paragraph" w:styleId="ListNumber5">
    <w:name w:val="List Number 5"/>
    <w:basedOn w:val="List5"/>
    <w:rsid w:val="006C6C3C"/>
    <w:pPr>
      <w:numPr>
        <w:numId w:val="7"/>
      </w:numPr>
    </w:pPr>
  </w:style>
  <w:style w:type="paragraph" w:styleId="BlockText">
    <w:name w:val="Block Text"/>
    <w:basedOn w:val="Normal"/>
    <w:rsid w:val="006C6C3C"/>
    <w:pPr>
      <w:spacing w:after="120"/>
      <w:ind w:left="1440" w:right="1440"/>
    </w:pPr>
  </w:style>
  <w:style w:type="character" w:customStyle="1" w:styleId="Subscript">
    <w:name w:val="Subscript"/>
    <w:basedOn w:val="DefaultParagraphFont"/>
    <w:rsid w:val="006C6C3C"/>
    <w:rPr>
      <w:sz w:val="16"/>
      <w:vertAlign w:val="subscript"/>
    </w:rPr>
  </w:style>
  <w:style w:type="character" w:customStyle="1" w:styleId="Superscript">
    <w:name w:val="Superscript"/>
    <w:basedOn w:val="DefaultParagraphFont"/>
    <w:rsid w:val="006C6C3C"/>
    <w:rPr>
      <w:sz w:val="16"/>
      <w:vertAlign w:val="superscript"/>
    </w:rPr>
  </w:style>
  <w:style w:type="character" w:customStyle="1" w:styleId="Symbols">
    <w:name w:val="Symbols"/>
    <w:basedOn w:val="DefaultParagraphFont"/>
    <w:rsid w:val="006C6C3C"/>
    <w:rPr>
      <w:rFonts w:ascii="Symbol" w:hAnsi="Symbol"/>
    </w:rPr>
  </w:style>
  <w:style w:type="character" w:customStyle="1" w:styleId="MenuOptions">
    <w:name w:val="Menu Options"/>
    <w:basedOn w:val="DefaultParagraphFont"/>
    <w:rsid w:val="006C6C3C"/>
    <w:rPr>
      <w:rFonts w:ascii="Arial Narrow" w:hAnsi="Arial Narrow"/>
      <w:smallCaps/>
    </w:rPr>
  </w:style>
  <w:style w:type="character" w:customStyle="1" w:styleId="Buttons">
    <w:name w:val="Buttons"/>
    <w:basedOn w:val="DefaultParagraphFont"/>
    <w:rsid w:val="006C6C3C"/>
    <w:rPr>
      <w:b/>
    </w:rPr>
  </w:style>
  <w:style w:type="character" w:customStyle="1" w:styleId="Underlined">
    <w:name w:val="Underlined"/>
    <w:basedOn w:val="DefaultParagraphFont"/>
    <w:rsid w:val="006C6C3C"/>
    <w:rPr>
      <w:u w:val="single"/>
    </w:rPr>
  </w:style>
  <w:style w:type="paragraph" w:customStyle="1" w:styleId="TableBodyTextRight">
    <w:name w:val="Table Body Text Right"/>
    <w:basedOn w:val="TableBodyText"/>
    <w:rsid w:val="006C6C3C"/>
    <w:pPr>
      <w:widowControl w:val="0"/>
      <w:autoSpaceDE w:val="0"/>
      <w:autoSpaceDN w:val="0"/>
      <w:adjustRightInd w:val="0"/>
      <w:jc w:val="right"/>
    </w:pPr>
    <w:rPr>
      <w:rFonts w:cs="Arial"/>
      <w:szCs w:val="18"/>
    </w:rPr>
  </w:style>
  <w:style w:type="paragraph" w:customStyle="1" w:styleId="CopyrightText">
    <w:name w:val="Copyright Text"/>
    <w:basedOn w:val="BodyText"/>
    <w:rsid w:val="006C6C3C"/>
    <w:rPr>
      <w:sz w:val="18"/>
    </w:rPr>
  </w:style>
  <w:style w:type="paragraph" w:customStyle="1" w:styleId="BodySmallRight">
    <w:name w:val="Body Small Right"/>
    <w:basedOn w:val="BodyTextRight"/>
    <w:rsid w:val="006C6C3C"/>
    <w:rPr>
      <w:sz w:val="18"/>
      <w:szCs w:val="18"/>
    </w:rPr>
  </w:style>
  <w:style w:type="paragraph" w:customStyle="1" w:styleId="MarginEdition">
    <w:name w:val="Margin Edition"/>
    <w:basedOn w:val="MarginNote"/>
    <w:rsid w:val="006C6C3C"/>
    <w:pPr>
      <w:spacing w:before="0" w:after="0"/>
    </w:pPr>
    <w:rPr>
      <w:rFonts w:ascii="Times New Roman" w:hAnsi="Times New Roman"/>
      <w:color w:val="999999"/>
    </w:rPr>
  </w:style>
  <w:style w:type="paragraph" w:customStyle="1" w:styleId="Spacer">
    <w:name w:val="Spacer"/>
    <w:basedOn w:val="Normal"/>
    <w:rsid w:val="006C6C3C"/>
    <w:rPr>
      <w:sz w:val="2"/>
      <w:szCs w:val="2"/>
    </w:rPr>
  </w:style>
  <w:style w:type="character" w:customStyle="1" w:styleId="Small">
    <w:name w:val="Small"/>
    <w:basedOn w:val="DefaultParagraphFont"/>
    <w:rsid w:val="006C6C3C"/>
    <w:rPr>
      <w:sz w:val="16"/>
    </w:rPr>
  </w:style>
  <w:style w:type="paragraph" w:customStyle="1" w:styleId="WideTable">
    <w:name w:val="Wide Table"/>
    <w:basedOn w:val="Normal"/>
    <w:rsid w:val="006C6C3C"/>
    <w:pPr>
      <w:ind w:left="-1418"/>
    </w:pPr>
    <w:rPr>
      <w:sz w:val="2"/>
      <w:szCs w:val="2"/>
    </w:rPr>
  </w:style>
  <w:style w:type="character" w:styleId="PageNumber">
    <w:name w:val="page number"/>
    <w:basedOn w:val="DefaultParagraphFont"/>
    <w:rsid w:val="006C6C3C"/>
  </w:style>
  <w:style w:type="paragraph" w:styleId="Quote">
    <w:name w:val="Quote"/>
    <w:basedOn w:val="Heading1"/>
    <w:link w:val="QuoteChar"/>
    <w:qFormat/>
    <w:rsid w:val="006C6C3C"/>
    <w:rPr>
      <w:b w:val="0"/>
      <w:sz w:val="72"/>
      <w:szCs w:val="72"/>
      <w:lang w:val="en-NZ"/>
    </w:rPr>
  </w:style>
  <w:style w:type="character" w:customStyle="1" w:styleId="QuoteChar">
    <w:name w:val="Quote Char"/>
    <w:basedOn w:val="DefaultParagraphFont"/>
    <w:link w:val="Quote"/>
    <w:rsid w:val="006C6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C3C"/>
    <w:pPr>
      <w:pageBreakBefore/>
    </w:pPr>
  </w:style>
  <w:style w:type="paragraph" w:customStyle="1" w:styleId="Border">
    <w:name w:val="Border"/>
    <w:basedOn w:val="Normal"/>
    <w:qFormat/>
    <w:rsid w:val="006C6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C3C"/>
    <w:rPr>
      <w:b/>
      <w:bCs/>
      <w:i/>
      <w:iCs/>
      <w:color w:val="auto"/>
    </w:rPr>
  </w:style>
  <w:style w:type="paragraph" w:styleId="IntenseQuote">
    <w:name w:val="Intense Quote"/>
    <w:basedOn w:val="Normal"/>
    <w:next w:val="Normal"/>
    <w:link w:val="IntenseQuoteChar"/>
    <w:uiPriority w:val="30"/>
    <w:qFormat/>
    <w:rsid w:val="006C6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C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6C3C"/>
    <w:rPr>
      <w:smallCaps/>
      <w:color w:val="auto"/>
      <w:u w:val="single"/>
    </w:rPr>
  </w:style>
  <w:style w:type="character" w:styleId="IntenseReference">
    <w:name w:val="Intense Reference"/>
    <w:basedOn w:val="DefaultParagraphFont"/>
    <w:uiPriority w:val="32"/>
    <w:qFormat/>
    <w:rsid w:val="006C6C3C"/>
    <w:rPr>
      <w:b/>
      <w:bCs/>
      <w:smallCaps/>
      <w:color w:val="auto"/>
      <w:spacing w:val="5"/>
      <w:u w:val="single"/>
    </w:rPr>
  </w:style>
  <w:style w:type="paragraph" w:customStyle="1" w:styleId="2ColumnHeading">
    <w:name w:val="2Column Heading"/>
    <w:basedOn w:val="BodyText"/>
    <w:qFormat/>
    <w:rsid w:val="006C6C3C"/>
    <w:pPr>
      <w:spacing w:after="60"/>
      <w:ind w:left="-2268"/>
    </w:pPr>
    <w:rPr>
      <w:b/>
    </w:rPr>
  </w:style>
  <w:style w:type="paragraph" w:customStyle="1" w:styleId="Heading1TOC">
    <w:name w:val="Heading1 TOC"/>
    <w:basedOn w:val="Normal"/>
    <w:qFormat/>
    <w:rsid w:val="006C6C3C"/>
    <w:pPr>
      <w:spacing w:before="240" w:after="120"/>
    </w:pPr>
    <w:rPr>
      <w:rFonts w:ascii="Times New Roman" w:hAnsi="Times New Roman"/>
      <w:b/>
      <w:sz w:val="32"/>
    </w:rPr>
  </w:style>
  <w:style w:type="paragraph" w:customStyle="1" w:styleId="Heading2TOC">
    <w:name w:val="Heading2 TOC"/>
    <w:basedOn w:val="Normal"/>
    <w:qFormat/>
    <w:rsid w:val="006C6C3C"/>
    <w:pPr>
      <w:spacing w:before="240" w:after="60"/>
    </w:pPr>
    <w:rPr>
      <w:rFonts w:ascii="Times New Roman" w:hAnsi="Times New Roman"/>
      <w:b/>
      <w:sz w:val="28"/>
    </w:rPr>
  </w:style>
  <w:style w:type="character" w:customStyle="1" w:styleId="Underline">
    <w:name w:val="Underline"/>
    <w:basedOn w:val="DefaultParagraphFont"/>
    <w:qFormat/>
    <w:rsid w:val="006C6C3C"/>
    <w:rPr>
      <w:u w:val="single"/>
    </w:rPr>
  </w:style>
  <w:style w:type="paragraph" w:styleId="BalloonText">
    <w:name w:val="Balloon Text"/>
    <w:basedOn w:val="Normal"/>
    <w:link w:val="BalloonTextChar"/>
    <w:rsid w:val="006C6C3C"/>
    <w:rPr>
      <w:rFonts w:ascii="Tahoma" w:hAnsi="Tahoma" w:cs="Tahoma"/>
      <w:sz w:val="16"/>
      <w:szCs w:val="16"/>
    </w:rPr>
  </w:style>
  <w:style w:type="character" w:customStyle="1" w:styleId="BalloonTextChar">
    <w:name w:val="Balloon Text Char"/>
    <w:basedOn w:val="DefaultParagraphFont"/>
    <w:link w:val="BalloonText"/>
    <w:rsid w:val="006C6C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C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6C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1689</Words>
  <Characters>10607</Characters>
  <Application>Microsoft Office Word</Application>
  <DocSecurity>0</DocSecurity>
  <Lines>380</Lines>
  <Paragraphs>183</Paragraphs>
  <ScaleCrop>false</ScaleCrop>
  <Company>Author-it Software Corporation Ltd.</Company>
  <LinksUpToDate>false</LinksUpToDate>
  <CharactersWithSpaces>12234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SFIPROC403C Follow basic food safety practices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2012-05-26T08:38:00Z</dcterms:created>
  <dcterms:modified xsi:type="dcterms:W3CDTF">2012-05-26T08:39:00Z</dcterms:modified>
</cp:coreProperties>
</file>