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3D8" w:rsidP="007823D8">
      <w:pPr>
        <w:pStyle w:val="Title"/>
      </w:pPr>
      <w:r>
        <w:fldChar w:fldCharType="begin"/>
      </w:r>
      <w:r>
        <w:instrText xml:space="preserve"> TITLE   \* MERGEFORMAT </w:instrText>
      </w:r>
      <w:r>
        <w:fldChar w:fldCharType="separate"/>
      </w:r>
      <w:r>
        <w:t>SFIPROC401C Evaluate a batch of seafood</w:t>
      </w:r>
      <w:r>
        <w:fldChar w:fldCharType="end"/>
      </w:r>
    </w:p>
    <w:p w:rsidR="007823D8" w:rsidP="007823D8">
      <w:pPr>
        <w:pStyle w:val="Version"/>
        <w:sectPr w:rsidSect="00E779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940" w:rsidP="00E77940">
      <w:pPr>
        <w:pStyle w:val="SuperHeading"/>
      </w:pPr>
      <w:r w:rsidRPr="00E77940">
        <w:t>SFIPROC401C Evaluate a batch of seafood</w:t>
      </w:r>
    </w:p>
    <w:p w:rsidR="00000000" w:rsidRPr="00E77940" w:rsidP="00E77940">
      <w:pPr>
        <w:pStyle w:val="Heading1"/>
      </w:pPr>
      <w:bookmarkStart w:id="1" w:name="O_273292"/>
      <w:bookmarkEnd w:id="1"/>
      <w:r w:rsidRPr="00E77940">
        <w:t>Modification History</w:t>
      </w:r>
    </w:p>
    <w:p w:rsidR="00000000" w:rsidRPr="00E77940" w:rsidP="00E77940">
      <w:pPr>
        <w:pStyle w:val="BodyText"/>
      </w:pPr>
      <w:r w:rsidRPr="00E77940">
        <w:t>Not Applicable</w:t>
      </w:r>
    </w:p>
    <w:p w:rsidR="00000000" w:rsidRPr="00E77940" w:rsidP="00E77940">
      <w:pPr>
        <w:pStyle w:val="AllowPageBreak"/>
      </w:pPr>
    </w:p>
    <w:p w:rsidR="00000000" w:rsidRPr="00E77940" w:rsidP="00E77940">
      <w:pPr>
        <w:pStyle w:val="Heading1"/>
      </w:pPr>
      <w:bookmarkStart w:id="2" w:name="O_218535"/>
      <w:bookmarkEnd w:id="2"/>
      <w:r w:rsidRPr="00E77940">
        <w:t>Unit Descriptor</w:t>
      </w:r>
    </w:p>
    <w:tbl>
      <w:tblPr>
        <w:tblW w:w="0" w:type="auto"/>
        <w:tblLayout w:type="fixed"/>
        <w:tblCellMar>
          <w:left w:w="62" w:type="dxa"/>
          <w:right w:w="62" w:type="dxa"/>
        </w:tblCellMar>
        <w:tblLook w:val="0000"/>
      </w:tblPr>
      <w:tblGrid>
        <w:gridCol w:w="2656"/>
        <w:gridCol w:w="5866"/>
      </w:tblGrid>
      <w:tr w:rsidTr="007823D8">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r w:rsidRPr="00E77940">
              <w:t>This unit of competency involves identifying the features of seafood species to determine both scie</w:t>
            </w:r>
            <w:r w:rsidRPr="00E77940">
              <w:t>ntific and correct marketing names. There is a requirement to be able to take samples of the seafood for sensory evaluation, and to identify relationships between sensory, chemical and/or microbiological indicators to determine the presence or otherwise of</w:t>
            </w:r>
            <w:r w:rsidRPr="00E77940">
              <w:t xml:space="preserve"> spoilage factors. </w:t>
            </w:r>
          </w:p>
          <w:p w:rsidR="00000000" w:rsidRPr="00E77940" w:rsidP="00E77940">
            <w:pPr>
              <w:pStyle w:val="BodyText"/>
            </w:pPr>
            <w:r w:rsidRPr="00E77940">
              <w:t>Knowledge of seafood species is applied to the determination of product quality, likely yield, productivity requirements and to decide appropriate action to be taken in respect of the batch.</w:t>
            </w:r>
          </w:p>
          <w:p w:rsidR="00000000" w:rsidRPr="00E77940" w:rsidP="00E77940">
            <w:pPr>
              <w:pStyle w:val="BodyText"/>
            </w:pPr>
            <w:r w:rsidRPr="00E77940">
              <w:t>Licensing, legislative, regulatory or certifi</w:t>
            </w:r>
            <w:r w:rsidRPr="00E77940">
              <w:t>cation requirements may apply to this unit. Therefore it will be necessary to check with the relevant state or territory regulators for current licensing, legislative or regulatory requirements before undertaking this unit.</w:t>
            </w:r>
          </w:p>
        </w:tc>
      </w:tr>
    </w:tbl>
    <w:p w:rsidR="007823D8" w:rsidP="00E77940">
      <w:pPr>
        <w:pStyle w:val="BodyText"/>
      </w:pPr>
    </w:p>
    <w:p w:rsidR="007823D8" w:rsidP="00E77940">
      <w:pPr>
        <w:pStyle w:val="BodyText"/>
      </w:pPr>
    </w:p>
    <w:p w:rsidR="00000000" w:rsidRPr="00E77940" w:rsidP="00E77940">
      <w:pPr>
        <w:pStyle w:val="Heading1"/>
      </w:pPr>
      <w:bookmarkStart w:id="3" w:name="O_218539"/>
      <w:bookmarkEnd w:id="3"/>
      <w:r w:rsidRPr="00E77940">
        <w:t>Application of the Unit</w:t>
      </w:r>
    </w:p>
    <w:tbl>
      <w:tblPr>
        <w:tblW w:w="0" w:type="auto"/>
        <w:tblLayout w:type="fixed"/>
        <w:tblCellMar>
          <w:left w:w="62" w:type="dxa"/>
          <w:right w:w="62" w:type="dxa"/>
        </w:tblCellMar>
        <w:tblLook w:val="0000"/>
      </w:tblPr>
      <w:tblGrid>
        <w:gridCol w:w="2745"/>
        <w:gridCol w:w="5777"/>
      </w:tblGrid>
      <w:tr w:rsidTr="007823D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r w:rsidRPr="00E77940">
              <w:t>This unit has application to seafood processing facilities.</w:t>
            </w:r>
          </w:p>
          <w:p w:rsidR="00000000" w:rsidRPr="00E77940" w:rsidP="00E77940">
            <w:pPr>
              <w:pStyle w:val="BodyText"/>
            </w:pPr>
            <w:r w:rsidRPr="00E77940">
              <w:t xml:space="preserve">All enterprise or workplace procedures and activities are carried out according to </w:t>
            </w:r>
            <w:r w:rsidRPr="00E77940">
              <w:rPr>
                <w:rStyle w:val="BoldandItalics"/>
              </w:rPr>
              <w:t>relevant government regulations</w:t>
            </w:r>
            <w:r w:rsidRPr="00E77940">
              <w:t xml:space="preserve">, </w:t>
            </w:r>
            <w:r w:rsidRPr="00E77940">
              <w:rPr>
                <w:rStyle w:val="BoldandItalics"/>
              </w:rPr>
              <w:t xml:space="preserve">licensing and other compliance </w:t>
            </w:r>
            <w:r w:rsidRPr="00E77940">
              <w:rPr>
                <w:rStyle w:val="BoldandItalics"/>
              </w:rPr>
              <w:t>requirements and</w:t>
            </w:r>
            <w:r w:rsidRPr="00E77940">
              <w:t xml:space="preserve"> </w:t>
            </w:r>
            <w:r w:rsidRPr="00E77940">
              <w:rPr>
                <w:rStyle w:val="BoldandItalics"/>
              </w:rPr>
              <w:t>food safety and hygiene regulations and procedures</w:t>
            </w:r>
            <w:r w:rsidRPr="00E77940">
              <w:t xml:space="preserve">.  </w:t>
            </w:r>
          </w:p>
        </w:tc>
      </w:tr>
    </w:tbl>
    <w:p w:rsidR="007823D8" w:rsidP="00E77940">
      <w:pPr>
        <w:pStyle w:val="BodyText"/>
      </w:pPr>
    </w:p>
    <w:p w:rsidR="007823D8" w:rsidP="00E77940">
      <w:pPr>
        <w:pStyle w:val="BodyText"/>
      </w:pPr>
    </w:p>
    <w:p w:rsidR="00000000" w:rsidRPr="00E77940" w:rsidP="00E77940">
      <w:pPr>
        <w:pStyle w:val="Heading1"/>
      </w:pPr>
      <w:bookmarkStart w:id="4" w:name="O_281552"/>
      <w:bookmarkEnd w:id="4"/>
      <w:r w:rsidRPr="00E77940">
        <w:t>Licensing/Regulatory Information</w:t>
      </w:r>
    </w:p>
    <w:p w:rsidR="00000000" w:rsidRPr="00E77940" w:rsidP="00E77940">
      <w:pPr>
        <w:pStyle w:val="BodyText"/>
      </w:pPr>
      <w:r w:rsidRPr="00E77940">
        <w:t>Refer to Unit Descriptor</w:t>
      </w:r>
    </w:p>
    <w:p w:rsidR="00000000" w:rsidRPr="00E77940" w:rsidP="00E77940">
      <w:pPr>
        <w:pStyle w:val="AllowPageBreak"/>
      </w:pPr>
    </w:p>
    <w:p w:rsidR="00000000" w:rsidRPr="00E77940" w:rsidP="00E77940">
      <w:pPr>
        <w:pStyle w:val="Heading1"/>
      </w:pPr>
      <w:bookmarkStart w:id="5" w:name="O_218537"/>
      <w:bookmarkEnd w:id="5"/>
      <w:r w:rsidRPr="00E77940">
        <w:t>Pre-Requisites</w:t>
      </w:r>
    </w:p>
    <w:tbl>
      <w:tblPr>
        <w:tblW w:w="0" w:type="auto"/>
        <w:tblLayout w:type="fixed"/>
        <w:tblCellMar>
          <w:left w:w="62" w:type="dxa"/>
          <w:right w:w="62" w:type="dxa"/>
        </w:tblCellMar>
        <w:tblLook w:val="0000"/>
      </w:tblPr>
      <w:tblGrid>
        <w:gridCol w:w="2775"/>
        <w:gridCol w:w="1295"/>
        <w:gridCol w:w="4452"/>
      </w:tblGrid>
      <w:tr w:rsidTr="007823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p>
        </w:tc>
      </w:tr>
      <w:tr w:rsidTr="007823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p>
        </w:tc>
      </w:tr>
      <w:tr w:rsidTr="007823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p>
        </w:tc>
      </w:tr>
    </w:tbl>
    <w:p w:rsidR="007823D8" w:rsidP="00E77940">
      <w:pPr>
        <w:pStyle w:val="BodyText"/>
      </w:pPr>
    </w:p>
    <w:p w:rsidR="007823D8" w:rsidP="00E77940">
      <w:pPr>
        <w:pStyle w:val="BodyText"/>
      </w:pPr>
    </w:p>
    <w:p w:rsidR="00000000" w:rsidRPr="00E77940" w:rsidP="00E77940">
      <w:pPr>
        <w:pStyle w:val="Heading1"/>
      </w:pPr>
      <w:bookmarkStart w:id="6" w:name="O_218536"/>
      <w:bookmarkEnd w:id="6"/>
      <w:r w:rsidRPr="00E77940">
        <w:t>Employability Skills Information</w:t>
      </w:r>
    </w:p>
    <w:tbl>
      <w:tblPr>
        <w:tblW w:w="0" w:type="auto"/>
        <w:tblLayout w:type="fixed"/>
        <w:tblCellMar>
          <w:left w:w="62" w:type="dxa"/>
          <w:right w:w="62" w:type="dxa"/>
        </w:tblCellMar>
        <w:tblLook w:val="0000"/>
      </w:tblPr>
      <w:tblGrid>
        <w:gridCol w:w="2802"/>
        <w:gridCol w:w="5720"/>
      </w:tblGrid>
      <w:tr w:rsidTr="007823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r w:rsidRPr="00E77940">
              <w:t xml:space="preserve">This unit contains employability skills.  </w:t>
            </w:r>
          </w:p>
        </w:tc>
      </w:tr>
    </w:tbl>
    <w:p w:rsidR="007823D8" w:rsidP="00E77940">
      <w:pPr>
        <w:pStyle w:val="BodyText"/>
      </w:pPr>
    </w:p>
    <w:p w:rsidR="007823D8" w:rsidP="00E77940">
      <w:pPr>
        <w:pStyle w:val="BodyText"/>
      </w:pPr>
    </w:p>
    <w:p w:rsidR="00000000" w:rsidRPr="00E77940" w:rsidP="00E77940">
      <w:pPr>
        <w:pStyle w:val="Heading1"/>
      </w:pPr>
      <w:bookmarkStart w:id="7" w:name="O_291338"/>
      <w:bookmarkEnd w:id="7"/>
      <w:r w:rsidRPr="00E77940">
        <w:t>Elements and Performance Criteria Pre-Content</w:t>
      </w:r>
    </w:p>
    <w:tbl>
      <w:tblPr>
        <w:tblW w:w="0" w:type="auto"/>
        <w:tblLayout w:type="fixed"/>
        <w:tblCellMar>
          <w:left w:w="62" w:type="dxa"/>
          <w:right w:w="62" w:type="dxa"/>
        </w:tblCellMar>
        <w:tblLook w:val="0000"/>
      </w:tblPr>
      <w:tblGrid>
        <w:gridCol w:w="2558"/>
        <w:gridCol w:w="5964"/>
      </w:tblGrid>
      <w:tr w:rsidTr="007823D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r w:rsidRPr="00E77940">
              <w:t>Performance criteria describe the performance needed to demonstrate achievement of the element. Where bold italicised text is used, further information is detailed in the required skills and knowledge section and the range statement. Assessment of performa</w:t>
            </w:r>
            <w:r w:rsidRPr="00E77940">
              <w:t>nce is to be consistent with the evidence guide.</w:t>
            </w:r>
          </w:p>
        </w:tc>
      </w:tr>
    </w:tbl>
    <w:p w:rsidR="00000000" w:rsidRPr="00E77940" w:rsidP="00E77940">
      <w:pPr>
        <w:pStyle w:val="BodyText"/>
      </w:pPr>
    </w:p>
    <w:p w:rsidR="00000000" w:rsidRPr="00E77940" w:rsidP="00E77940">
      <w:pPr>
        <w:pStyle w:val="AllowPageBreak"/>
      </w:pPr>
    </w:p>
    <w:p w:rsidR="00000000" w:rsidRPr="00E77940" w:rsidP="00E77940">
      <w:pPr>
        <w:pStyle w:val="Heading1"/>
      </w:pPr>
      <w:bookmarkStart w:id="8" w:name="O_238006"/>
      <w:bookmarkEnd w:id="8"/>
      <w:r w:rsidRPr="00E77940">
        <w:t>Elements and Performance Criteria</w:t>
      </w:r>
    </w:p>
    <w:tbl>
      <w:tblPr>
        <w:tblW w:w="0" w:type="auto"/>
        <w:tblLayout w:type="fixed"/>
        <w:tblCellMar>
          <w:left w:w="62" w:type="dxa"/>
          <w:right w:w="62" w:type="dxa"/>
        </w:tblCellMar>
        <w:tblLook w:val="0000"/>
      </w:tblPr>
      <w:tblGrid>
        <w:gridCol w:w="2558"/>
        <w:gridCol w:w="5964"/>
      </w:tblGrid>
      <w:tr w:rsidTr="007823D8">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r w:rsidRPr="00E77940">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PERFORMANCE CRITERIA</w:t>
            </w:r>
          </w:p>
        </w:tc>
      </w:tr>
      <w:tr w:rsidTr="007823D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List"/>
              <w:rPr>
                <w:lang w:val="en-NZ"/>
              </w:rPr>
            </w:pPr>
            <w:r w:rsidRPr="00E77940">
              <w:t>1.</w:t>
            </w:r>
            <w:r w:rsidRPr="00E77940">
              <w:tab/>
              <w:t xml:space="preserve">Identify seafood species by </w:t>
            </w:r>
            <w:r w:rsidRPr="00E77940">
              <w:rPr>
                <w:rStyle w:val="BoldandItalics"/>
              </w:rPr>
              <w:t>scientific and correct marketing names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2"/>
            </w:pPr>
            <w:r w:rsidRPr="00E77940">
              <w:t>1.1.</w:t>
            </w:r>
            <w:r w:rsidRPr="00E77940">
              <w:tab/>
            </w:r>
            <w:r w:rsidRPr="00E77940">
              <w:rPr>
                <w:rStyle w:val="BoldandItalics"/>
              </w:rPr>
              <w:t>Anatomical</w:t>
            </w:r>
            <w:r w:rsidRPr="00E77940">
              <w:t xml:space="preserve"> and other </w:t>
            </w:r>
            <w:r w:rsidRPr="00E77940">
              <w:rPr>
                <w:rStyle w:val="BoldandItalics"/>
              </w:rPr>
              <w:t>features and characteristics</w:t>
            </w:r>
            <w:r w:rsidRPr="00E77940">
              <w:t xml:space="preserve"> of a </w:t>
            </w:r>
            <w:r w:rsidRPr="00E77940">
              <w:rPr>
                <w:rStyle w:val="BoldandItalics"/>
              </w:rPr>
              <w:t>seafood</w:t>
            </w:r>
            <w:r w:rsidRPr="00E77940">
              <w:t xml:space="preserve"> species are identified to establish correct name. </w:t>
            </w:r>
          </w:p>
          <w:p w:rsidR="00000000" w:rsidP="00E77940">
            <w:pPr>
              <w:pStyle w:val="List2"/>
              <w:rPr>
                <w:lang w:val="en-NZ"/>
              </w:rPr>
            </w:pPr>
            <w:r w:rsidRPr="00E77940">
              <w:t>1.2.</w:t>
            </w:r>
            <w:r w:rsidRPr="00E77940">
              <w:tab/>
              <w:t>Edible and/or useable portions are quantified in terms of flavour, texture and ease of eating characteristics known to exist in the species and/or the requirements of the product specifi</w:t>
            </w:r>
            <w:r w:rsidRPr="00E77940">
              <w:t>cation.</w:t>
            </w:r>
          </w:p>
        </w:tc>
      </w:tr>
      <w:tr w:rsidTr="007823D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List"/>
              <w:rPr>
                <w:lang w:val="en-NZ"/>
              </w:rPr>
            </w:pPr>
            <w:r w:rsidRPr="00E77940">
              <w:t>2.</w:t>
            </w:r>
            <w:r w:rsidRPr="00E77940">
              <w:tab/>
              <w:t>Sample a batch of seafood for sensory evaluation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2"/>
            </w:pPr>
            <w:r w:rsidRPr="00E77940">
              <w:t>2.1.</w:t>
            </w:r>
            <w:r w:rsidRPr="00E77940">
              <w:tab/>
              <w:t>The type and quantity of seafood to be sampled is established.</w:t>
            </w:r>
          </w:p>
          <w:p w:rsidR="00000000" w:rsidP="00E77940">
            <w:pPr>
              <w:pStyle w:val="List2"/>
              <w:rPr>
                <w:lang w:val="en-NZ"/>
              </w:rPr>
            </w:pPr>
            <w:r w:rsidRPr="00E77940">
              <w:t>2.2.</w:t>
            </w:r>
            <w:r w:rsidRPr="00E77940">
              <w:tab/>
              <w:t>Samples are removed from the batch and forwarded for evaluation according to the requirements of the enterprise sampling p</w:t>
            </w:r>
            <w:r w:rsidRPr="00E77940">
              <w:t>lan.</w:t>
            </w:r>
          </w:p>
        </w:tc>
      </w:tr>
      <w:tr w:rsidTr="007823D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List"/>
              <w:rPr>
                <w:lang w:val="en-NZ"/>
              </w:rPr>
            </w:pPr>
            <w:r w:rsidRPr="00E77940">
              <w:t>3.</w:t>
            </w:r>
            <w:r w:rsidRPr="00E77940">
              <w:tab/>
              <w:t>Evaluate seafood to determine presence (or otherwise) of spoilage characteristics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2"/>
            </w:pPr>
            <w:r w:rsidRPr="00E77940">
              <w:t>3.1.</w:t>
            </w:r>
            <w:r w:rsidRPr="00E77940">
              <w:tab/>
            </w:r>
            <w:r w:rsidRPr="00E77940">
              <w:rPr>
                <w:rStyle w:val="BoldandItalics"/>
              </w:rPr>
              <w:t>Sensory</w:t>
            </w:r>
            <w:r w:rsidRPr="00E77940">
              <w:t xml:space="preserve">, </w:t>
            </w:r>
            <w:r w:rsidRPr="00E77940">
              <w:rPr>
                <w:rStyle w:val="BoldandItalics"/>
              </w:rPr>
              <w:t>chemical and</w:t>
            </w:r>
            <w:r w:rsidRPr="00E77940">
              <w:t>/</w:t>
            </w:r>
            <w:r w:rsidRPr="00E77940">
              <w:rPr>
                <w:rStyle w:val="BoldandItalics"/>
              </w:rPr>
              <w:t>or microbiological indicators</w:t>
            </w:r>
            <w:r w:rsidRPr="00E77940">
              <w:t xml:space="preserve"> are assessed to determine spoilage factors present in the batch of seafood. </w:t>
            </w:r>
          </w:p>
          <w:p w:rsidR="00000000" w:rsidP="00E77940">
            <w:pPr>
              <w:pStyle w:val="List2"/>
              <w:rPr>
                <w:lang w:val="en-NZ"/>
              </w:rPr>
            </w:pPr>
            <w:r w:rsidRPr="00E77940">
              <w:t>3.2.</w:t>
            </w:r>
            <w:r w:rsidRPr="00E77940">
              <w:tab/>
              <w:t>The relationship between t</w:t>
            </w:r>
            <w:r w:rsidRPr="00E77940">
              <w:t xml:space="preserve">he quality profile required and the </w:t>
            </w:r>
            <w:r w:rsidRPr="00E77940">
              <w:rPr>
                <w:rStyle w:val="BoldandItalics"/>
              </w:rPr>
              <w:t>processing</w:t>
            </w:r>
            <w:r w:rsidRPr="00E77940">
              <w:t xml:space="preserve"> needed for the batch is determined. </w:t>
            </w:r>
          </w:p>
        </w:tc>
      </w:tr>
      <w:tr w:rsidTr="007823D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List"/>
              <w:rPr>
                <w:lang w:val="en-NZ"/>
              </w:rPr>
            </w:pPr>
            <w:r w:rsidRPr="00E77940">
              <w:t>4.</w:t>
            </w:r>
            <w:r w:rsidRPr="00E77940">
              <w:tab/>
              <w:t>Develop a quality profile for the batch using a scoring system</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2"/>
            </w:pPr>
            <w:r w:rsidRPr="00E77940">
              <w:t>4.1.</w:t>
            </w:r>
            <w:r w:rsidRPr="00E77940">
              <w:tab/>
            </w:r>
            <w:r w:rsidRPr="00E77940">
              <w:t>A quality profile is developed for the batch of seafood according to the enterprise score system criteria.</w:t>
            </w:r>
          </w:p>
          <w:p w:rsidR="00000000" w:rsidP="00E77940">
            <w:pPr>
              <w:pStyle w:val="List2"/>
              <w:rPr>
                <w:lang w:val="en-NZ"/>
              </w:rPr>
            </w:pPr>
            <w:r w:rsidRPr="00E77940">
              <w:t>4.2.</w:t>
            </w:r>
            <w:r w:rsidRPr="00E77940">
              <w:tab/>
              <w:t xml:space="preserve">Terminology used in the profile is consistent with the enterprise </w:t>
            </w:r>
            <w:r w:rsidRPr="00E77940">
              <w:rPr>
                <w:rStyle w:val="BoldandItalics"/>
              </w:rPr>
              <w:t>score</w:t>
            </w:r>
            <w:r w:rsidRPr="00E77940">
              <w:t xml:space="preserve"> </w:t>
            </w:r>
            <w:r w:rsidRPr="00E77940">
              <w:rPr>
                <w:rStyle w:val="BoldandItalics"/>
              </w:rPr>
              <w:t>system</w:t>
            </w:r>
            <w:r w:rsidRPr="00E77940">
              <w:t xml:space="preserve"> criteria. </w:t>
            </w:r>
          </w:p>
        </w:tc>
      </w:tr>
      <w:tr w:rsidTr="007823D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List"/>
              <w:rPr>
                <w:lang w:val="en-NZ"/>
              </w:rPr>
            </w:pPr>
            <w:r w:rsidRPr="00E77940">
              <w:t>5.</w:t>
            </w:r>
            <w:r w:rsidRPr="00E77940">
              <w:tab/>
              <w:t>Estimate yields and productivity for a batch of se</w:t>
            </w:r>
            <w:r w:rsidRPr="00E77940">
              <w:t>afood</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2"/>
            </w:pPr>
            <w:r w:rsidRPr="00E77940">
              <w:t>5.1.</w:t>
            </w:r>
            <w:r w:rsidRPr="00E77940">
              <w:tab/>
              <w:t xml:space="preserve">Projected yield from the batch is estimated according to end-product specifications. </w:t>
            </w:r>
          </w:p>
          <w:p w:rsidR="00000000" w:rsidP="00E77940">
            <w:pPr>
              <w:pStyle w:val="List2"/>
              <w:rPr>
                <w:lang w:val="en-NZ"/>
              </w:rPr>
            </w:pPr>
            <w:r w:rsidRPr="00E77940">
              <w:t>5.2.</w:t>
            </w:r>
            <w:r w:rsidRPr="00E77940">
              <w:tab/>
              <w:t xml:space="preserve">The </w:t>
            </w:r>
            <w:r w:rsidRPr="00E77940">
              <w:rPr>
                <w:rStyle w:val="BoldandItalics"/>
              </w:rPr>
              <w:t>productivity</w:t>
            </w:r>
            <w:r w:rsidRPr="00E77940">
              <w:t xml:space="preserve"> potential of the batch of seafood is determined using end-product specifications and/or processing guidelines. </w:t>
            </w:r>
          </w:p>
        </w:tc>
      </w:tr>
      <w:tr w:rsidTr="007823D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List"/>
              <w:rPr>
                <w:lang w:val="en-NZ"/>
              </w:rPr>
            </w:pPr>
            <w:r w:rsidRPr="00E77940">
              <w:t>6.</w:t>
            </w:r>
            <w:r w:rsidRPr="00E77940">
              <w:tab/>
              <w:t>Initiate action for t</w:t>
            </w:r>
            <w:r w:rsidRPr="00E77940">
              <w:t>he batch of seafood according to its quality profile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2"/>
            </w:pPr>
            <w:r w:rsidRPr="00E77940">
              <w:t>6.1.</w:t>
            </w:r>
            <w:r w:rsidRPr="00E77940">
              <w:tab/>
              <w:t>A destination for the batch of seafood is determined according to the processing requirements and quality profile of the batch.</w:t>
            </w:r>
          </w:p>
          <w:p w:rsidR="00000000" w:rsidRPr="00E77940" w:rsidP="00E77940">
            <w:pPr>
              <w:pStyle w:val="List2"/>
            </w:pPr>
            <w:r w:rsidRPr="00E77940">
              <w:t>6.2.</w:t>
            </w:r>
            <w:r w:rsidRPr="00E77940">
              <w:tab/>
              <w:t>Results of evaluation are assessed against vendor self-assessment</w:t>
            </w:r>
            <w:r w:rsidRPr="00E77940">
              <w:t xml:space="preserve"> criteria, where appropriate, and results recorded and reported.</w:t>
            </w:r>
          </w:p>
          <w:p w:rsidR="00000000" w:rsidRPr="00E77940" w:rsidP="00E77940">
            <w:pPr>
              <w:pStyle w:val="List2"/>
            </w:pPr>
            <w:r w:rsidRPr="00E77940">
              <w:t>6.3.</w:t>
            </w:r>
            <w:r w:rsidRPr="00E77940">
              <w:tab/>
            </w:r>
            <w:r w:rsidRPr="00E77940">
              <w:rPr>
                <w:rStyle w:val="BoldandItalics"/>
              </w:rPr>
              <w:t>Documentation</w:t>
            </w:r>
            <w:r w:rsidRPr="00E77940">
              <w:t xml:space="preserve"> relating to the batch is processed correctly.</w:t>
            </w:r>
          </w:p>
          <w:p w:rsidR="00000000" w:rsidRPr="00E77940" w:rsidP="00E77940">
            <w:pPr>
              <w:pStyle w:val="List2"/>
            </w:pPr>
            <w:r w:rsidRPr="00E77940">
              <w:t>6.4.</w:t>
            </w:r>
            <w:r w:rsidRPr="00E77940">
              <w:tab/>
            </w:r>
            <w:r w:rsidRPr="00E77940">
              <w:rPr>
                <w:rStyle w:val="BoldandItalics"/>
              </w:rPr>
              <w:t>Vendor assessment criteria</w:t>
            </w:r>
            <w:r w:rsidRPr="00E77940">
              <w:t xml:space="preserve"> is adjusted, as required. </w:t>
            </w:r>
          </w:p>
        </w:tc>
      </w:tr>
    </w:tbl>
    <w:p w:rsidR="007823D8" w:rsidP="00E77940">
      <w:pPr>
        <w:pStyle w:val="BodyText"/>
      </w:pPr>
    </w:p>
    <w:p w:rsidR="007823D8" w:rsidP="00E77940">
      <w:pPr>
        <w:pStyle w:val="BodyText"/>
      </w:pPr>
    </w:p>
    <w:p w:rsidR="00000000" w:rsidRPr="00E77940" w:rsidP="00E77940">
      <w:pPr>
        <w:pStyle w:val="Heading1"/>
      </w:pPr>
      <w:bookmarkStart w:id="9" w:name="O_261797"/>
      <w:bookmarkEnd w:id="9"/>
      <w:r w:rsidRPr="00E77940">
        <w:t>Required Skills and Knowledge</w:t>
      </w:r>
    </w:p>
    <w:tbl>
      <w:tblPr>
        <w:tblW w:w="0" w:type="auto"/>
        <w:tblLayout w:type="fixed"/>
        <w:tblCellMar>
          <w:left w:w="62" w:type="dxa"/>
          <w:right w:w="62" w:type="dxa"/>
        </w:tblCellMar>
        <w:tblLook w:val="0000"/>
      </w:tblPr>
      <w:tblGrid>
        <w:gridCol w:w="8522"/>
      </w:tblGrid>
      <w:tr w:rsidTr="007823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REQUIRED SKILLS AND KNOWLEDGE</w:t>
            </w:r>
          </w:p>
        </w:tc>
      </w:tr>
      <w:tr w:rsidTr="007823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t>This section describes the skills and knowledge required for this unit.</w:t>
            </w:r>
          </w:p>
        </w:tc>
      </w:tr>
      <w:tr w:rsidTr="007823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Required skills</w:t>
            </w:r>
          </w:p>
        </w:tc>
      </w:tr>
      <w:tr w:rsidTr="007823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assessing seafood quality against a product specification</w:t>
            </w:r>
          </w:p>
          <w:p w:rsidR="00000000" w:rsidRPr="00E77940" w:rsidP="00E77940">
            <w:pPr>
              <w:pStyle w:val="ListBullet"/>
            </w:pPr>
            <w:r w:rsidRPr="00E77940">
              <w:t>accuracy in determining yield and productivity</w:t>
            </w:r>
          </w:p>
          <w:p w:rsidR="00000000" w:rsidRPr="00E77940" w:rsidP="00E77940">
            <w:pPr>
              <w:pStyle w:val="ListBullet"/>
            </w:pPr>
            <w:r w:rsidRPr="00E77940">
              <w:t>identifying stages of deterioration and presence of contaminants</w:t>
            </w:r>
          </w:p>
          <w:p w:rsidR="00000000" w:rsidRPr="00E77940" w:rsidP="00E77940">
            <w:pPr>
              <w:pStyle w:val="ListBullet"/>
            </w:pPr>
            <w:r w:rsidRPr="00E77940">
              <w:t>systematically organising work</w:t>
            </w:r>
          </w:p>
          <w:p w:rsidR="00000000" w:rsidRPr="00E77940" w:rsidP="00E77940">
            <w:pPr>
              <w:pStyle w:val="ListBullet"/>
            </w:pPr>
            <w:r w:rsidRPr="00E77940">
              <w:t>attention to detail</w:t>
            </w:r>
          </w:p>
          <w:p w:rsidR="00000000" w:rsidRPr="00E77940" w:rsidP="00E77940">
            <w:pPr>
              <w:pStyle w:val="ListBullet"/>
            </w:pPr>
            <w:r w:rsidRPr="00E77940">
              <w:t>using and caring for temperature recording devices.</w:t>
            </w:r>
          </w:p>
          <w:p w:rsidR="00000000" w:rsidRPr="00E77940" w:rsidP="00E77940">
            <w:pPr>
              <w:pStyle w:val="BodyText"/>
            </w:pPr>
          </w:p>
          <w:p w:rsidR="00000000" w:rsidRPr="00E77940" w:rsidP="00E77940">
            <w:pPr>
              <w:pStyle w:val="BodyText"/>
            </w:pPr>
            <w:r w:rsidRPr="00E77940">
              <w:rPr>
                <w:rStyle w:val="SpecialBold"/>
              </w:rPr>
              <w:t>Literacy skills used for</w:t>
            </w:r>
            <w:r w:rsidRPr="00E77940">
              <w:t xml:space="preserve">: </w:t>
            </w:r>
          </w:p>
          <w:p w:rsidR="00000000" w:rsidRPr="00E77940" w:rsidP="00E77940">
            <w:pPr>
              <w:pStyle w:val="ListBullet"/>
            </w:pPr>
            <w:r w:rsidRPr="00E77940">
              <w:t>reading and interpreting product specifications and quality</w:t>
            </w:r>
            <w:r w:rsidRPr="00E77940">
              <w:t xml:space="preserve"> criteria</w:t>
            </w:r>
          </w:p>
          <w:p w:rsidR="00000000" w:rsidRPr="00E77940" w:rsidP="00E77940">
            <w:pPr>
              <w:pStyle w:val="ListBullet"/>
            </w:pPr>
            <w:r w:rsidRPr="00E77940">
              <w:t>completing complex forms</w:t>
            </w:r>
          </w:p>
          <w:p w:rsidR="00000000" w:rsidRPr="00E77940" w:rsidP="00E77940">
            <w:pPr>
              <w:pStyle w:val="ListBullet"/>
            </w:pPr>
            <w:r w:rsidRPr="00E77940">
              <w:t>identifying and tracing product.</w:t>
            </w:r>
          </w:p>
          <w:p w:rsidR="00000000" w:rsidRPr="00E77940" w:rsidP="00E77940">
            <w:pPr>
              <w:pStyle w:val="BodyText"/>
            </w:pPr>
          </w:p>
          <w:p w:rsidR="00000000" w:rsidRPr="00E77940" w:rsidP="00E77940">
            <w:pPr>
              <w:pStyle w:val="BodyText"/>
            </w:pPr>
            <w:r w:rsidRPr="00E77940">
              <w:rPr>
                <w:rStyle w:val="SpecialBold"/>
              </w:rPr>
              <w:t>Numeracy skills used for</w:t>
            </w:r>
            <w:r w:rsidRPr="00E77940">
              <w:t xml:space="preserve">: </w:t>
            </w:r>
          </w:p>
          <w:p w:rsidR="00000000" w:rsidRPr="00E77940" w:rsidP="00E77940">
            <w:pPr>
              <w:pStyle w:val="ListBullet"/>
            </w:pPr>
            <w:r w:rsidRPr="00E77940">
              <w:t>calculating yield, productivity and/or volumes</w:t>
            </w:r>
          </w:p>
          <w:p w:rsidR="00000000" w:rsidP="00E77940">
            <w:pPr>
              <w:pStyle w:val="ListBullet"/>
              <w:rPr>
                <w:lang w:val="en-NZ"/>
              </w:rPr>
            </w:pPr>
            <w:r w:rsidRPr="00E77940">
              <w:t>verifying supplier/vendor information.</w:t>
            </w:r>
          </w:p>
        </w:tc>
      </w:tr>
      <w:tr w:rsidTr="007823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Required knowledge</w:t>
            </w:r>
          </w:p>
        </w:tc>
      </w:tr>
      <w:tr w:rsidTr="007823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correct seafood nomenclature</w:t>
            </w:r>
          </w:p>
          <w:p w:rsidR="00000000" w:rsidRPr="00E77940" w:rsidP="00E77940">
            <w:pPr>
              <w:pStyle w:val="ListBullet"/>
            </w:pPr>
            <w:r w:rsidRPr="00E77940">
              <w:t>internationally accepted seafood marketing names and terms, including Australian Fish Names Standard</w:t>
            </w:r>
          </w:p>
          <w:p w:rsidR="00000000" w:rsidRPr="00E77940" w:rsidP="00E77940">
            <w:pPr>
              <w:pStyle w:val="ListBullet"/>
            </w:pPr>
            <w:r w:rsidRPr="00E77940">
              <w:t>Codex Alimentarius Commission, international and national food standards</w:t>
            </w:r>
          </w:p>
          <w:p w:rsidR="00000000" w:rsidRPr="00E77940" w:rsidP="00E77940">
            <w:pPr>
              <w:pStyle w:val="ListBullet"/>
            </w:pPr>
            <w:r w:rsidRPr="00E77940">
              <w:t>sampling techniques</w:t>
            </w:r>
          </w:p>
          <w:p w:rsidR="00000000" w:rsidRPr="00E77940" w:rsidP="00E77940">
            <w:pPr>
              <w:pStyle w:val="ListBullet"/>
            </w:pPr>
            <w:r w:rsidRPr="00E77940">
              <w:t>factors affecting yield</w:t>
            </w:r>
          </w:p>
          <w:p w:rsidR="00000000" w:rsidRPr="00E77940" w:rsidP="00E77940">
            <w:pPr>
              <w:pStyle w:val="ListBullet"/>
            </w:pPr>
            <w:r w:rsidRPr="00E77940">
              <w:t>productivity derived from a range of p</w:t>
            </w:r>
            <w:r w:rsidRPr="00E77940">
              <w:t>rocessing options</w:t>
            </w:r>
          </w:p>
          <w:p w:rsidR="00000000" w:rsidRPr="00E77940" w:rsidP="00E77940">
            <w:pPr>
              <w:pStyle w:val="ListBullet"/>
            </w:pPr>
            <w:r w:rsidRPr="00E77940">
              <w:t>final product specifications</w:t>
            </w:r>
          </w:p>
          <w:p w:rsidR="00000000" w:rsidRPr="00E77940" w:rsidP="00E77940">
            <w:pPr>
              <w:pStyle w:val="ListBullet"/>
            </w:pPr>
            <w:r w:rsidRPr="00E77940">
              <w:t>sensor methods using a scoring system for evaluating seafood.</w:t>
            </w:r>
          </w:p>
        </w:tc>
      </w:tr>
    </w:tbl>
    <w:p w:rsidR="007823D8" w:rsidP="00E77940">
      <w:pPr>
        <w:pStyle w:val="BodyText"/>
      </w:pPr>
    </w:p>
    <w:p w:rsidR="007823D8" w:rsidP="00E77940">
      <w:pPr>
        <w:pStyle w:val="BodyText"/>
      </w:pPr>
    </w:p>
    <w:p w:rsidR="00000000" w:rsidRPr="00E77940" w:rsidP="00E77940">
      <w:pPr>
        <w:pStyle w:val="AllowPageBreak"/>
      </w:pPr>
    </w:p>
    <w:p w:rsidR="00000000" w:rsidRPr="00E77940" w:rsidP="00E77940">
      <w:pPr>
        <w:pStyle w:val="Heading1"/>
      </w:pPr>
      <w:bookmarkStart w:id="10" w:name="O_245990"/>
      <w:bookmarkEnd w:id="10"/>
      <w:r w:rsidRPr="00E77940">
        <w:t>Evidence Guide</w:t>
      </w:r>
    </w:p>
    <w:tbl>
      <w:tblPr>
        <w:tblW w:w="9570" w:type="dxa"/>
        <w:tblLayout w:type="fixed"/>
        <w:tblCellMar>
          <w:left w:w="62" w:type="dxa"/>
          <w:right w:w="62" w:type="dxa"/>
        </w:tblCellMar>
        <w:tblLook w:val="0000"/>
      </w:tblPr>
      <w:tblGrid>
        <w:gridCol w:w="3908"/>
        <w:gridCol w:w="5662"/>
      </w:tblGrid>
      <w:tr w:rsidTr="007823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EVIDENCE GUIDE</w:t>
            </w:r>
          </w:p>
        </w:tc>
      </w:tr>
      <w:tr w:rsidTr="007823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t>The evidence guide provides advice on assessment and must be read in conjunction with the performance criteria, required skills and knowledge, range statement and the Assessment Guidelines for the Training Package.</w:t>
            </w:r>
          </w:p>
        </w:tc>
      </w:tr>
      <w:tr w:rsidTr="007823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p>
        </w:tc>
      </w:tr>
      <w:tr w:rsidTr="007823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Critical aspec</w:t>
            </w:r>
            <w:r w:rsidRPr="00E77940">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r w:rsidRPr="00E77940">
              <w:t xml:space="preserve">Assessment must confirm the ability to: </w:t>
            </w:r>
          </w:p>
          <w:p w:rsidR="00000000" w:rsidRPr="00E77940" w:rsidP="00E77940">
            <w:pPr>
              <w:pStyle w:val="ListBullet"/>
            </w:pPr>
            <w:r w:rsidRPr="00E77940">
              <w:t>evaluate seafood by reliable means, and satisfy enterprise requirements, specifications, end-user requirements and other food safety and tr</w:t>
            </w:r>
            <w:r w:rsidRPr="00E77940">
              <w:t>ading requirements.</w:t>
            </w:r>
          </w:p>
          <w:p w:rsidR="00000000" w:rsidRPr="00E77940" w:rsidP="00E77940">
            <w:pPr>
              <w:pStyle w:val="BodyText"/>
            </w:pPr>
          </w:p>
          <w:p w:rsidR="00000000" w:rsidRPr="00E77940" w:rsidP="00E77940">
            <w:pPr>
              <w:pStyle w:val="BodyText"/>
            </w:pPr>
            <w:r w:rsidRPr="00E77940">
              <w:t>Assessment must confirm knowledge of:</w:t>
            </w:r>
          </w:p>
          <w:p w:rsidR="00000000" w:rsidRPr="00E77940" w:rsidP="00E77940">
            <w:pPr>
              <w:pStyle w:val="ListBullet"/>
            </w:pPr>
            <w:r w:rsidRPr="00E77940">
              <w:t>food safety standards</w:t>
            </w:r>
          </w:p>
          <w:p w:rsidR="00000000" w:rsidRPr="00E77940" w:rsidP="00E77940">
            <w:pPr>
              <w:pStyle w:val="ListBullet"/>
            </w:pPr>
            <w:r w:rsidRPr="00E77940">
              <w:t>requirements for the import of seafood</w:t>
            </w:r>
          </w:p>
          <w:p w:rsidR="00000000" w:rsidRPr="00E77940" w:rsidP="00E77940">
            <w:pPr>
              <w:pStyle w:val="ListBullet"/>
            </w:pPr>
            <w:r w:rsidRPr="00E77940">
              <w:t>species identification</w:t>
            </w:r>
          </w:p>
          <w:p w:rsidR="00000000" w:rsidP="00E77940">
            <w:pPr>
              <w:pStyle w:val="ListBullet"/>
              <w:rPr>
                <w:lang w:val="en-NZ"/>
              </w:rPr>
            </w:pPr>
            <w:r w:rsidRPr="00E77940">
              <w:t>the effects of time and temperature abuse.</w:t>
            </w:r>
          </w:p>
        </w:tc>
      </w:tr>
      <w:tr w:rsidTr="007823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r w:rsidRPr="00E77940">
              <w:t xml:space="preserve">Assessment may be conducted in the workplace or a simulated work environment Assessment will need to cover an appropriate cycle of events which is sufficient to encompass the range of species or seasonal events experienced by the enterprise. </w:t>
            </w:r>
          </w:p>
          <w:p w:rsidR="00000000" w:rsidRPr="00E77940" w:rsidP="00E77940">
            <w:pPr>
              <w:pStyle w:val="BodyText"/>
            </w:pPr>
          </w:p>
          <w:p w:rsidR="00000000" w:rsidRPr="00E77940" w:rsidP="00E77940">
            <w:pPr>
              <w:pStyle w:val="BodyText"/>
            </w:pPr>
            <w:r w:rsidRPr="00E77940">
              <w:t>Resources ma</w:t>
            </w:r>
            <w:r w:rsidRPr="00E77940">
              <w:t>y include:</w:t>
            </w:r>
          </w:p>
          <w:p w:rsidR="00000000" w:rsidRPr="00E77940" w:rsidP="00E77940">
            <w:pPr>
              <w:pStyle w:val="ListBullet"/>
            </w:pPr>
            <w:r w:rsidRPr="00E77940">
              <w:t>access to fish markets</w:t>
            </w:r>
          </w:p>
          <w:p w:rsidR="00000000" w:rsidRPr="00E77940" w:rsidP="00E77940">
            <w:pPr>
              <w:pStyle w:val="ListBullet"/>
            </w:pPr>
            <w:r w:rsidRPr="00E77940">
              <w:t>access to fishers cooperatives</w:t>
            </w:r>
          </w:p>
          <w:p w:rsidR="00000000" w:rsidRPr="00E77940" w:rsidP="00E77940">
            <w:pPr>
              <w:pStyle w:val="ListBullet"/>
            </w:pPr>
            <w:r w:rsidRPr="00E77940">
              <w:t>enterprise sampling plan</w:t>
            </w:r>
          </w:p>
          <w:p w:rsidR="00000000" w:rsidRPr="00E77940" w:rsidP="00E77940">
            <w:pPr>
              <w:pStyle w:val="ListBullet"/>
            </w:pPr>
            <w:r w:rsidRPr="00E77940">
              <w:t>examples of customer requirements</w:t>
            </w:r>
          </w:p>
          <w:p w:rsidR="00000000" w:rsidRPr="00E77940" w:rsidP="00E77940">
            <w:pPr>
              <w:pStyle w:val="ListBullet"/>
            </w:pPr>
            <w:r w:rsidRPr="00E77940">
              <w:t>examples of product specifications</w:t>
            </w:r>
          </w:p>
          <w:p w:rsidR="00000000" w:rsidRPr="00E77940" w:rsidP="00E77940">
            <w:pPr>
              <w:pStyle w:val="ListBullet"/>
            </w:pPr>
            <w:r w:rsidRPr="00E77940">
              <w:t>laboratory facilities</w:t>
            </w:r>
          </w:p>
          <w:p w:rsidR="00000000" w:rsidRPr="00E77940" w:rsidP="00E77940">
            <w:pPr>
              <w:pStyle w:val="ListBullet"/>
            </w:pPr>
            <w:r w:rsidRPr="00E77940">
              <w:t>range of product for evaluation</w:t>
            </w:r>
          </w:p>
          <w:p w:rsidR="00000000" w:rsidP="00E77940">
            <w:pPr>
              <w:pStyle w:val="ListBullet"/>
              <w:rPr>
                <w:lang w:val="en-NZ"/>
              </w:rPr>
            </w:pPr>
            <w:r w:rsidRPr="00E77940">
              <w:t>registered seafood processing facilities.</w:t>
            </w:r>
          </w:p>
        </w:tc>
      </w:tr>
      <w:tr w:rsidTr="007823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r w:rsidRPr="00E77940">
              <w:t xml:space="preserve">The following assessment methods are suggested: </w:t>
            </w:r>
          </w:p>
          <w:p w:rsidR="00000000" w:rsidRPr="00E77940" w:rsidP="00E77940">
            <w:pPr>
              <w:pStyle w:val="ListBullet"/>
            </w:pPr>
            <w:r w:rsidRPr="00E77940">
              <w:t xml:space="preserve">exercises evaluating seafood </w:t>
            </w:r>
          </w:p>
          <w:p w:rsidR="00000000" w:rsidP="00E77940">
            <w:pPr>
              <w:pStyle w:val="ListBullet"/>
              <w:rPr>
                <w:lang w:val="en-NZ"/>
              </w:rPr>
            </w:pPr>
            <w:r w:rsidRPr="00E77940">
              <w:t>portfolio of workplace documentation.</w:t>
            </w:r>
          </w:p>
        </w:tc>
      </w:tr>
      <w:tr w:rsidTr="007823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r w:rsidRPr="00E77940">
              <w:t>This unit may be assessed holistically with other seafood processing units with</w:t>
            </w:r>
            <w:r w:rsidRPr="00E77940">
              <w:t>in a qualification.</w:t>
            </w:r>
          </w:p>
        </w:tc>
      </w:tr>
    </w:tbl>
    <w:p w:rsidR="007823D8" w:rsidP="00E77940">
      <w:pPr>
        <w:pStyle w:val="BodyText"/>
      </w:pPr>
    </w:p>
    <w:p w:rsidR="007823D8" w:rsidP="00E77940">
      <w:pPr>
        <w:pStyle w:val="BodyText"/>
      </w:pPr>
    </w:p>
    <w:p w:rsidR="00000000" w:rsidRPr="00E77940" w:rsidP="00E77940">
      <w:pPr>
        <w:pStyle w:val="Heading1"/>
      </w:pPr>
      <w:bookmarkStart w:id="11" w:name="O_253973"/>
      <w:bookmarkEnd w:id="11"/>
      <w:r w:rsidRPr="00E77940">
        <w:t>Range Statement</w:t>
      </w:r>
    </w:p>
    <w:tbl>
      <w:tblPr>
        <w:tblW w:w="0" w:type="auto"/>
        <w:tblLayout w:type="fixed"/>
        <w:tblCellMar>
          <w:left w:w="62" w:type="dxa"/>
          <w:right w:w="62" w:type="dxa"/>
        </w:tblCellMar>
        <w:tblLook w:val="0000"/>
      </w:tblPr>
      <w:tblGrid>
        <w:gridCol w:w="3467"/>
        <w:gridCol w:w="5055"/>
      </w:tblGrid>
      <w:tr w:rsidTr="007823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RANGE STATEMENT</w:t>
            </w:r>
          </w:p>
        </w:tc>
      </w:tr>
      <w:tr w:rsidTr="007823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t xml:space="preserve">The range statement relates to the unit of competency as a whole. It allows for different work environments and situations that may affect </w:t>
            </w:r>
            <w:r w:rsidRPr="00E77940">
              <w:t>performance. Bold italicised wording, if used in the performance criteria, is detailed below. Essential operating conditions that may be present with training and assessment (depending on the work situation, needs of the candidate, accessibility of the ite</w:t>
            </w:r>
            <w:r w:rsidRPr="00E77940">
              <w:t>m, and local industry and regional contexts) may also be included.</w:t>
            </w:r>
          </w:p>
        </w:tc>
      </w:tr>
      <w:tr w:rsidTr="007823D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BoldandItalics"/>
              </w:rPr>
              <w:t>Relevant government regulations</w:t>
            </w:r>
            <w:r w:rsidRPr="00E77940">
              <w:t xml:space="preserve">, </w:t>
            </w:r>
            <w:r w:rsidRPr="00E77940">
              <w:rPr>
                <w:rStyle w:val="BoldandItalics"/>
              </w:rPr>
              <w:t>licensing and other compliance requirements</w:t>
            </w:r>
            <w:r w:rsidRPr="00E77940">
              <w:t xml:space="preserve"> may include: </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ecologically sustainable development (ESD) principles, environmental hazard identification, ris</w:t>
            </w:r>
            <w:r w:rsidRPr="00E77940">
              <w:t>k assessment and control</w:t>
            </w:r>
          </w:p>
          <w:p w:rsidR="00000000" w:rsidRPr="00E77940" w:rsidP="00E77940">
            <w:pPr>
              <w:pStyle w:val="ListBullet"/>
            </w:pPr>
            <w:r w:rsidRPr="00E77940">
              <w:t>fisheries or aquaculture regulations, permits, licences, quotas, catch restrictions, and other compliance requirements, including:</w:t>
            </w:r>
          </w:p>
          <w:p w:rsidR="00000000" w:rsidRPr="00E77940" w:rsidP="00E77940">
            <w:pPr>
              <w:pStyle w:val="ListBullet2"/>
            </w:pPr>
            <w:r w:rsidRPr="00E77940">
              <w:t>Australian Exclusive Economic Zone</w:t>
            </w:r>
          </w:p>
          <w:p w:rsidR="00000000" w:rsidRPr="00E77940" w:rsidP="00E77940">
            <w:pPr>
              <w:pStyle w:val="ListBullet2"/>
            </w:pPr>
            <w:r w:rsidRPr="00E77940">
              <w:t>international treaties and agreements</w:t>
            </w:r>
          </w:p>
          <w:p w:rsidR="00000000" w:rsidRPr="00E77940" w:rsidP="00E77940">
            <w:pPr>
              <w:pStyle w:val="ListBullet"/>
            </w:pPr>
            <w:r w:rsidRPr="00E77940">
              <w:t>food safety, Hazard Analysis Critical Control Point (HACCP), hygiene and temperature control along chain of custody</w:t>
            </w:r>
          </w:p>
          <w:p w:rsidR="00000000" w:rsidRPr="00E77940" w:rsidP="00E77940">
            <w:pPr>
              <w:pStyle w:val="ListBullet"/>
            </w:pPr>
            <w:r w:rsidRPr="00E77940">
              <w:t>imports quarantine and inspection, and importing approved arrangements for Australian Quarantine Inspection Service (AQIS), Australian Custo</w:t>
            </w:r>
            <w:r w:rsidRPr="00E77940">
              <w:t>ms Service (ACS) and Biosecurity Australia (BA)</w:t>
            </w:r>
          </w:p>
          <w:p w:rsidR="00000000" w:rsidRPr="00E77940" w:rsidP="00E77940">
            <w:pPr>
              <w:pStyle w:val="ListBullet"/>
            </w:pPr>
            <w:r w:rsidRPr="00E77940">
              <w:t>business or workplace operations, policies and practices:</w:t>
            </w:r>
          </w:p>
          <w:p w:rsidR="00000000" w:rsidRPr="00E77940" w:rsidP="00E77940">
            <w:pPr>
              <w:pStyle w:val="ListBullet2"/>
            </w:pPr>
            <w:r w:rsidRPr="00E77940">
              <w:t xml:space="preserve">commercial law, including fair trading and trade practices </w:t>
            </w:r>
          </w:p>
          <w:p w:rsidR="00000000" w:rsidRPr="00E77940" w:rsidP="00E77940">
            <w:pPr>
              <w:pStyle w:val="ListBullet2"/>
            </w:pPr>
            <w:r w:rsidRPr="00E77940">
              <w:t>consumer law</w:t>
            </w:r>
          </w:p>
          <w:p w:rsidR="00000000" w:rsidRPr="00E77940" w:rsidP="00E77940">
            <w:pPr>
              <w:pStyle w:val="ListBullet2"/>
            </w:pPr>
            <w:r w:rsidRPr="00E77940">
              <w:t xml:space="preserve">corporate law, including registration, licensing and financial reporting </w:t>
            </w:r>
          </w:p>
          <w:p w:rsidR="00000000" w:rsidRPr="00E77940" w:rsidP="00E77940">
            <w:pPr>
              <w:pStyle w:val="ListBullet2"/>
            </w:pPr>
            <w:r w:rsidRPr="00E77940">
              <w:t>di</w:t>
            </w:r>
            <w:r w:rsidRPr="00E77940">
              <w:t>sability policies and practices</w:t>
            </w:r>
          </w:p>
          <w:p w:rsidR="00000000" w:rsidRPr="00E77940" w:rsidP="00E77940">
            <w:pPr>
              <w:pStyle w:val="ListBullet2"/>
            </w:pPr>
            <w:r w:rsidRPr="00E77940">
              <w:t xml:space="preserve">equal opportunity, anti-discrimination and sexual harassment </w:t>
            </w:r>
          </w:p>
          <w:p w:rsidR="00000000" w:rsidRPr="00E77940" w:rsidP="00E77940">
            <w:pPr>
              <w:pStyle w:val="ListBullet2"/>
            </w:pPr>
            <w:r w:rsidRPr="00E77940">
              <w:t>industrial relations and awards, individual employment contracts and share of catch agreements</w:t>
            </w:r>
          </w:p>
          <w:p w:rsidR="00000000" w:rsidRPr="00E77940" w:rsidP="00E77940">
            <w:pPr>
              <w:pStyle w:val="ListBullet2"/>
            </w:pPr>
            <w:r w:rsidRPr="00E77940">
              <w:t>jurisdictional variations</w:t>
            </w:r>
          </w:p>
          <w:p w:rsidR="00000000" w:rsidRPr="00E77940" w:rsidP="00E77940">
            <w:pPr>
              <w:pStyle w:val="ListBullet2"/>
            </w:pPr>
            <w:r w:rsidRPr="00E77940">
              <w:t>superannuation</w:t>
            </w:r>
          </w:p>
          <w:p w:rsidR="00000000" w:rsidRPr="00E77940" w:rsidP="00E77940">
            <w:pPr>
              <w:pStyle w:val="ListBullet2"/>
            </w:pPr>
            <w:r w:rsidRPr="00E77940">
              <w:t>taxation</w:t>
            </w:r>
          </w:p>
          <w:p w:rsidR="00000000" w:rsidRPr="00E77940" w:rsidP="00E77940">
            <w:pPr>
              <w:pStyle w:val="ListBullet2"/>
            </w:pPr>
            <w:r w:rsidRPr="00E77940">
              <w:t xml:space="preserve">trade practices </w:t>
            </w:r>
          </w:p>
          <w:p w:rsidR="00000000" w:rsidRPr="00E77940" w:rsidP="00E77940">
            <w:pPr>
              <w:pStyle w:val="ListBullet2"/>
            </w:pPr>
            <w:r w:rsidRPr="00E77940">
              <w:t>warnings and dismissals</w:t>
            </w:r>
          </w:p>
          <w:p w:rsidR="00000000" w:rsidRPr="00E77940" w:rsidP="00E77940">
            <w:pPr>
              <w:pStyle w:val="ListBullet2"/>
            </w:pPr>
            <w:r w:rsidRPr="00E77940">
              <w:t>worker's compensation</w:t>
            </w:r>
          </w:p>
          <w:p w:rsidR="00000000" w:rsidRPr="00E77940" w:rsidP="00E77940">
            <w:pPr>
              <w:pStyle w:val="ListBullet"/>
            </w:pPr>
            <w:r w:rsidRPr="00E77940">
              <w:t>occupational health and safety (OHS) hazard identification, risk assessment and control</w:t>
            </w:r>
          </w:p>
          <w:p w:rsidR="00000000" w:rsidRPr="00E77940" w:rsidP="00E77940">
            <w:pPr>
              <w:pStyle w:val="ListBullet"/>
            </w:pPr>
            <w:r w:rsidRPr="00E77940">
              <w:t>product quality assurance:</w:t>
            </w:r>
          </w:p>
          <w:p w:rsidR="00000000" w:rsidRPr="00E77940" w:rsidP="00E77940">
            <w:pPr>
              <w:pStyle w:val="ListBullet2"/>
            </w:pPr>
            <w:r w:rsidRPr="00E77940">
              <w:t>correct naming and labelling (e.g. country of origin, Australian Fish Names Standard and eco-</w:t>
            </w:r>
            <w:r w:rsidRPr="00E77940">
              <w:t>labelling)</w:t>
            </w:r>
          </w:p>
          <w:p w:rsidR="00000000" w:rsidRPr="00E77940" w:rsidP="00E77940">
            <w:pPr>
              <w:pStyle w:val="ListBullet2"/>
            </w:pPr>
            <w:r w:rsidRPr="00E77940">
              <w:t>correct quantities, sizes and other customer requirements</w:t>
            </w:r>
          </w:p>
          <w:p w:rsidR="00000000" w:rsidP="00E77940">
            <w:pPr>
              <w:pStyle w:val="ListBullet2"/>
              <w:rPr>
                <w:lang w:val="en-NZ"/>
              </w:rPr>
            </w:pPr>
            <w:r w:rsidRPr="00E77940">
              <w:t>third-party certification (e.g. Australian Grown and ISO 14001:2004 Environmental management systems).</w:t>
            </w:r>
          </w:p>
        </w:tc>
      </w:tr>
      <w:tr w:rsidTr="007823D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BoldandItalics"/>
              </w:rPr>
              <w:t>Food safety and hygiene regulations and procedures</w:t>
            </w:r>
            <w:r w:rsidRPr="00E7794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Australian Shellfish Sanitation program</w:t>
            </w:r>
          </w:p>
          <w:p w:rsidR="00000000" w:rsidRPr="00E77940" w:rsidP="00E77940">
            <w:pPr>
              <w:pStyle w:val="ListBullet"/>
            </w:pPr>
            <w:r w:rsidRPr="00E77940">
              <w:t>display, packaging and sale of food, including seafood and aquatic products</w:t>
            </w:r>
          </w:p>
          <w:p w:rsidR="00000000" w:rsidRPr="00E77940" w:rsidP="00E77940">
            <w:pPr>
              <w:pStyle w:val="ListBullet"/>
            </w:pPr>
            <w:r w:rsidRPr="00E77940">
              <w:t xml:space="preserve">equipment design, use, cleaning and maintenance </w:t>
            </w:r>
          </w:p>
          <w:p w:rsidR="00000000" w:rsidRPr="00E77940" w:rsidP="00E77940">
            <w:pPr>
              <w:pStyle w:val="ListBullet"/>
            </w:pPr>
            <w:r w:rsidRPr="00E77940">
              <w:t>exporting requirements, including AQIS Export Control (Fish) orders</w:t>
            </w:r>
          </w:p>
          <w:p w:rsidR="00000000" w:rsidRPr="00E77940" w:rsidP="00E77940">
            <w:pPr>
              <w:pStyle w:val="ListBullet"/>
            </w:pPr>
            <w:r w:rsidRPr="00E77940">
              <w:t>handling and disposal o</w:t>
            </w:r>
            <w:r w:rsidRPr="00E77940">
              <w:t>f condemned or recalled seafood products</w:t>
            </w:r>
          </w:p>
          <w:p w:rsidR="00000000" w:rsidRPr="00E77940" w:rsidP="00E77940">
            <w:pPr>
              <w:pStyle w:val="ListBullet"/>
            </w:pPr>
            <w:r w:rsidRPr="00E77940">
              <w:t>HACCP, food safety program, and other risk minimisation and quality assurance systems</w:t>
            </w:r>
          </w:p>
          <w:p w:rsidR="00000000" w:rsidRPr="00E77940" w:rsidP="00E77940">
            <w:pPr>
              <w:pStyle w:val="ListBullet"/>
            </w:pPr>
            <w:r w:rsidRPr="00E77940">
              <w:t xml:space="preserve">location, construction and servicing of seafood premises </w:t>
            </w:r>
          </w:p>
          <w:p w:rsidR="00000000" w:rsidRPr="00E77940" w:rsidP="00E77940">
            <w:pPr>
              <w:pStyle w:val="ListBullet"/>
            </w:pPr>
            <w:r w:rsidRPr="00E77940">
              <w:t>people, product and place hygiene and sanitation requirements</w:t>
            </w:r>
          </w:p>
          <w:p w:rsidR="00000000" w:rsidRPr="00E77940" w:rsidP="00E77940">
            <w:pPr>
              <w:pStyle w:val="ListBullet"/>
            </w:pPr>
            <w:r w:rsidRPr="00E77940">
              <w:t>Primary P</w:t>
            </w:r>
            <w:r w:rsidRPr="00E77940">
              <w:t xml:space="preserve">roducts Standard and the Australian Seafood Standard (voluntary) </w:t>
            </w:r>
          </w:p>
          <w:p w:rsidR="00000000" w:rsidRPr="00E77940" w:rsidP="00E77940">
            <w:pPr>
              <w:pStyle w:val="ListBullet"/>
            </w:pPr>
            <w:r w:rsidRPr="00E77940">
              <w:t xml:space="preserve">processing, further processing and preparation of food, including seafood and aquatic products </w:t>
            </w:r>
          </w:p>
          <w:p w:rsidR="00000000" w:rsidRPr="00E77940" w:rsidP="00E77940">
            <w:pPr>
              <w:pStyle w:val="ListBullet"/>
            </w:pPr>
            <w:r w:rsidRPr="00E77940">
              <w:t>product labelling, tracing and recall</w:t>
            </w:r>
          </w:p>
          <w:p w:rsidR="00000000" w:rsidRPr="00E77940" w:rsidP="00E77940">
            <w:pPr>
              <w:pStyle w:val="ListBullet"/>
            </w:pPr>
            <w:r w:rsidRPr="00E77940">
              <w:t>receipt, storage and transportation of food, including s</w:t>
            </w:r>
            <w:r w:rsidRPr="00E77940">
              <w:t>eafood and aquatic products</w:t>
            </w:r>
          </w:p>
          <w:p w:rsidR="00000000" w:rsidRPr="00E77940" w:rsidP="00E77940">
            <w:pPr>
              <w:pStyle w:val="ListBullet"/>
            </w:pPr>
            <w:r w:rsidRPr="00E77940">
              <w:t>requirements set out in Australian and New Zealand Food Authority (ANZFA) Food Standards Code and state and territory food regulations</w:t>
            </w:r>
          </w:p>
          <w:p w:rsidR="00000000" w:rsidP="00E77940">
            <w:pPr>
              <w:pStyle w:val="ListBullet"/>
              <w:rPr>
                <w:lang w:val="en-NZ"/>
              </w:rPr>
            </w:pPr>
            <w:r w:rsidRPr="00E77940">
              <w:t>temperature and contamination control along chain of custody.</w:t>
            </w:r>
          </w:p>
        </w:tc>
      </w:tr>
      <w:tr w:rsidTr="007823D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BoldandItalics"/>
              </w:rPr>
              <w:t>Scientific and correct marketing names</w:t>
            </w:r>
            <w:r w:rsidRPr="00E7794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approved names</w:t>
            </w:r>
          </w:p>
          <w:p w:rsidR="00000000" w:rsidRPr="00E77940" w:rsidP="00E77940">
            <w:pPr>
              <w:pStyle w:val="ListBullet"/>
            </w:pPr>
            <w:r w:rsidRPr="00E77940">
              <w:t>Australian Fish Names Standard</w:t>
            </w:r>
          </w:p>
          <w:p w:rsidR="00000000" w:rsidRPr="00E77940" w:rsidP="00E77940">
            <w:pPr>
              <w:pStyle w:val="ListBullet"/>
            </w:pPr>
            <w:r w:rsidRPr="00E77940">
              <w:t>common names</w:t>
            </w:r>
          </w:p>
          <w:p w:rsidR="00000000" w:rsidRPr="00E77940" w:rsidP="00E77940">
            <w:pPr>
              <w:pStyle w:val="ListBullet"/>
            </w:pPr>
            <w:r w:rsidRPr="00E77940">
              <w:t>foreign names</w:t>
            </w:r>
          </w:p>
          <w:p w:rsidR="00000000" w:rsidP="00E77940">
            <w:pPr>
              <w:pStyle w:val="ListBullet"/>
              <w:rPr>
                <w:lang w:val="en-NZ"/>
              </w:rPr>
            </w:pPr>
            <w:r w:rsidRPr="00E77940">
              <w:t xml:space="preserve">seafood marketing names and terms as defined in </w:t>
            </w:r>
            <w:r w:rsidRPr="00E77940">
              <w:rPr>
                <w:rStyle w:val="Emphasis"/>
              </w:rPr>
              <w:t>The Australian Seafood Users Manual</w:t>
            </w:r>
            <w:r w:rsidRPr="00E77940">
              <w:t xml:space="preserve"> or successor publication/s.</w:t>
            </w:r>
          </w:p>
        </w:tc>
      </w:tr>
      <w:tr w:rsidTr="007823D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BoldandItalics"/>
              </w:rPr>
              <w:t>Anatomical featur</w:t>
            </w:r>
            <w:r w:rsidRPr="00E77940">
              <w:rPr>
                <w:rStyle w:val="BoldandItalics"/>
              </w:rPr>
              <w:t>es</w:t>
            </w:r>
            <w:r w:rsidRPr="00E7794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exoskeleton, limbs, flesh and muscle</w:t>
            </w:r>
          </w:p>
          <w:p w:rsidR="00000000" w:rsidRPr="00E77940" w:rsidP="00E77940">
            <w:pPr>
              <w:pStyle w:val="ListBullet"/>
            </w:pPr>
            <w:r w:rsidRPr="00E77940">
              <w:t>gills, fins, lateral line, shape, colour and scales</w:t>
            </w:r>
          </w:p>
          <w:p w:rsidR="00000000" w:rsidP="00E77940">
            <w:pPr>
              <w:pStyle w:val="ListBullet"/>
              <w:rPr>
                <w:lang w:val="en-NZ"/>
              </w:rPr>
            </w:pPr>
            <w:r w:rsidRPr="00E77940">
              <w:t>shell, foot, gut, roe and organs.</w:t>
            </w:r>
          </w:p>
        </w:tc>
      </w:tr>
      <w:tr w:rsidTr="007823D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BoldandItalics"/>
              </w:rPr>
              <w:t>Features and characteristics</w:t>
            </w:r>
            <w:r w:rsidRPr="00E7794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Australian Food Standards code</w:t>
            </w:r>
          </w:p>
          <w:p w:rsidR="00000000" w:rsidRPr="00E77940" w:rsidP="00E77940">
            <w:pPr>
              <w:pStyle w:val="ListBullet"/>
            </w:pPr>
            <w:r w:rsidRPr="00E77940">
              <w:t>harvest or fishing area</w:t>
            </w:r>
          </w:p>
          <w:p w:rsidR="00000000" w:rsidRPr="00E77940" w:rsidP="00E77940">
            <w:pPr>
              <w:pStyle w:val="ListBullet"/>
            </w:pPr>
            <w:r w:rsidRPr="00E77940">
              <w:t>prohibited species</w:t>
            </w:r>
          </w:p>
          <w:p w:rsidR="00000000" w:rsidP="00E77940">
            <w:pPr>
              <w:pStyle w:val="ListBullet"/>
              <w:rPr>
                <w:lang w:val="en-NZ"/>
              </w:rPr>
            </w:pPr>
            <w:r w:rsidRPr="00E77940">
              <w:t>seasonal nature of availability for some species.</w:t>
            </w:r>
          </w:p>
        </w:tc>
      </w:tr>
      <w:tr w:rsidTr="007823D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BoldandItalics"/>
              </w:rPr>
              <w:t>Seafood</w:t>
            </w:r>
            <w:r w:rsidRPr="00E7794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crocodiles</w:t>
            </w:r>
          </w:p>
          <w:p w:rsidR="00000000" w:rsidRPr="00E77940" w:rsidP="00E77940">
            <w:pPr>
              <w:pStyle w:val="ListBullet"/>
            </w:pPr>
            <w:r w:rsidRPr="00E77940">
              <w:t>crustaceans</w:t>
            </w:r>
          </w:p>
          <w:p w:rsidR="00000000" w:rsidRPr="00E77940" w:rsidP="00E77940">
            <w:pPr>
              <w:pStyle w:val="ListBullet"/>
            </w:pPr>
            <w:r w:rsidRPr="00E77940">
              <w:t>echinoderms</w:t>
            </w:r>
          </w:p>
          <w:p w:rsidR="00000000" w:rsidRPr="00E77940" w:rsidP="00E77940">
            <w:pPr>
              <w:pStyle w:val="ListBullet"/>
            </w:pPr>
            <w:r w:rsidRPr="00E77940">
              <w:t>inshore demersal species</w:t>
            </w:r>
          </w:p>
          <w:p w:rsidR="00000000" w:rsidRPr="00E77940" w:rsidP="00E77940">
            <w:pPr>
              <w:pStyle w:val="ListBullet"/>
            </w:pPr>
            <w:r w:rsidRPr="00E77940">
              <w:t>molluscs, including cephalopods</w:t>
            </w:r>
          </w:p>
          <w:p w:rsidR="00000000" w:rsidRPr="00E77940" w:rsidP="00E77940">
            <w:pPr>
              <w:pStyle w:val="ListBullet"/>
            </w:pPr>
            <w:r w:rsidRPr="00E77940">
              <w:t>pelagic deep water species</w:t>
            </w:r>
          </w:p>
          <w:p w:rsidR="00000000" w:rsidRPr="00E77940" w:rsidP="00E77940">
            <w:pPr>
              <w:pStyle w:val="ListBullet"/>
            </w:pPr>
            <w:r w:rsidRPr="00E77940">
              <w:t>re-constituted seafood</w:t>
            </w:r>
          </w:p>
          <w:p w:rsidR="00000000" w:rsidP="00E77940">
            <w:pPr>
              <w:pStyle w:val="ListBullet"/>
              <w:rPr>
                <w:lang w:val="en-NZ"/>
              </w:rPr>
            </w:pPr>
            <w:r w:rsidRPr="00E77940">
              <w:t>whole, headed, gutted, filleted, frozen,</w:t>
            </w:r>
            <w:r w:rsidRPr="00E77940">
              <w:t xml:space="preserve"> green or cooked fish.</w:t>
            </w:r>
          </w:p>
        </w:tc>
      </w:tr>
      <w:tr w:rsidTr="007823D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BoldandItalics"/>
              </w:rPr>
              <w:t>Sensory</w:t>
            </w:r>
            <w:r w:rsidRPr="00E77940">
              <w:t xml:space="preserve">, </w:t>
            </w:r>
            <w:r w:rsidRPr="00E77940">
              <w:rPr>
                <w:rStyle w:val="BoldandItalics"/>
              </w:rPr>
              <w:t>chemical and</w:t>
            </w:r>
            <w:r w:rsidRPr="00E77940">
              <w:t>/</w:t>
            </w:r>
            <w:r w:rsidRPr="00E77940">
              <w:rPr>
                <w:rStyle w:val="BoldandItalics"/>
              </w:rPr>
              <w:t>or microbiological indicators</w:t>
            </w:r>
            <w:r w:rsidRPr="00E7794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colour, flavour and appearance</w:t>
            </w:r>
          </w:p>
          <w:p w:rsidR="00000000" w:rsidRPr="00E77940" w:rsidP="00E77940">
            <w:pPr>
              <w:pStyle w:val="ListBullet"/>
            </w:pPr>
            <w:r w:rsidRPr="00E77940">
              <w:t>microbial limits</w:t>
            </w:r>
          </w:p>
          <w:p w:rsidR="00000000" w:rsidRPr="00E77940" w:rsidP="00E77940">
            <w:pPr>
              <w:pStyle w:val="ListBullet"/>
            </w:pPr>
            <w:r w:rsidRPr="00E77940">
              <w:t>physical contamination</w:t>
            </w:r>
          </w:p>
          <w:p w:rsidR="00000000" w:rsidRPr="00E77940" w:rsidP="00E77940">
            <w:pPr>
              <w:pStyle w:val="ListBullet"/>
            </w:pPr>
            <w:r w:rsidRPr="00E77940">
              <w:t>presence of cleaning or sanitising chemicals</w:t>
            </w:r>
          </w:p>
          <w:p w:rsidR="00000000" w:rsidRPr="00E77940" w:rsidP="00E77940">
            <w:pPr>
              <w:pStyle w:val="ListBullet"/>
            </w:pPr>
            <w:r w:rsidRPr="00E77940">
              <w:t>presence of defects or parasites</w:t>
            </w:r>
          </w:p>
          <w:p w:rsidR="00000000" w:rsidRPr="00E77940" w:rsidP="00E77940">
            <w:pPr>
              <w:pStyle w:val="ListBullet"/>
            </w:pPr>
            <w:r w:rsidRPr="00E77940">
              <w:t>smell, taste and touch</w:t>
            </w:r>
          </w:p>
          <w:p w:rsidR="00000000" w:rsidP="00E77940">
            <w:pPr>
              <w:pStyle w:val="ListBullet"/>
              <w:rPr>
                <w:lang w:val="en-NZ"/>
              </w:rPr>
            </w:pPr>
            <w:r w:rsidRPr="00E77940">
              <w:t xml:space="preserve">stage of </w:t>
            </w:r>
            <w:r w:rsidRPr="00E77940">
              <w:rPr>
                <w:rStyle w:val="Emphasis"/>
              </w:rPr>
              <w:t>rigor mortis</w:t>
            </w:r>
            <w:r w:rsidRPr="00E77940">
              <w:t xml:space="preserve"> visible in the samples.</w:t>
            </w:r>
          </w:p>
        </w:tc>
      </w:tr>
      <w:tr w:rsidTr="007823D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BoldandItalics"/>
              </w:rPr>
              <w:t>Processing</w:t>
            </w:r>
            <w:r w:rsidRPr="00E7794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corrective actions</w:t>
            </w:r>
          </w:p>
          <w:p w:rsidR="00000000" w:rsidRPr="00E77940" w:rsidP="00E77940">
            <w:pPr>
              <w:pStyle w:val="ListBullet"/>
            </w:pPr>
            <w:r w:rsidRPr="00E77940">
              <w:t>degree of difficulty</w:t>
            </w:r>
          </w:p>
          <w:p w:rsidR="00000000" w:rsidRPr="00E77940" w:rsidP="00E77940">
            <w:pPr>
              <w:pStyle w:val="ListBullet"/>
            </w:pPr>
            <w:r w:rsidRPr="00E77940">
              <w:t>incoming product quality</w:t>
            </w:r>
          </w:p>
          <w:p w:rsidR="00000000" w:rsidRPr="00E77940" w:rsidP="00E77940">
            <w:pPr>
              <w:pStyle w:val="ListBullet"/>
            </w:pPr>
            <w:r w:rsidRPr="00E77940">
              <w:t>market requirements</w:t>
            </w:r>
          </w:p>
          <w:p w:rsidR="00000000" w:rsidRPr="00E77940" w:rsidP="00E77940">
            <w:pPr>
              <w:pStyle w:val="ListBullet"/>
            </w:pPr>
            <w:r w:rsidRPr="00E77940">
              <w:t>processing demands</w:t>
            </w:r>
          </w:p>
          <w:p w:rsidR="00000000" w:rsidRPr="00E77940" w:rsidP="00E77940">
            <w:pPr>
              <w:pStyle w:val="ListBullet"/>
            </w:pPr>
            <w:r w:rsidRPr="00E77940">
              <w:t>product form</w:t>
            </w:r>
          </w:p>
          <w:p w:rsidR="00000000" w:rsidRPr="00E77940" w:rsidP="00E77940">
            <w:pPr>
              <w:pStyle w:val="ListBullet"/>
            </w:pPr>
            <w:r w:rsidRPr="00E77940">
              <w:t>product specifications</w:t>
            </w:r>
          </w:p>
          <w:p w:rsidR="00000000" w:rsidRPr="00E77940" w:rsidP="00E77940">
            <w:pPr>
              <w:pStyle w:val="ListBullet"/>
            </w:pPr>
            <w:r w:rsidRPr="00E77940">
              <w:t>recovery rates</w:t>
            </w:r>
          </w:p>
          <w:p w:rsidR="00000000" w:rsidRPr="00E77940" w:rsidP="00E77940">
            <w:pPr>
              <w:pStyle w:val="ListBullet"/>
            </w:pPr>
            <w:r w:rsidRPr="00E77940">
              <w:t>shelf life (pre- or post-processing)</w:t>
            </w:r>
          </w:p>
          <w:p w:rsidR="00000000" w:rsidP="00E77940">
            <w:pPr>
              <w:pStyle w:val="ListBullet"/>
              <w:rPr>
                <w:lang w:val="en-NZ"/>
              </w:rPr>
            </w:pPr>
            <w:r w:rsidRPr="00E77940">
              <w:t>size grades.</w:t>
            </w:r>
          </w:p>
        </w:tc>
      </w:tr>
      <w:tr w:rsidTr="007823D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BoldandItalics"/>
              </w:rPr>
              <w:t>Score system</w:t>
            </w:r>
            <w:r w:rsidRPr="00E7794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AQIS inspection standards</w:t>
            </w:r>
          </w:p>
          <w:p w:rsidR="00000000" w:rsidRPr="00E77940" w:rsidP="00E77940">
            <w:pPr>
              <w:pStyle w:val="ListBullet"/>
            </w:pPr>
            <w:r w:rsidRPr="00E77940">
              <w:t>Codex Alimentarius Commission, 1998</w:t>
            </w:r>
          </w:p>
          <w:p w:rsidR="00000000" w:rsidRPr="00E77940" w:rsidP="00E77940">
            <w:pPr>
              <w:pStyle w:val="ListBullet"/>
            </w:pPr>
            <w:r w:rsidRPr="00E77940">
              <w:t>end-product specifications</w:t>
            </w:r>
          </w:p>
          <w:p w:rsidR="00000000" w:rsidRPr="00E77940" w:rsidP="00E77940">
            <w:pPr>
              <w:pStyle w:val="ListBullet"/>
            </w:pPr>
            <w:r w:rsidRPr="00E77940">
              <w:t>food safety requirements</w:t>
            </w:r>
          </w:p>
          <w:p w:rsidR="00000000" w:rsidRPr="00E77940" w:rsidP="00E77940">
            <w:pPr>
              <w:pStyle w:val="ListBullet"/>
            </w:pPr>
            <w:r w:rsidRPr="00E77940">
              <w:t>quality standards</w:t>
            </w:r>
          </w:p>
          <w:p w:rsidR="00000000" w:rsidP="00E77940">
            <w:pPr>
              <w:pStyle w:val="ListBullet"/>
              <w:rPr>
                <w:lang w:val="en-NZ"/>
              </w:rPr>
            </w:pPr>
            <w:r w:rsidRPr="00E77940">
              <w:t>vendor inspection reports.</w:t>
            </w:r>
          </w:p>
        </w:tc>
      </w:tr>
      <w:tr w:rsidTr="007823D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BoldandItalics"/>
              </w:rPr>
              <w:t>Productivity</w:t>
            </w:r>
            <w:r w:rsidRPr="00E77940">
              <w:t xml:space="preserve"> may b</w:t>
            </w:r>
            <w:r w:rsidRPr="00E77940">
              <w:t>e influenced by:</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products and their value</w:t>
            </w:r>
          </w:p>
          <w:p w:rsidR="00000000" w:rsidRPr="00E77940" w:rsidP="00E77940">
            <w:pPr>
              <w:pStyle w:val="ListBullet"/>
            </w:pPr>
            <w:r w:rsidRPr="00E77940">
              <w:t>incoming product quality</w:t>
            </w:r>
          </w:p>
          <w:p w:rsidR="00000000" w:rsidRPr="00E77940" w:rsidP="00E77940">
            <w:pPr>
              <w:pStyle w:val="ListBullet"/>
            </w:pPr>
            <w:r w:rsidRPr="00E77940">
              <w:t>machine or equipment operation</w:t>
            </w:r>
          </w:p>
          <w:p w:rsidR="00000000" w:rsidRPr="00E77940" w:rsidP="00E77940">
            <w:pPr>
              <w:pStyle w:val="ListBullet"/>
            </w:pPr>
            <w:r w:rsidRPr="00E77940">
              <w:t>personnel skills</w:t>
            </w:r>
          </w:p>
          <w:p w:rsidR="00000000" w:rsidRPr="00E77940" w:rsidP="00E77940">
            <w:pPr>
              <w:pStyle w:val="ListBullet"/>
            </w:pPr>
            <w:r w:rsidRPr="00E77940">
              <w:t>product parameters</w:t>
            </w:r>
          </w:p>
          <w:p w:rsidR="00000000" w:rsidRPr="00E77940" w:rsidP="00E77940">
            <w:pPr>
              <w:pStyle w:val="ListBullet"/>
            </w:pPr>
            <w:r w:rsidRPr="00E77940">
              <w:t>production capability</w:t>
            </w:r>
          </w:p>
          <w:p w:rsidR="00000000" w:rsidP="00E77940">
            <w:pPr>
              <w:pStyle w:val="ListBullet"/>
              <w:rPr>
                <w:lang w:val="en-NZ"/>
              </w:rPr>
            </w:pPr>
            <w:r w:rsidRPr="00E77940">
              <w:t>yield requirements.</w:t>
            </w:r>
          </w:p>
        </w:tc>
      </w:tr>
      <w:tr w:rsidTr="007823D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BoldandItalics"/>
              </w:rPr>
              <w:t>Documentation</w:t>
            </w:r>
            <w:r w:rsidRPr="00E7794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chain of custody certificates</w:t>
            </w:r>
          </w:p>
          <w:p w:rsidR="00000000" w:rsidRPr="00E77940" w:rsidP="00E77940">
            <w:pPr>
              <w:pStyle w:val="ListBullet"/>
            </w:pPr>
            <w:r w:rsidRPr="00E77940">
              <w:t>date of capture records</w:t>
            </w:r>
          </w:p>
          <w:p w:rsidR="00000000" w:rsidRPr="00E77940" w:rsidP="00E77940">
            <w:pPr>
              <w:pStyle w:val="ListBullet"/>
            </w:pPr>
            <w:r w:rsidRPr="00E77940">
              <w:t>identity of vessel or provider</w:t>
            </w:r>
          </w:p>
          <w:p w:rsidR="00000000" w:rsidRPr="00E77940" w:rsidP="00E77940">
            <w:pPr>
              <w:pStyle w:val="ListBullet"/>
            </w:pPr>
            <w:r w:rsidRPr="00E77940">
              <w:t>time and temperature logs</w:t>
            </w:r>
          </w:p>
          <w:p w:rsidR="00000000" w:rsidP="00E77940">
            <w:pPr>
              <w:pStyle w:val="ListBullet"/>
              <w:rPr>
                <w:lang w:val="en-NZ"/>
              </w:rPr>
            </w:pPr>
            <w:r w:rsidRPr="00E77940">
              <w:t>vendor documents identifying species, weight and/or origin.</w:t>
            </w:r>
          </w:p>
        </w:tc>
      </w:tr>
      <w:tr w:rsidTr="007823D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BoldandItalics"/>
              </w:rPr>
              <w:t>Vendor self</w:t>
            </w:r>
            <w:r w:rsidRPr="00E77940">
              <w:t>-</w:t>
            </w:r>
            <w:r w:rsidRPr="00E77940">
              <w:rPr>
                <w:rStyle w:val="BoldandItalics"/>
              </w:rPr>
              <w:t>assessment criteria</w:t>
            </w:r>
            <w:r w:rsidRPr="00E77940">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ListBullet"/>
            </w:pPr>
            <w:r w:rsidRPr="00E77940">
              <w:t>agreed standard by which vendor determines quality of product</w:t>
            </w:r>
          </w:p>
          <w:p w:rsidR="00000000" w:rsidRPr="00E77940" w:rsidP="00E77940">
            <w:pPr>
              <w:pStyle w:val="ListBullet"/>
            </w:pPr>
            <w:r w:rsidRPr="00E77940">
              <w:t>contractual obligations in the event of criteria not being satisfied</w:t>
            </w:r>
          </w:p>
          <w:p w:rsidR="00000000" w:rsidRPr="00E77940" w:rsidP="00E77940">
            <w:pPr>
              <w:pStyle w:val="ListBullet"/>
            </w:pPr>
            <w:r w:rsidRPr="00E77940">
              <w:t>inspection of vendors facilities to confirm capability.</w:t>
            </w:r>
          </w:p>
        </w:tc>
      </w:tr>
    </w:tbl>
    <w:p w:rsidR="007823D8" w:rsidP="00E77940">
      <w:pPr>
        <w:pStyle w:val="BodyText"/>
      </w:pPr>
    </w:p>
    <w:p w:rsidR="007823D8" w:rsidP="00E77940">
      <w:pPr>
        <w:pStyle w:val="BodyText"/>
      </w:pPr>
    </w:p>
    <w:p w:rsidR="00000000" w:rsidRPr="00E77940" w:rsidP="00E77940">
      <w:pPr>
        <w:pStyle w:val="Heading1"/>
      </w:pPr>
      <w:bookmarkStart w:id="12" w:name="O_218541"/>
      <w:bookmarkEnd w:id="12"/>
      <w:r w:rsidRPr="00E77940">
        <w:t>Unit Sector(s)</w:t>
      </w:r>
    </w:p>
    <w:tbl>
      <w:tblPr>
        <w:tblW w:w="0" w:type="auto"/>
        <w:tblLayout w:type="fixed"/>
        <w:tblCellMar>
          <w:left w:w="62" w:type="dxa"/>
          <w:right w:w="62" w:type="dxa"/>
        </w:tblCellMar>
        <w:tblLook w:val="0000"/>
      </w:tblPr>
      <w:tblGrid>
        <w:gridCol w:w="2616"/>
        <w:gridCol w:w="5906"/>
      </w:tblGrid>
      <w:tr w:rsidTr="007823D8">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r w:rsidRPr="00E77940">
              <w:t>Seafood processing</w:t>
            </w:r>
          </w:p>
        </w:tc>
      </w:tr>
    </w:tbl>
    <w:p w:rsidR="007823D8" w:rsidP="00E77940">
      <w:pPr>
        <w:pStyle w:val="BodyText"/>
      </w:pPr>
    </w:p>
    <w:p w:rsidR="007823D8" w:rsidP="00E77940">
      <w:pPr>
        <w:pStyle w:val="BodyText"/>
      </w:pPr>
    </w:p>
    <w:p w:rsidR="00000000" w:rsidRPr="00E77940" w:rsidP="00E77940">
      <w:pPr>
        <w:pStyle w:val="Heading1"/>
      </w:pPr>
      <w:bookmarkStart w:id="13" w:name="O_218538"/>
      <w:bookmarkEnd w:id="13"/>
      <w:r w:rsidRPr="00E77940">
        <w:t>Co-requisite units</w:t>
      </w:r>
    </w:p>
    <w:tbl>
      <w:tblPr>
        <w:tblW w:w="0" w:type="auto"/>
        <w:tblLayout w:type="fixed"/>
        <w:tblCellMar>
          <w:left w:w="62" w:type="dxa"/>
          <w:right w:w="62" w:type="dxa"/>
        </w:tblCellMar>
        <w:tblLook w:val="0000"/>
      </w:tblPr>
      <w:tblGrid>
        <w:gridCol w:w="2641"/>
        <w:gridCol w:w="1322"/>
        <w:gridCol w:w="4559"/>
      </w:tblGrid>
      <w:tr w:rsidTr="007823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p>
        </w:tc>
      </w:tr>
      <w:tr w:rsidTr="007823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p>
        </w:tc>
      </w:tr>
      <w:tr w:rsidTr="007823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p>
        </w:tc>
      </w:tr>
    </w:tbl>
    <w:p w:rsidR="007823D8" w:rsidP="00E77940">
      <w:pPr>
        <w:pStyle w:val="BodyText"/>
      </w:pPr>
    </w:p>
    <w:p w:rsidR="007823D8" w:rsidP="00E77940">
      <w:pPr>
        <w:pStyle w:val="BodyText"/>
      </w:pPr>
    </w:p>
    <w:p w:rsidR="00000000" w:rsidRPr="00E77940" w:rsidP="00E77940">
      <w:pPr>
        <w:pStyle w:val="Heading1"/>
      </w:pPr>
      <w:bookmarkStart w:id="14" w:name="O_218540"/>
      <w:bookmarkEnd w:id="14"/>
      <w:r w:rsidRPr="00E77940">
        <w:t>Competency field</w:t>
      </w:r>
    </w:p>
    <w:tbl>
      <w:tblPr>
        <w:tblW w:w="0" w:type="auto"/>
        <w:tblLayout w:type="fixed"/>
        <w:tblCellMar>
          <w:left w:w="62" w:type="dxa"/>
          <w:right w:w="62" w:type="dxa"/>
        </w:tblCellMar>
        <w:tblLook w:val="0000"/>
      </w:tblPr>
      <w:tblGrid>
        <w:gridCol w:w="2784"/>
        <w:gridCol w:w="5738"/>
      </w:tblGrid>
      <w:tr w:rsidTr="007823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40">
            <w:pPr>
              <w:pStyle w:val="BodyText"/>
              <w:rPr>
                <w:lang w:val="en-NZ"/>
              </w:rPr>
            </w:pPr>
            <w:r w:rsidRPr="00E779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40" w:rsidP="00E77940">
            <w:pPr>
              <w:pStyle w:val="BodyText"/>
            </w:pPr>
          </w:p>
        </w:tc>
      </w:tr>
    </w:tbl>
    <w:p w:rsidR="007823D8" w:rsidP="00E77940">
      <w:pPr>
        <w:pStyle w:val="BodyText"/>
      </w:pPr>
    </w:p>
    <w:p w:rsidR="007823D8" w:rsidP="00E77940">
      <w:pPr>
        <w:pStyle w:val="BodyText"/>
      </w:pPr>
    </w:p>
    <w:p w:rsidR="00000000" w:rsidRPr="00E77940" w:rsidP="00E77940"/>
    <w:sectPr w:rsidSect="00E779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3D8" w:rsidP="007823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D8" w:rsidP="00E77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823D8" w:rsidP="00E779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823D8" w:rsidP="00E779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3D8" w:rsidP="007823D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D8" w:rsidP="00E77940">
    <w:pPr>
      <w:pStyle w:val="Header"/>
      <w:framePr w:wrap="around"/>
    </w:pPr>
    <w:r>
      <w:fldChar w:fldCharType="begin"/>
    </w:r>
    <w:r>
      <w:instrText xml:space="preserve"> TITLE   \* MERGEFORMAT </w:instrText>
    </w:r>
    <w:r>
      <w:fldChar w:fldCharType="separate"/>
    </w:r>
    <w:r>
      <w:t>SFIPROC401C Evaluate a batch of seafood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23D8" w:rsidP="00E779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B62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9A7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D08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9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7940"/>
    <w:pPr>
      <w:spacing w:before="360" w:after="60"/>
      <w:outlineLvl w:val="0"/>
    </w:pPr>
    <w:rPr>
      <w:sz w:val="32"/>
    </w:rPr>
  </w:style>
  <w:style w:type="paragraph" w:styleId="Heading2">
    <w:name w:val="heading 2"/>
    <w:basedOn w:val="HeadingBase"/>
    <w:next w:val="BodyText"/>
    <w:link w:val="Heading2Char"/>
    <w:qFormat/>
    <w:rsid w:val="00E77940"/>
    <w:pPr>
      <w:keepLines/>
      <w:spacing w:before="240" w:after="120"/>
      <w:outlineLvl w:val="1"/>
    </w:pPr>
    <w:rPr>
      <w:sz w:val="28"/>
      <w:szCs w:val="40"/>
    </w:rPr>
  </w:style>
  <w:style w:type="paragraph" w:styleId="Heading3">
    <w:name w:val="heading 3"/>
    <w:basedOn w:val="HeadingBase"/>
    <w:next w:val="BodyText"/>
    <w:link w:val="Heading3Char"/>
    <w:qFormat/>
    <w:rsid w:val="00E77940"/>
    <w:pPr>
      <w:spacing w:before="180" w:after="120"/>
      <w:outlineLvl w:val="2"/>
    </w:pPr>
    <w:rPr>
      <w:spacing w:val="-10"/>
      <w:kern w:val="32"/>
    </w:rPr>
  </w:style>
  <w:style w:type="paragraph" w:styleId="Heading4">
    <w:name w:val="heading 4"/>
    <w:basedOn w:val="HeadingBase"/>
    <w:next w:val="BodyText"/>
    <w:link w:val="Heading4Char"/>
    <w:qFormat/>
    <w:rsid w:val="00E77940"/>
    <w:pPr>
      <w:spacing w:before="160" w:after="120"/>
      <w:outlineLvl w:val="3"/>
    </w:pPr>
    <w:rPr>
      <w:sz w:val="22"/>
    </w:rPr>
  </w:style>
  <w:style w:type="paragraph" w:styleId="Heading5">
    <w:name w:val="heading 5"/>
    <w:basedOn w:val="HeadingBase"/>
    <w:next w:val="Normal"/>
    <w:link w:val="Heading5Char"/>
    <w:qFormat/>
    <w:rsid w:val="00E77940"/>
    <w:pPr>
      <w:spacing w:before="80"/>
      <w:outlineLvl w:val="4"/>
    </w:pPr>
    <w:rPr>
      <w:color w:val="918585"/>
      <w:sz w:val="20"/>
    </w:rPr>
  </w:style>
  <w:style w:type="paragraph" w:styleId="Heading6">
    <w:name w:val="heading 6"/>
    <w:basedOn w:val="HeadingBase"/>
    <w:next w:val="Normal"/>
    <w:link w:val="Heading6Char"/>
    <w:qFormat/>
    <w:rsid w:val="00E77940"/>
    <w:pPr>
      <w:spacing w:before="60"/>
      <w:outlineLvl w:val="5"/>
    </w:pPr>
    <w:rPr>
      <w:color w:val="918585"/>
      <w:sz w:val="20"/>
    </w:rPr>
  </w:style>
  <w:style w:type="paragraph" w:styleId="Heading7">
    <w:name w:val="heading 7"/>
    <w:basedOn w:val="Normal"/>
    <w:next w:val="Normal"/>
    <w:link w:val="Heading7Char"/>
    <w:qFormat/>
    <w:rsid w:val="00E77940"/>
    <w:pPr>
      <w:ind w:left="720"/>
      <w:outlineLvl w:val="6"/>
    </w:pPr>
    <w:rPr>
      <w:i/>
    </w:rPr>
  </w:style>
  <w:style w:type="paragraph" w:styleId="Heading8">
    <w:name w:val="heading 8"/>
    <w:basedOn w:val="Normal"/>
    <w:next w:val="Normal"/>
    <w:link w:val="Heading8Char"/>
    <w:qFormat/>
    <w:rsid w:val="00E77940"/>
    <w:pPr>
      <w:ind w:left="720"/>
      <w:outlineLvl w:val="7"/>
    </w:pPr>
    <w:rPr>
      <w:i/>
    </w:rPr>
  </w:style>
  <w:style w:type="paragraph" w:styleId="Heading9">
    <w:name w:val="heading 9"/>
    <w:basedOn w:val="Normal"/>
    <w:next w:val="Normal"/>
    <w:link w:val="Heading9Char"/>
    <w:qFormat/>
    <w:rsid w:val="00E77940"/>
    <w:pPr>
      <w:ind w:left="720"/>
      <w:outlineLvl w:val="8"/>
    </w:pPr>
    <w:rPr>
      <w:i/>
    </w:rPr>
  </w:style>
  <w:style w:type="character" w:default="1" w:styleId="DefaultParagraphFont">
    <w:name w:val="Default Paragraph Font"/>
    <w:uiPriority w:val="1"/>
    <w:unhideWhenUsed/>
    <w:rsid w:val="00E77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940"/>
  </w:style>
  <w:style w:type="character" w:customStyle="1" w:styleId="Heading1Char">
    <w:name w:val="Heading 1 Char"/>
    <w:link w:val="Heading1"/>
    <w:rsid w:val="00E77940"/>
    <w:rPr>
      <w:rFonts w:ascii="Times New Roman" w:eastAsia="Times New Roman" w:hAnsi="Times New Roman" w:cs="Times New Roman"/>
      <w:b/>
      <w:sz w:val="32"/>
      <w:szCs w:val="20"/>
      <w:lang w:eastAsia="en-US"/>
    </w:rPr>
  </w:style>
  <w:style w:type="paragraph" w:styleId="BodyText">
    <w:name w:val="Body Text"/>
    <w:basedOn w:val="Normal"/>
    <w:link w:val="BodyTextChar"/>
    <w:rsid w:val="00E77940"/>
    <w:pPr>
      <w:spacing w:before="120" w:after="120"/>
      <w:contextualSpacing/>
    </w:pPr>
    <w:rPr>
      <w:rFonts w:ascii="Times New Roman" w:hAnsi="Times New Roman"/>
      <w:sz w:val="24"/>
      <w:szCs w:val="22"/>
    </w:rPr>
  </w:style>
  <w:style w:type="character" w:customStyle="1" w:styleId="BodyTextChar">
    <w:name w:val="Body Text Char"/>
    <w:link w:val="BodyText"/>
    <w:rsid w:val="00E77940"/>
    <w:rPr>
      <w:rFonts w:ascii="Times New Roman" w:eastAsia="Times New Roman" w:hAnsi="Times New Roman" w:cs="Times New Roman"/>
      <w:sz w:val="24"/>
      <w:lang w:val="en-US" w:eastAsia="en-US"/>
    </w:rPr>
  </w:style>
  <w:style w:type="paragraph" w:styleId="Footer">
    <w:name w:val="footer"/>
    <w:basedOn w:val="Normal"/>
    <w:link w:val="FooterChar"/>
    <w:rsid w:val="00E77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77940"/>
    <w:rPr>
      <w:rFonts w:ascii="Times New Roman" w:eastAsia="Times New Roman" w:hAnsi="Times New Roman" w:cs="Times New Roman"/>
      <w:sz w:val="16"/>
      <w:lang w:val="en-US" w:eastAsia="en-US"/>
    </w:rPr>
  </w:style>
  <w:style w:type="paragraph" w:styleId="List">
    <w:name w:val="List"/>
    <w:basedOn w:val="BodyText"/>
    <w:next w:val="BodyText"/>
    <w:rsid w:val="00E77940"/>
    <w:pPr>
      <w:tabs>
        <w:tab w:val="left" w:pos="340"/>
      </w:tabs>
      <w:spacing w:before="60" w:after="60"/>
      <w:ind w:left="340" w:hanging="340"/>
    </w:pPr>
  </w:style>
  <w:style w:type="paragraph" w:styleId="ListBullet">
    <w:name w:val="List Bullet"/>
    <w:basedOn w:val="List"/>
    <w:rsid w:val="00E77940"/>
    <w:pPr>
      <w:numPr>
        <w:numId w:val="13"/>
      </w:numPr>
      <w:tabs>
        <w:tab w:val="clear" w:pos="340"/>
      </w:tabs>
      <w:spacing w:before="40" w:after="40"/>
    </w:pPr>
  </w:style>
  <w:style w:type="character" w:customStyle="1" w:styleId="SpecialBold">
    <w:name w:val="Special Bold"/>
    <w:rsid w:val="00E77940"/>
    <w:rPr>
      <w:b/>
      <w:spacing w:val="0"/>
    </w:rPr>
  </w:style>
  <w:style w:type="paragraph" w:styleId="ListBullet2">
    <w:name w:val="List Bullet 2"/>
    <w:basedOn w:val="List2"/>
    <w:rsid w:val="00E77940"/>
    <w:pPr>
      <w:numPr>
        <w:numId w:val="14"/>
      </w:numPr>
      <w:tabs>
        <w:tab w:val="clear" w:pos="680"/>
      </w:tabs>
    </w:pPr>
  </w:style>
  <w:style w:type="paragraph" w:styleId="Header">
    <w:name w:val="header"/>
    <w:basedOn w:val="Normal"/>
    <w:link w:val="HeaderChar"/>
    <w:rsid w:val="00E77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77940"/>
    <w:rPr>
      <w:rFonts w:ascii="Times New Roman" w:eastAsia="Times New Roman" w:hAnsi="Times New Roman" w:cs="Times New Roman"/>
      <w:sz w:val="16"/>
      <w:szCs w:val="20"/>
      <w:lang w:val="en-GB" w:eastAsia="en-US"/>
    </w:rPr>
  </w:style>
  <w:style w:type="character" w:styleId="Emphasis">
    <w:name w:val="Emphasis"/>
    <w:qFormat/>
    <w:rsid w:val="00E77940"/>
    <w:rPr>
      <w:i/>
    </w:rPr>
  </w:style>
  <w:style w:type="paragraph" w:customStyle="1" w:styleId="SuperHeading">
    <w:name w:val="SuperHeading"/>
    <w:basedOn w:val="Normal"/>
    <w:rsid w:val="00E77940"/>
    <w:pPr>
      <w:spacing w:before="240" w:after="120"/>
      <w:outlineLvl w:val="0"/>
    </w:pPr>
    <w:rPr>
      <w:rFonts w:ascii="Times New Roman" w:hAnsi="Times New Roman"/>
      <w:b/>
      <w:sz w:val="28"/>
    </w:rPr>
  </w:style>
  <w:style w:type="paragraph" w:customStyle="1" w:styleId="AllowPageBreak">
    <w:name w:val="AllowPageBreak"/>
    <w:rsid w:val="00E779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7940"/>
    <w:pPr>
      <w:tabs>
        <w:tab w:val="left" w:pos="680"/>
      </w:tabs>
      <w:spacing w:before="60" w:after="60"/>
      <w:ind w:left="680" w:hanging="340"/>
    </w:pPr>
  </w:style>
  <w:style w:type="character" w:customStyle="1" w:styleId="BoldandItalics">
    <w:name w:val="Bold and Italics"/>
    <w:qFormat/>
    <w:rsid w:val="00E77940"/>
    <w:rPr>
      <w:b/>
      <w:i/>
      <w:u w:val="none"/>
    </w:rPr>
  </w:style>
  <w:style w:type="character" w:customStyle="1" w:styleId="Heading2Char">
    <w:name w:val="Heading 2 Char"/>
    <w:link w:val="Heading2"/>
    <w:rsid w:val="00E77940"/>
    <w:rPr>
      <w:rFonts w:ascii="Times New Roman" w:eastAsia="Times New Roman" w:hAnsi="Times New Roman" w:cs="Times New Roman"/>
      <w:b/>
      <w:sz w:val="28"/>
      <w:szCs w:val="40"/>
      <w:lang w:eastAsia="en-US"/>
    </w:rPr>
  </w:style>
  <w:style w:type="character" w:customStyle="1" w:styleId="Heading3Char">
    <w:name w:val="Heading 3 Char"/>
    <w:link w:val="Heading3"/>
    <w:rsid w:val="00E7794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77940"/>
    <w:rPr>
      <w:rFonts w:ascii="Times New Roman" w:eastAsia="Times New Roman" w:hAnsi="Times New Roman" w:cs="Times New Roman"/>
      <w:b/>
      <w:szCs w:val="20"/>
      <w:lang w:eastAsia="en-US"/>
    </w:rPr>
  </w:style>
  <w:style w:type="character" w:customStyle="1" w:styleId="Heading5Char">
    <w:name w:val="Heading 5 Char"/>
    <w:link w:val="Heading5"/>
    <w:rsid w:val="00E7794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77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9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79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7940"/>
    <w:rPr>
      <w:rFonts w:ascii="Courier New" w:eastAsia="Times New Roman" w:hAnsi="Courier New" w:cs="Times New Roman"/>
      <w:i/>
      <w:szCs w:val="20"/>
      <w:lang w:val="en-US" w:eastAsia="en-US"/>
    </w:rPr>
  </w:style>
  <w:style w:type="paragraph" w:customStyle="1" w:styleId="HeadingBase">
    <w:name w:val="Heading Base"/>
    <w:rsid w:val="00E77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940"/>
    <w:pPr>
      <w:tabs>
        <w:tab w:val="right" w:leader="dot" w:pos="9072"/>
      </w:tabs>
      <w:ind w:left="567"/>
    </w:pPr>
    <w:rPr>
      <w:szCs w:val="22"/>
    </w:rPr>
  </w:style>
  <w:style w:type="paragraph" w:customStyle="1" w:styleId="TOCBase">
    <w:name w:val="TOC Base"/>
    <w:rsid w:val="00E77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940"/>
    <w:pPr>
      <w:tabs>
        <w:tab w:val="right" w:leader="dot" w:pos="9072"/>
      </w:tabs>
      <w:spacing w:before="40" w:after="40"/>
      <w:ind w:left="284"/>
    </w:pPr>
    <w:rPr>
      <w:rFonts w:ascii="Times New Roman" w:hAnsi="Times New Roman"/>
    </w:rPr>
  </w:style>
  <w:style w:type="paragraph" w:styleId="TOC1">
    <w:name w:val="toc 1"/>
    <w:basedOn w:val="TOCBase"/>
    <w:next w:val="Normal"/>
    <w:rsid w:val="00E779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940"/>
    <w:pPr>
      <w:spacing w:before="5040"/>
      <w:jc w:val="center"/>
    </w:pPr>
    <w:rPr>
      <w:sz w:val="48"/>
      <w:szCs w:val="72"/>
      <w:lang w:val="en-US"/>
    </w:rPr>
  </w:style>
  <w:style w:type="character" w:customStyle="1" w:styleId="TitleChar">
    <w:name w:val="Title Char"/>
    <w:link w:val="Title"/>
    <w:rsid w:val="00E77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940"/>
    <w:pPr>
      <w:tabs>
        <w:tab w:val="left" w:pos="3600"/>
        <w:tab w:val="left" w:pos="3958"/>
      </w:tabs>
    </w:pPr>
  </w:style>
  <w:style w:type="paragraph" w:customStyle="1" w:styleId="Note">
    <w:name w:val="Note"/>
    <w:basedOn w:val="BodyText"/>
    <w:rsid w:val="00E77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940"/>
    <w:pPr>
      <w:framePr w:wrap="auto" w:hAnchor="text" w:y="6049"/>
    </w:pPr>
    <w:rPr>
      <w:color w:val="000000"/>
      <w:sz w:val="40"/>
    </w:rPr>
  </w:style>
  <w:style w:type="paragraph" w:customStyle="1" w:styleId="TOCTitle">
    <w:name w:val="TOCTitle"/>
    <w:basedOn w:val="Heading1"/>
    <w:rsid w:val="00E77940"/>
    <w:pPr>
      <w:spacing w:after="240"/>
      <w:jc w:val="center"/>
      <w:outlineLvl w:val="9"/>
    </w:pPr>
    <w:rPr>
      <w:caps/>
    </w:rPr>
  </w:style>
  <w:style w:type="paragraph" w:customStyle="1" w:styleId="Version">
    <w:name w:val="Version"/>
    <w:rsid w:val="00E779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940"/>
    <w:pPr>
      <w:keepNext w:val="0"/>
      <w:tabs>
        <w:tab w:val="right" w:pos="4176"/>
      </w:tabs>
      <w:ind w:left="198" w:hanging="198"/>
    </w:pPr>
    <w:rPr>
      <w:rFonts w:ascii="Garamond" w:hAnsi="Garamond"/>
    </w:rPr>
  </w:style>
  <w:style w:type="paragraph" w:styleId="IndexHeading">
    <w:name w:val="index heading"/>
    <w:basedOn w:val="Normal"/>
    <w:next w:val="Index1"/>
    <w:semiHidden/>
    <w:rsid w:val="00E77940"/>
    <w:pPr>
      <w:spacing w:before="120" w:after="120"/>
    </w:pPr>
    <w:rPr>
      <w:rFonts w:ascii="Arial" w:hAnsi="Arial"/>
      <w:b/>
      <w:color w:val="918585"/>
      <w:sz w:val="24"/>
    </w:rPr>
  </w:style>
  <w:style w:type="paragraph" w:customStyle="1" w:styleId="Chapter">
    <w:name w:val="Chapter"/>
    <w:basedOn w:val="Normal"/>
    <w:rsid w:val="00E77940"/>
    <w:pPr>
      <w:spacing w:before="240"/>
    </w:pPr>
    <w:rPr>
      <w:rFonts w:ascii="Times New Roman" w:hAnsi="Times New Roman"/>
      <w:smallCaps/>
      <w:spacing w:val="80"/>
      <w:sz w:val="28"/>
    </w:rPr>
  </w:style>
  <w:style w:type="paragraph" w:customStyle="1" w:styleId="InChapter">
    <w:name w:val="InChapter"/>
    <w:basedOn w:val="Heading3"/>
    <w:rsid w:val="00E77940"/>
    <w:pPr>
      <w:spacing w:after="240"/>
      <w:outlineLvl w:val="9"/>
    </w:pPr>
    <w:rPr>
      <w:noProof/>
    </w:rPr>
  </w:style>
  <w:style w:type="paragraph" w:styleId="Index2">
    <w:name w:val="index 2"/>
    <w:basedOn w:val="Normal"/>
    <w:next w:val="Normal"/>
    <w:semiHidden/>
    <w:rsid w:val="00E77940"/>
    <w:pPr>
      <w:tabs>
        <w:tab w:val="right" w:pos="4176"/>
      </w:tabs>
      <w:ind w:left="568" w:hanging="284"/>
    </w:pPr>
    <w:rPr>
      <w:rFonts w:ascii="Garamond" w:hAnsi="Garamond"/>
    </w:rPr>
  </w:style>
  <w:style w:type="paragraph" w:customStyle="1" w:styleId="Byline">
    <w:name w:val="Byline"/>
    <w:rsid w:val="00E77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940"/>
    <w:pPr>
      <w:tabs>
        <w:tab w:val="clear" w:pos="3600"/>
        <w:tab w:val="clear" w:pos="3958"/>
      </w:tabs>
      <w:jc w:val="right"/>
    </w:pPr>
  </w:style>
  <w:style w:type="paragraph" w:styleId="Caption">
    <w:name w:val="caption"/>
    <w:basedOn w:val="BodyText"/>
    <w:next w:val="Normal"/>
    <w:qFormat/>
    <w:rsid w:val="00E77940"/>
    <w:pPr>
      <w:framePr w:w="2268" w:hSpace="181" w:vSpace="181" w:wrap="around" w:vAnchor="text" w:hAnchor="page" w:x="1135" w:y="285" w:anchorLock="1"/>
    </w:pPr>
    <w:rPr>
      <w:i/>
    </w:rPr>
  </w:style>
  <w:style w:type="paragraph" w:customStyle="1" w:styleId="MiniTOCTitle">
    <w:name w:val="MiniTOCTitle"/>
    <w:basedOn w:val="Heading4"/>
    <w:rsid w:val="00E77940"/>
    <w:pPr>
      <w:spacing w:before="240"/>
      <w:outlineLvl w:val="9"/>
    </w:pPr>
    <w:rPr>
      <w:noProof/>
      <w:sz w:val="24"/>
    </w:rPr>
  </w:style>
  <w:style w:type="paragraph" w:customStyle="1" w:styleId="MiniTOCItem">
    <w:name w:val="MiniTOCItem"/>
    <w:basedOn w:val="ListBullet"/>
    <w:rsid w:val="00E77940"/>
    <w:pPr>
      <w:numPr>
        <w:numId w:val="0"/>
      </w:numPr>
      <w:tabs>
        <w:tab w:val="right" w:leader="dot" w:pos="6521"/>
      </w:tabs>
      <w:spacing w:before="0" w:after="0"/>
    </w:pPr>
  </w:style>
  <w:style w:type="paragraph" w:customStyle="1" w:styleId="TOFTitle">
    <w:name w:val="TOFTitle"/>
    <w:basedOn w:val="TOCTitle"/>
    <w:rsid w:val="00E77940"/>
  </w:style>
  <w:style w:type="paragraph" w:styleId="TableofFigures">
    <w:name w:val="table of figures"/>
    <w:basedOn w:val="Normal"/>
    <w:next w:val="Normal"/>
    <w:semiHidden/>
    <w:rsid w:val="00E77940"/>
    <w:pPr>
      <w:tabs>
        <w:tab w:val="right" w:leader="dot" w:pos="9072"/>
      </w:tabs>
      <w:ind w:left="970" w:hanging="403"/>
    </w:pPr>
    <w:rPr>
      <w:rFonts w:ascii="Times New Roman" w:hAnsi="Times New Roman"/>
      <w:b/>
    </w:rPr>
  </w:style>
  <w:style w:type="paragraph" w:styleId="ListNumber">
    <w:name w:val="List Number"/>
    <w:basedOn w:val="List"/>
    <w:rsid w:val="00E77940"/>
    <w:pPr>
      <w:numPr>
        <w:numId w:val="11"/>
      </w:numPr>
    </w:pPr>
  </w:style>
  <w:style w:type="character" w:customStyle="1" w:styleId="WingdingSymbols">
    <w:name w:val="Wingding Symbols"/>
    <w:rsid w:val="00E77940"/>
    <w:rPr>
      <w:rFonts w:ascii="Wingdings" w:hAnsi="Wingdings"/>
    </w:rPr>
  </w:style>
  <w:style w:type="paragraph" w:customStyle="1" w:styleId="TableHeading">
    <w:name w:val="Table Heading"/>
    <w:basedOn w:val="HeadingBase"/>
    <w:rsid w:val="00E77940"/>
    <w:pPr>
      <w:keepLines/>
      <w:pBdr>
        <w:bottom w:val="single" w:sz="6" w:space="1" w:color="918585"/>
      </w:pBdr>
      <w:spacing w:before="240"/>
    </w:pPr>
  </w:style>
  <w:style w:type="character" w:customStyle="1" w:styleId="HotSpot">
    <w:name w:val="HotSpot"/>
    <w:rsid w:val="00E77940"/>
    <w:rPr>
      <w:color w:val="0033CC"/>
      <w:u w:val="none"/>
    </w:rPr>
  </w:style>
  <w:style w:type="paragraph" w:customStyle="1" w:styleId="BodyTextRight">
    <w:name w:val="Body Text Right"/>
    <w:basedOn w:val="BodyText"/>
    <w:rsid w:val="00E77940"/>
    <w:pPr>
      <w:spacing w:before="0" w:after="0"/>
      <w:jc w:val="right"/>
    </w:pPr>
  </w:style>
  <w:style w:type="paragraph" w:styleId="Index3">
    <w:name w:val="index 3"/>
    <w:basedOn w:val="ListNumber2"/>
    <w:next w:val="Normal"/>
    <w:semiHidden/>
    <w:rsid w:val="00E77940"/>
    <w:pPr>
      <w:numPr>
        <w:numId w:val="0"/>
      </w:numPr>
      <w:tabs>
        <w:tab w:val="right" w:leader="dot" w:pos="4176"/>
      </w:tabs>
    </w:pPr>
  </w:style>
  <w:style w:type="paragraph" w:styleId="ListNumber2">
    <w:name w:val="List Number 2"/>
    <w:basedOn w:val="List2"/>
    <w:rsid w:val="00E77940"/>
    <w:pPr>
      <w:numPr>
        <w:numId w:val="10"/>
      </w:numPr>
      <w:tabs>
        <w:tab w:val="clear" w:pos="1060"/>
      </w:tabs>
    </w:pPr>
  </w:style>
  <w:style w:type="paragraph" w:customStyle="1" w:styleId="MarginNote">
    <w:name w:val="Margin Note"/>
    <w:basedOn w:val="BodyText"/>
    <w:rsid w:val="00E77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779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7940"/>
    <w:rPr>
      <w:sz w:val="32"/>
    </w:rPr>
  </w:style>
  <w:style w:type="paragraph" w:customStyle="1" w:styleId="HeadingProcedure">
    <w:name w:val="Heading Procedure"/>
    <w:basedOn w:val="HeadingBase"/>
    <w:next w:val="Normal"/>
    <w:rsid w:val="00E77940"/>
    <w:pPr>
      <w:tabs>
        <w:tab w:val="left" w:pos="0"/>
      </w:tabs>
      <w:spacing w:before="120" w:after="60"/>
    </w:pPr>
    <w:rPr>
      <w:i/>
      <w:color w:val="918585"/>
      <w:sz w:val="22"/>
    </w:rPr>
  </w:style>
  <w:style w:type="paragraph" w:customStyle="1" w:styleId="TableBodyText">
    <w:name w:val="Table Body Text"/>
    <w:basedOn w:val="BodyText"/>
    <w:rsid w:val="00E77940"/>
    <w:pPr>
      <w:spacing w:before="60" w:after="60"/>
    </w:pPr>
  </w:style>
  <w:style w:type="paragraph" w:styleId="ListContinue">
    <w:name w:val="List Continue"/>
    <w:basedOn w:val="List"/>
    <w:rsid w:val="00E77940"/>
    <w:pPr>
      <w:ind w:firstLine="0"/>
    </w:pPr>
  </w:style>
  <w:style w:type="paragraph" w:customStyle="1" w:styleId="ListNote">
    <w:name w:val="List Note"/>
    <w:basedOn w:val="List"/>
    <w:rsid w:val="00E77940"/>
    <w:pPr>
      <w:pBdr>
        <w:top w:val="single" w:sz="6" w:space="2" w:color="918585"/>
        <w:bottom w:val="single" w:sz="6" w:space="2" w:color="918585"/>
      </w:pBdr>
      <w:tabs>
        <w:tab w:val="left" w:pos="1021"/>
      </w:tabs>
      <w:ind w:firstLine="0"/>
    </w:pPr>
  </w:style>
  <w:style w:type="paragraph" w:customStyle="1" w:styleId="Warning">
    <w:name w:val="Warning"/>
    <w:basedOn w:val="BodyText"/>
    <w:rsid w:val="00E77940"/>
    <w:pPr>
      <w:shd w:val="clear" w:color="auto" w:fill="D9D9D9"/>
      <w:tabs>
        <w:tab w:val="left" w:pos="992"/>
      </w:tabs>
      <w:ind w:left="119" w:right="119"/>
    </w:pPr>
    <w:rPr>
      <w:sz w:val="20"/>
    </w:rPr>
  </w:style>
  <w:style w:type="paragraph" w:customStyle="1" w:styleId="MarginIcons">
    <w:name w:val="Margin Icons"/>
    <w:basedOn w:val="BodyText"/>
    <w:rsid w:val="00E7794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77940"/>
    <w:rPr>
      <w:rFonts w:ascii="Courier New" w:hAnsi="Courier New"/>
    </w:rPr>
  </w:style>
  <w:style w:type="paragraph" w:customStyle="1" w:styleId="NoteBullet">
    <w:name w:val="Note Bullet"/>
    <w:basedOn w:val="Note"/>
    <w:rsid w:val="00E77940"/>
    <w:pPr>
      <w:tabs>
        <w:tab w:val="clear" w:pos="680"/>
      </w:tabs>
      <w:spacing w:before="60" w:after="60"/>
    </w:pPr>
  </w:style>
  <w:style w:type="paragraph" w:customStyle="1" w:styleId="SubHeading2">
    <w:name w:val="SubHeading2"/>
    <w:basedOn w:val="HeadingBase"/>
    <w:rsid w:val="00E77940"/>
    <w:pPr>
      <w:spacing w:before="240" w:after="60"/>
    </w:pPr>
    <w:rPr>
      <w:sz w:val="20"/>
    </w:rPr>
  </w:style>
  <w:style w:type="paragraph" w:customStyle="1" w:styleId="SubHeading1">
    <w:name w:val="SubHeading1"/>
    <w:basedOn w:val="HeadingBase"/>
    <w:rsid w:val="00E77940"/>
    <w:pPr>
      <w:spacing w:before="240" w:after="60"/>
    </w:pPr>
    <w:rPr>
      <w:color w:val="918585"/>
      <w:sz w:val="22"/>
    </w:rPr>
  </w:style>
  <w:style w:type="paragraph" w:customStyle="1" w:styleId="SideHeading">
    <w:name w:val="Side Heading"/>
    <w:basedOn w:val="HeadingBase"/>
    <w:rsid w:val="00E77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940"/>
    <w:pPr>
      <w:numPr>
        <w:numId w:val="12"/>
      </w:numPr>
    </w:pPr>
  </w:style>
  <w:style w:type="paragraph" w:styleId="PlainText">
    <w:name w:val="Plain Text"/>
    <w:basedOn w:val="Normal"/>
    <w:link w:val="PlainTextChar"/>
    <w:rsid w:val="00E77940"/>
    <w:rPr>
      <w:sz w:val="20"/>
    </w:rPr>
  </w:style>
  <w:style w:type="character" w:customStyle="1" w:styleId="PlainTextChar">
    <w:name w:val="Plain Text Char"/>
    <w:basedOn w:val="DefaultParagraphFont"/>
    <w:link w:val="PlainText"/>
    <w:rsid w:val="00E77940"/>
    <w:rPr>
      <w:rFonts w:ascii="Courier New" w:eastAsia="Times New Roman" w:hAnsi="Courier New" w:cs="Times New Roman"/>
      <w:sz w:val="20"/>
      <w:szCs w:val="20"/>
      <w:lang w:val="en-US" w:eastAsia="en-US"/>
    </w:rPr>
  </w:style>
  <w:style w:type="character" w:customStyle="1" w:styleId="MenuOption">
    <w:name w:val="Menu Option"/>
    <w:rsid w:val="00E77940"/>
    <w:rPr>
      <w:b/>
      <w:smallCaps/>
    </w:rPr>
  </w:style>
  <w:style w:type="paragraph" w:customStyle="1" w:styleId="TableListNumber">
    <w:name w:val="Table List Number"/>
    <w:basedOn w:val="ListNumber"/>
    <w:rsid w:val="00E77940"/>
    <w:pPr>
      <w:numPr>
        <w:numId w:val="0"/>
      </w:numPr>
    </w:pPr>
  </w:style>
  <w:style w:type="paragraph" w:styleId="TOC4">
    <w:name w:val="toc 4"/>
    <w:basedOn w:val="TOCBase"/>
    <w:next w:val="Normal"/>
    <w:semiHidden/>
    <w:rsid w:val="00E77940"/>
    <w:pPr>
      <w:tabs>
        <w:tab w:val="right" w:leader="dot" w:pos="9071"/>
      </w:tabs>
      <w:ind w:left="1701"/>
    </w:pPr>
  </w:style>
  <w:style w:type="paragraph" w:customStyle="1" w:styleId="ListAlpha">
    <w:name w:val="List Alpha"/>
    <w:basedOn w:val="List"/>
    <w:rsid w:val="00E77940"/>
    <w:pPr>
      <w:numPr>
        <w:numId w:val="9"/>
      </w:numPr>
    </w:pPr>
  </w:style>
  <w:style w:type="paragraph" w:customStyle="1" w:styleId="ListAlpha2">
    <w:name w:val="List Alpha 2"/>
    <w:basedOn w:val="List2"/>
    <w:rsid w:val="00E77940"/>
    <w:pPr>
      <w:numPr>
        <w:numId w:val="8"/>
      </w:numPr>
    </w:pPr>
  </w:style>
  <w:style w:type="paragraph" w:styleId="List3">
    <w:name w:val="List 3"/>
    <w:basedOn w:val="BodyText"/>
    <w:rsid w:val="00E77940"/>
    <w:pPr>
      <w:tabs>
        <w:tab w:val="left" w:pos="1021"/>
      </w:tabs>
      <w:spacing w:before="60" w:after="60"/>
      <w:ind w:left="1020" w:hanging="340"/>
    </w:pPr>
  </w:style>
  <w:style w:type="paragraph" w:styleId="List4">
    <w:name w:val="List 4"/>
    <w:basedOn w:val="BodyText"/>
    <w:rsid w:val="00E77940"/>
    <w:pPr>
      <w:tabs>
        <w:tab w:val="left" w:pos="1361"/>
      </w:tabs>
      <w:spacing w:before="60" w:after="60"/>
      <w:ind w:left="1361" w:hanging="340"/>
    </w:pPr>
  </w:style>
  <w:style w:type="paragraph" w:styleId="List5">
    <w:name w:val="List 5"/>
    <w:basedOn w:val="BodyText"/>
    <w:rsid w:val="00E77940"/>
    <w:pPr>
      <w:tabs>
        <w:tab w:val="left" w:pos="1701"/>
      </w:tabs>
      <w:spacing w:before="60" w:after="60"/>
      <w:ind w:left="1701" w:hanging="340"/>
    </w:pPr>
  </w:style>
  <w:style w:type="paragraph" w:styleId="ListBullet3">
    <w:name w:val="List Bullet 3"/>
    <w:basedOn w:val="List3"/>
    <w:rsid w:val="00E77940"/>
    <w:pPr>
      <w:numPr>
        <w:numId w:val="15"/>
      </w:numPr>
      <w:tabs>
        <w:tab w:val="clear" w:pos="1021"/>
      </w:tabs>
      <w:ind w:left="1037" w:hanging="357"/>
    </w:pPr>
  </w:style>
  <w:style w:type="paragraph" w:styleId="ListBullet4">
    <w:name w:val="List Bullet 4"/>
    <w:basedOn w:val="List4"/>
    <w:rsid w:val="00E77940"/>
    <w:pPr>
      <w:numPr>
        <w:numId w:val="3"/>
      </w:numPr>
    </w:pPr>
  </w:style>
  <w:style w:type="paragraph" w:styleId="ListBullet5">
    <w:name w:val="List Bullet 5"/>
    <w:basedOn w:val="List5"/>
    <w:rsid w:val="00E77940"/>
    <w:pPr>
      <w:numPr>
        <w:numId w:val="4"/>
      </w:numPr>
    </w:pPr>
  </w:style>
  <w:style w:type="paragraph" w:styleId="ListContinue2">
    <w:name w:val="List Continue 2"/>
    <w:basedOn w:val="List2"/>
    <w:rsid w:val="00E77940"/>
    <w:pPr>
      <w:ind w:firstLine="0"/>
    </w:pPr>
  </w:style>
  <w:style w:type="paragraph" w:styleId="ListContinue3">
    <w:name w:val="List Continue 3"/>
    <w:basedOn w:val="List3"/>
    <w:rsid w:val="00E77940"/>
    <w:pPr>
      <w:ind w:left="1021" w:firstLine="0"/>
    </w:pPr>
  </w:style>
  <w:style w:type="paragraph" w:styleId="ListContinue4">
    <w:name w:val="List Continue 4"/>
    <w:basedOn w:val="List4"/>
    <w:rsid w:val="00E77940"/>
    <w:pPr>
      <w:ind w:firstLine="0"/>
    </w:pPr>
  </w:style>
  <w:style w:type="paragraph" w:styleId="ListContinue5">
    <w:name w:val="List Continue 5"/>
    <w:basedOn w:val="List5"/>
    <w:rsid w:val="00E77940"/>
    <w:pPr>
      <w:ind w:firstLine="0"/>
    </w:pPr>
  </w:style>
  <w:style w:type="paragraph" w:styleId="ListNumber3">
    <w:name w:val="List Number 3"/>
    <w:basedOn w:val="List3"/>
    <w:rsid w:val="00E77940"/>
    <w:pPr>
      <w:numPr>
        <w:numId w:val="5"/>
      </w:numPr>
    </w:pPr>
  </w:style>
  <w:style w:type="paragraph" w:styleId="ListNumber4">
    <w:name w:val="List Number 4"/>
    <w:basedOn w:val="List4"/>
    <w:rsid w:val="00E77940"/>
    <w:pPr>
      <w:numPr>
        <w:numId w:val="6"/>
      </w:numPr>
    </w:pPr>
  </w:style>
  <w:style w:type="paragraph" w:styleId="ListNumber5">
    <w:name w:val="List Number 5"/>
    <w:basedOn w:val="List5"/>
    <w:rsid w:val="00E77940"/>
    <w:pPr>
      <w:numPr>
        <w:numId w:val="7"/>
      </w:numPr>
    </w:pPr>
  </w:style>
  <w:style w:type="paragraph" w:styleId="BlockText">
    <w:name w:val="Block Text"/>
    <w:basedOn w:val="Normal"/>
    <w:rsid w:val="00E77940"/>
    <w:pPr>
      <w:spacing w:after="120"/>
      <w:ind w:left="1440" w:right="1440"/>
    </w:pPr>
  </w:style>
  <w:style w:type="character" w:customStyle="1" w:styleId="Subscript">
    <w:name w:val="Subscript"/>
    <w:rsid w:val="00E77940"/>
    <w:rPr>
      <w:sz w:val="16"/>
      <w:vertAlign w:val="subscript"/>
    </w:rPr>
  </w:style>
  <w:style w:type="character" w:customStyle="1" w:styleId="Superscript">
    <w:name w:val="Superscript"/>
    <w:rsid w:val="00E77940"/>
    <w:rPr>
      <w:sz w:val="16"/>
      <w:vertAlign w:val="superscript"/>
    </w:rPr>
  </w:style>
  <w:style w:type="character" w:customStyle="1" w:styleId="Symbols">
    <w:name w:val="Symbols"/>
    <w:rsid w:val="00E77940"/>
    <w:rPr>
      <w:rFonts w:ascii="Symbol" w:hAnsi="Symbol"/>
    </w:rPr>
  </w:style>
  <w:style w:type="character" w:customStyle="1" w:styleId="MenuOptions">
    <w:name w:val="Menu Options"/>
    <w:rsid w:val="00E77940"/>
    <w:rPr>
      <w:rFonts w:ascii="Arial Narrow" w:hAnsi="Arial Narrow"/>
      <w:smallCaps/>
    </w:rPr>
  </w:style>
  <w:style w:type="character" w:customStyle="1" w:styleId="Buttons">
    <w:name w:val="Buttons"/>
    <w:rsid w:val="00E77940"/>
    <w:rPr>
      <w:b/>
    </w:rPr>
  </w:style>
  <w:style w:type="character" w:customStyle="1" w:styleId="Underlined">
    <w:name w:val="Underlined"/>
    <w:rsid w:val="00E77940"/>
    <w:rPr>
      <w:u w:val="single"/>
    </w:rPr>
  </w:style>
  <w:style w:type="paragraph" w:customStyle="1" w:styleId="TableBodyTextRight">
    <w:name w:val="Table Body Text Right"/>
    <w:basedOn w:val="TableBodyText"/>
    <w:rsid w:val="00E77940"/>
    <w:pPr>
      <w:widowControl w:val="0"/>
      <w:autoSpaceDE w:val="0"/>
      <w:autoSpaceDN w:val="0"/>
      <w:adjustRightInd w:val="0"/>
      <w:jc w:val="right"/>
    </w:pPr>
    <w:rPr>
      <w:rFonts w:cs="Arial"/>
      <w:szCs w:val="18"/>
    </w:rPr>
  </w:style>
  <w:style w:type="paragraph" w:customStyle="1" w:styleId="CopyrightText">
    <w:name w:val="Copyright Text"/>
    <w:basedOn w:val="BodyText"/>
    <w:rsid w:val="00E77940"/>
    <w:rPr>
      <w:sz w:val="18"/>
    </w:rPr>
  </w:style>
  <w:style w:type="paragraph" w:customStyle="1" w:styleId="BodySmallRight">
    <w:name w:val="Body Small Right"/>
    <w:basedOn w:val="BodyTextRight"/>
    <w:rsid w:val="00E77940"/>
    <w:rPr>
      <w:sz w:val="18"/>
      <w:szCs w:val="18"/>
    </w:rPr>
  </w:style>
  <w:style w:type="paragraph" w:customStyle="1" w:styleId="MarginEdition">
    <w:name w:val="Margin Edition"/>
    <w:basedOn w:val="MarginNote"/>
    <w:rsid w:val="00E77940"/>
    <w:pPr>
      <w:spacing w:before="0" w:after="0"/>
    </w:pPr>
    <w:rPr>
      <w:rFonts w:ascii="Times New Roman" w:hAnsi="Times New Roman"/>
      <w:color w:val="999999"/>
    </w:rPr>
  </w:style>
  <w:style w:type="paragraph" w:customStyle="1" w:styleId="Spacer">
    <w:name w:val="Spacer"/>
    <w:basedOn w:val="Normal"/>
    <w:rsid w:val="00E77940"/>
    <w:rPr>
      <w:sz w:val="2"/>
      <w:szCs w:val="2"/>
    </w:rPr>
  </w:style>
  <w:style w:type="character" w:customStyle="1" w:styleId="Small">
    <w:name w:val="Small"/>
    <w:rsid w:val="00E77940"/>
    <w:rPr>
      <w:sz w:val="16"/>
    </w:rPr>
  </w:style>
  <w:style w:type="paragraph" w:customStyle="1" w:styleId="WideTable">
    <w:name w:val="Wide Table"/>
    <w:basedOn w:val="Normal"/>
    <w:rsid w:val="00E77940"/>
    <w:pPr>
      <w:ind w:left="-1418"/>
    </w:pPr>
    <w:rPr>
      <w:sz w:val="2"/>
      <w:szCs w:val="2"/>
    </w:rPr>
  </w:style>
  <w:style w:type="character" w:styleId="PageNumber">
    <w:name w:val="page number"/>
    <w:rsid w:val="00E77940"/>
  </w:style>
  <w:style w:type="paragraph" w:styleId="Quote">
    <w:name w:val="Quote"/>
    <w:basedOn w:val="Heading1"/>
    <w:link w:val="QuoteChar"/>
    <w:qFormat/>
    <w:rsid w:val="00E77940"/>
    <w:rPr>
      <w:b w:val="0"/>
      <w:sz w:val="72"/>
      <w:szCs w:val="72"/>
      <w:lang w:val="en-NZ"/>
    </w:rPr>
  </w:style>
  <w:style w:type="character" w:customStyle="1" w:styleId="QuoteChar">
    <w:name w:val="Quote Char"/>
    <w:link w:val="Quote"/>
    <w:rsid w:val="00E77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940"/>
    <w:pPr>
      <w:pageBreakBefore/>
    </w:pPr>
  </w:style>
  <w:style w:type="paragraph" w:customStyle="1" w:styleId="Border">
    <w:name w:val="Border"/>
    <w:basedOn w:val="Normal"/>
    <w:qFormat/>
    <w:rsid w:val="00E77940"/>
    <w:pPr>
      <w:pBdr>
        <w:top w:val="single" w:sz="18" w:space="1" w:color="auto"/>
      </w:pBdr>
    </w:pPr>
    <w:rPr>
      <w:rFonts w:ascii="Times New Roman" w:hAnsi="Times New Roman"/>
      <w:color w:val="FFFFFF"/>
      <w:sz w:val="2"/>
    </w:rPr>
  </w:style>
  <w:style w:type="character" w:styleId="IntenseEmphasis">
    <w:name w:val="Intense Emphasis"/>
    <w:uiPriority w:val="21"/>
    <w:qFormat/>
    <w:rsid w:val="00E77940"/>
    <w:rPr>
      <w:b/>
      <w:bCs/>
      <w:i/>
      <w:iCs/>
      <w:color w:val="auto"/>
    </w:rPr>
  </w:style>
  <w:style w:type="paragraph" w:styleId="IntenseQuote">
    <w:name w:val="Intense Quote"/>
    <w:basedOn w:val="Normal"/>
    <w:next w:val="Normal"/>
    <w:link w:val="IntenseQuoteChar"/>
    <w:uiPriority w:val="30"/>
    <w:qFormat/>
    <w:rsid w:val="00E7794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77940"/>
    <w:rPr>
      <w:rFonts w:ascii="Courier New" w:eastAsia="Times New Roman" w:hAnsi="Courier New" w:cs="Times New Roman"/>
      <w:b/>
      <w:bCs/>
      <w:i/>
      <w:iCs/>
      <w:szCs w:val="20"/>
      <w:lang w:val="en-US" w:eastAsia="en-US"/>
    </w:rPr>
  </w:style>
  <w:style w:type="character" w:styleId="SubtleReference">
    <w:name w:val="Subtle Reference"/>
    <w:uiPriority w:val="31"/>
    <w:qFormat/>
    <w:rsid w:val="00E77940"/>
    <w:rPr>
      <w:smallCaps/>
      <w:color w:val="auto"/>
      <w:u w:val="single"/>
    </w:rPr>
  </w:style>
  <w:style w:type="character" w:styleId="IntenseReference">
    <w:name w:val="Intense Reference"/>
    <w:uiPriority w:val="32"/>
    <w:qFormat/>
    <w:rsid w:val="00E77940"/>
    <w:rPr>
      <w:b/>
      <w:bCs/>
      <w:smallCaps/>
      <w:color w:val="auto"/>
      <w:spacing w:val="5"/>
      <w:u w:val="single"/>
    </w:rPr>
  </w:style>
  <w:style w:type="paragraph" w:customStyle="1" w:styleId="2ColumnHeading">
    <w:name w:val="2Column Heading"/>
    <w:basedOn w:val="BodyText"/>
    <w:qFormat/>
    <w:rsid w:val="00E77940"/>
    <w:pPr>
      <w:spacing w:after="60"/>
      <w:ind w:left="-2268"/>
    </w:pPr>
    <w:rPr>
      <w:b/>
    </w:rPr>
  </w:style>
  <w:style w:type="paragraph" w:customStyle="1" w:styleId="Heading1TOC">
    <w:name w:val="Heading1 TOC"/>
    <w:basedOn w:val="Normal"/>
    <w:qFormat/>
    <w:rsid w:val="00E77940"/>
    <w:pPr>
      <w:spacing w:before="240" w:after="120"/>
    </w:pPr>
    <w:rPr>
      <w:rFonts w:ascii="Times New Roman" w:hAnsi="Times New Roman"/>
      <w:b/>
      <w:sz w:val="32"/>
    </w:rPr>
  </w:style>
  <w:style w:type="paragraph" w:customStyle="1" w:styleId="Heading2TOC">
    <w:name w:val="Heading2 TOC"/>
    <w:basedOn w:val="Normal"/>
    <w:qFormat/>
    <w:rsid w:val="00E77940"/>
    <w:pPr>
      <w:spacing w:before="240" w:after="60"/>
    </w:pPr>
    <w:rPr>
      <w:rFonts w:ascii="Times New Roman" w:hAnsi="Times New Roman"/>
      <w:b/>
      <w:sz w:val="28"/>
    </w:rPr>
  </w:style>
  <w:style w:type="character" w:customStyle="1" w:styleId="Underline">
    <w:name w:val="Underline"/>
    <w:qFormat/>
    <w:rsid w:val="00E77940"/>
    <w:rPr>
      <w:u w:val="single"/>
    </w:rPr>
  </w:style>
  <w:style w:type="paragraph" w:styleId="BalloonText">
    <w:name w:val="Balloon Text"/>
    <w:basedOn w:val="Normal"/>
    <w:link w:val="BalloonTextChar"/>
    <w:rsid w:val="00E77940"/>
    <w:rPr>
      <w:rFonts w:ascii="Tahoma" w:hAnsi="Tahoma" w:cs="Tahoma"/>
      <w:sz w:val="16"/>
      <w:szCs w:val="16"/>
    </w:rPr>
  </w:style>
  <w:style w:type="character" w:customStyle="1" w:styleId="BalloonTextChar">
    <w:name w:val="Balloon Text Char"/>
    <w:link w:val="BalloonText"/>
    <w:rsid w:val="00E779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794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7794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1598</Words>
  <Characters>10531</Characters>
  <Application>Microsoft Office Word</Application>
  <DocSecurity>0</DocSecurity>
  <Lines>406</Lines>
  <Paragraphs>220</Paragraphs>
  <ScaleCrop>false</ScaleCrop>
  <Company>Author-it Software Corporation Ltd.</Company>
  <LinksUpToDate>false</LinksUpToDate>
  <CharactersWithSpaces>12065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SFIPROC401C Evaluate a batch of seafood</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2012-05-26T08:39:00Z</dcterms:created>
  <dcterms:modified xsi:type="dcterms:W3CDTF">2012-05-26T08:39:00Z</dcterms:modified>
</cp:coreProperties>
</file>