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768" w:rsidP="00CB3768">
      <w:pPr>
        <w:pStyle w:val="Title"/>
      </w:pPr>
      <w:r>
        <w:fldChar w:fldCharType="begin"/>
      </w:r>
      <w:r>
        <w:instrText xml:space="preserve"> TITLE   \* MERGEFORMAT </w:instrText>
      </w:r>
      <w:r>
        <w:fldChar w:fldCharType="separate"/>
      </w:r>
      <w:r>
        <w:t>SFIPROC302C Handle and pack sashimi-grade fish</w:t>
      </w:r>
      <w:r>
        <w:fldChar w:fldCharType="end"/>
      </w:r>
    </w:p>
    <w:p w:rsidR="00CB3768" w:rsidP="00CB3768">
      <w:pPr>
        <w:pStyle w:val="Version"/>
        <w:sectPr w:rsidSect="001B6E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EF8" w:rsidP="001B6EF8">
      <w:pPr>
        <w:pStyle w:val="SuperHeading"/>
      </w:pPr>
      <w:r w:rsidRPr="001B6EF8">
        <w:t>SFIPROC302C Handle and pack sashimi-grade fish</w:t>
      </w:r>
    </w:p>
    <w:p w:rsidR="00000000" w:rsidRPr="001B6EF8" w:rsidP="001B6EF8">
      <w:pPr>
        <w:pStyle w:val="Heading1"/>
      </w:pPr>
      <w:bookmarkStart w:id="1" w:name="O_273289"/>
      <w:bookmarkEnd w:id="1"/>
      <w:r w:rsidRPr="001B6EF8">
        <w:t>Modification History</w:t>
      </w:r>
    </w:p>
    <w:p w:rsidR="00000000" w:rsidRPr="001B6EF8" w:rsidP="001B6EF8">
      <w:pPr>
        <w:pStyle w:val="BodyText"/>
      </w:pPr>
      <w:r w:rsidRPr="001B6EF8">
        <w:t>Not Applicable</w:t>
      </w:r>
    </w:p>
    <w:p w:rsidR="00000000" w:rsidRPr="001B6EF8" w:rsidP="001B6EF8">
      <w:pPr>
        <w:pStyle w:val="AllowPageBreak"/>
      </w:pPr>
    </w:p>
    <w:p w:rsidR="00000000" w:rsidRPr="001B6EF8" w:rsidP="001B6EF8">
      <w:pPr>
        <w:pStyle w:val="Heading1"/>
      </w:pPr>
      <w:bookmarkStart w:id="2" w:name="O_218514"/>
      <w:bookmarkEnd w:id="2"/>
      <w:r w:rsidRPr="001B6EF8">
        <w:t>Unit Descriptor</w:t>
      </w:r>
    </w:p>
    <w:tbl>
      <w:tblPr>
        <w:tblW w:w="0" w:type="auto"/>
        <w:tblLayout w:type="fixed"/>
        <w:tblCellMar>
          <w:left w:w="62" w:type="dxa"/>
          <w:right w:w="62" w:type="dxa"/>
        </w:tblCellMar>
        <w:tblLook w:val="0000"/>
      </w:tblPr>
      <w:tblGrid>
        <w:gridCol w:w="2628"/>
        <w:gridCol w:w="5894"/>
      </w:tblGrid>
      <w:tr w:rsidTr="00CB3768">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Unit descriptor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This unit of competency involves handling, grading and packing sashimi-grade fish. These fish are handled</w:t>
            </w:r>
            <w:r w:rsidRPr="001B6EF8">
              <w:t xml:space="preserve"> individually with special care to ensure that the flesh is suitable for slicing as sashimi. </w:t>
            </w:r>
          </w:p>
          <w:p w:rsidR="00000000" w:rsidRPr="001B6EF8" w:rsidP="001B6EF8">
            <w:pPr>
              <w:pStyle w:val="BodyText"/>
            </w:pPr>
            <w:r w:rsidRPr="001B6EF8">
              <w:t>Licensing, legislative, regulatory or certification requirements may apply to this unit. Therefore it will be necessary to check with the relevant state or territ</w:t>
            </w:r>
            <w:r w:rsidRPr="001B6EF8">
              <w:t>ory regulators for current licensing, legislative or regulatory requirements before undertaking this unit.</w:t>
            </w:r>
          </w:p>
        </w:tc>
      </w:tr>
    </w:tbl>
    <w:p w:rsidR="00CB3768" w:rsidP="001B6EF8">
      <w:pPr>
        <w:pStyle w:val="BodyText"/>
      </w:pPr>
    </w:p>
    <w:p w:rsidR="00CB3768" w:rsidP="001B6EF8">
      <w:pPr>
        <w:pStyle w:val="BodyText"/>
      </w:pPr>
    </w:p>
    <w:p w:rsidR="00000000" w:rsidRPr="001B6EF8" w:rsidP="001B6EF8">
      <w:pPr>
        <w:pStyle w:val="Heading1"/>
      </w:pPr>
      <w:bookmarkStart w:id="3" w:name="O_218518"/>
      <w:bookmarkEnd w:id="3"/>
      <w:r w:rsidRPr="001B6EF8">
        <w:t>Application of the Unit</w:t>
      </w:r>
    </w:p>
    <w:tbl>
      <w:tblPr>
        <w:tblW w:w="0" w:type="auto"/>
        <w:tblLayout w:type="fixed"/>
        <w:tblCellMar>
          <w:left w:w="62" w:type="dxa"/>
          <w:right w:w="62" w:type="dxa"/>
        </w:tblCellMar>
        <w:tblLook w:val="0000"/>
      </w:tblPr>
      <w:tblGrid>
        <w:gridCol w:w="2705"/>
        <w:gridCol w:w="5817"/>
      </w:tblGrid>
      <w:tr w:rsidTr="00CB3768">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Application of the unit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This unit has application for fish processing facilities that handle sashimi-grade fish for domestic and export trade.</w:t>
            </w:r>
          </w:p>
          <w:p w:rsidR="00000000" w:rsidRPr="001B6EF8" w:rsidP="001B6EF8">
            <w:pPr>
              <w:pStyle w:val="BodyText"/>
            </w:pPr>
            <w:r w:rsidRPr="001B6EF8">
              <w:t>Sashimi-grade fish are handled under stringent quality procedures. Where exported, it also must meet Australian Quarantine and Inspection</w:t>
            </w:r>
            <w:r w:rsidRPr="001B6EF8">
              <w:t xml:space="preserve"> Service (AQIS) criteria and the food regulations of importing countries.</w:t>
            </w:r>
          </w:p>
          <w:p w:rsidR="00000000" w:rsidRPr="001B6EF8" w:rsidP="001B6EF8">
            <w:pPr>
              <w:pStyle w:val="BodyText"/>
            </w:pPr>
            <w:r w:rsidRPr="001B6EF8">
              <w:t xml:space="preserve">All enterprise or workplace procedures and activities are carried out according to </w:t>
            </w:r>
            <w:r w:rsidRPr="001B6EF8">
              <w:rPr>
                <w:rStyle w:val="BoldandItalics"/>
              </w:rPr>
              <w:t>relevant government regulations</w:t>
            </w:r>
            <w:r w:rsidRPr="001B6EF8">
              <w:t xml:space="preserve">, </w:t>
            </w:r>
            <w:r w:rsidRPr="001B6EF8">
              <w:rPr>
                <w:rStyle w:val="BoldandItalics"/>
              </w:rPr>
              <w:t>licensing and other compliance requirements</w:t>
            </w:r>
            <w:r w:rsidRPr="001B6EF8">
              <w:t xml:space="preserve">, including </w:t>
            </w:r>
            <w:r w:rsidRPr="001B6EF8">
              <w:rPr>
                <w:rStyle w:val="BoldandItalics"/>
              </w:rPr>
              <w:t>occupational health and safety</w:t>
            </w:r>
            <w:r w:rsidRPr="001B6EF8">
              <w:t xml:space="preserve"> (</w:t>
            </w:r>
            <w:r w:rsidRPr="001B6EF8">
              <w:rPr>
                <w:rStyle w:val="BoldandItalics"/>
              </w:rPr>
              <w:t>OHS</w:t>
            </w:r>
            <w:r w:rsidRPr="001B6EF8">
              <w:t xml:space="preserve">) </w:t>
            </w:r>
            <w:r w:rsidRPr="001B6EF8">
              <w:rPr>
                <w:rStyle w:val="BoldandItalics"/>
              </w:rPr>
              <w:t>guidelines</w:t>
            </w:r>
            <w:r w:rsidRPr="001B6EF8">
              <w:t xml:space="preserve">, </w:t>
            </w:r>
            <w:r w:rsidRPr="001B6EF8">
              <w:rPr>
                <w:rStyle w:val="BoldandItalics"/>
              </w:rPr>
              <w:t>food safety and hygiene regulations and procedures</w:t>
            </w:r>
            <w:r w:rsidRPr="001B6EF8">
              <w:t xml:space="preserve"> and </w:t>
            </w:r>
            <w:r w:rsidRPr="001B6EF8">
              <w:rPr>
                <w:rStyle w:val="BoldandItalics"/>
              </w:rPr>
              <w:t>ecologically sustainable development</w:t>
            </w:r>
            <w:r w:rsidRPr="001B6EF8">
              <w:t xml:space="preserve"> (</w:t>
            </w:r>
            <w:r w:rsidRPr="001B6EF8">
              <w:rPr>
                <w:rStyle w:val="BoldandItalics"/>
              </w:rPr>
              <w:t>ESD</w:t>
            </w:r>
            <w:r w:rsidRPr="001B6EF8">
              <w:t xml:space="preserve">) </w:t>
            </w:r>
            <w:r w:rsidRPr="001B6EF8">
              <w:rPr>
                <w:rStyle w:val="BoldandItalics"/>
              </w:rPr>
              <w:t>principles</w:t>
            </w:r>
            <w:r w:rsidRPr="001B6EF8">
              <w:t xml:space="preserve">.  </w:t>
            </w:r>
          </w:p>
          <w:p w:rsidR="00000000" w:rsidRPr="001B6EF8" w:rsidP="001B6EF8">
            <w:pPr>
              <w:pStyle w:val="BodyText"/>
            </w:pPr>
            <w:r w:rsidRPr="001B6EF8">
              <w:t>Equipment operation, maintenance, repairs and calibrations are undertaken in a safe manner that</w:t>
            </w:r>
            <w:r w:rsidRPr="001B6EF8">
              <w:t xml:space="preserve"> conforms to manufacturer instructions. Appropriate </w:t>
            </w:r>
            <w:r w:rsidRPr="001B6EF8">
              <w:rPr>
                <w:rStyle w:val="BoldandItalics"/>
              </w:rPr>
              <w:t>personal protective equipment</w:t>
            </w:r>
            <w:r w:rsidRPr="001B6EF8">
              <w:t xml:space="preserve"> (</w:t>
            </w:r>
            <w:r w:rsidRPr="001B6EF8">
              <w:rPr>
                <w:rStyle w:val="BoldandItalics"/>
              </w:rPr>
              <w:t>PPE</w:t>
            </w:r>
            <w:r w:rsidRPr="001B6EF8">
              <w:t>) is selected, checked, used and maintained.</w:t>
            </w:r>
          </w:p>
        </w:tc>
      </w:tr>
    </w:tbl>
    <w:p w:rsidR="00CB3768" w:rsidP="001B6EF8">
      <w:pPr>
        <w:pStyle w:val="BodyText"/>
      </w:pPr>
    </w:p>
    <w:p w:rsidR="00CB3768" w:rsidP="001B6EF8">
      <w:pPr>
        <w:pStyle w:val="BodyText"/>
      </w:pPr>
    </w:p>
    <w:p w:rsidR="00000000" w:rsidRPr="001B6EF8" w:rsidP="001B6EF8">
      <w:pPr>
        <w:pStyle w:val="Heading1"/>
      </w:pPr>
      <w:bookmarkStart w:id="4" w:name="O_281549"/>
      <w:bookmarkEnd w:id="4"/>
      <w:r w:rsidRPr="001B6EF8">
        <w:t>Licensing/Regulatory Information</w:t>
      </w:r>
    </w:p>
    <w:p w:rsidR="00000000" w:rsidRPr="001B6EF8" w:rsidP="001B6EF8">
      <w:pPr>
        <w:pStyle w:val="BodyText"/>
      </w:pPr>
      <w:r w:rsidRPr="001B6EF8">
        <w:t>Refer to Unit Descriptor</w:t>
      </w:r>
    </w:p>
    <w:p w:rsidR="00000000" w:rsidRPr="001B6EF8" w:rsidP="001B6EF8">
      <w:pPr>
        <w:pStyle w:val="AllowPageBreak"/>
      </w:pPr>
    </w:p>
    <w:p w:rsidR="00000000" w:rsidRPr="001B6EF8" w:rsidP="001B6EF8">
      <w:pPr>
        <w:pStyle w:val="Heading1"/>
      </w:pPr>
      <w:bookmarkStart w:id="5" w:name="O_218516"/>
      <w:bookmarkEnd w:id="5"/>
      <w:r w:rsidRPr="001B6EF8">
        <w:t>Pre-Requisites</w:t>
      </w:r>
    </w:p>
    <w:tbl>
      <w:tblPr>
        <w:tblW w:w="0" w:type="auto"/>
        <w:tblLayout w:type="fixed"/>
        <w:tblCellMar>
          <w:left w:w="62" w:type="dxa"/>
          <w:right w:w="62" w:type="dxa"/>
        </w:tblCellMar>
        <w:tblLook w:val="0000"/>
      </w:tblPr>
      <w:tblGrid>
        <w:gridCol w:w="2744"/>
        <w:gridCol w:w="1469"/>
        <w:gridCol w:w="4309"/>
      </w:tblGrid>
      <w:tr w:rsidTr="00CB3768">
        <w:tblPrEx>
          <w:tblW w:w="0" w:type="auto"/>
          <w:tblLayout w:type="fixed"/>
          <w:tblCellMar>
            <w:left w:w="62" w:type="dxa"/>
            <w:right w:w="62" w:type="dxa"/>
          </w:tblCellMar>
          <w:tblLook w:val="0000"/>
        </w:tblPrEx>
        <w:trPr>
          <w:tblHeader/>
        </w:trPr>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Prerequisite units</w:t>
            </w:r>
          </w:p>
        </w:tc>
        <w:tc>
          <w:tcPr>
            <w:tcW w:w="57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p>
        </w:tc>
      </w:tr>
      <w:tr w:rsidTr="00CB376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p>
        </w:tc>
      </w:tr>
      <w:tr w:rsidTr="00CB376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p>
        </w:tc>
      </w:tr>
    </w:tbl>
    <w:p w:rsidR="00CB3768" w:rsidP="001B6EF8">
      <w:pPr>
        <w:pStyle w:val="BodyText"/>
      </w:pPr>
    </w:p>
    <w:p w:rsidR="00CB3768" w:rsidP="001B6EF8">
      <w:pPr>
        <w:pStyle w:val="BodyText"/>
      </w:pPr>
    </w:p>
    <w:p w:rsidR="00000000" w:rsidRPr="001B6EF8" w:rsidP="001B6EF8">
      <w:pPr>
        <w:pStyle w:val="Heading1"/>
      </w:pPr>
      <w:bookmarkStart w:id="6" w:name="O_218515"/>
      <w:bookmarkEnd w:id="6"/>
      <w:r w:rsidRPr="001B6EF8">
        <w:t>Employability Skills Information</w:t>
      </w:r>
    </w:p>
    <w:tbl>
      <w:tblPr>
        <w:tblW w:w="0" w:type="auto"/>
        <w:tblLayout w:type="fixed"/>
        <w:tblCellMar>
          <w:left w:w="62" w:type="dxa"/>
          <w:right w:w="62" w:type="dxa"/>
        </w:tblCellMar>
        <w:tblLook w:val="0000"/>
      </w:tblPr>
      <w:tblGrid>
        <w:gridCol w:w="2777"/>
        <w:gridCol w:w="5745"/>
      </w:tblGrid>
      <w:tr w:rsidTr="00CB376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 xml:space="preserve">This unit contains employability skills. </w:t>
            </w:r>
          </w:p>
        </w:tc>
      </w:tr>
    </w:tbl>
    <w:p w:rsidR="00CB3768" w:rsidP="001B6EF8">
      <w:pPr>
        <w:pStyle w:val="BodyText"/>
      </w:pPr>
    </w:p>
    <w:p w:rsidR="00CB3768" w:rsidP="001B6EF8">
      <w:pPr>
        <w:pStyle w:val="BodyText"/>
      </w:pPr>
    </w:p>
    <w:p w:rsidR="00000000" w:rsidRPr="001B6EF8" w:rsidP="001B6EF8">
      <w:pPr>
        <w:pStyle w:val="Heading1"/>
      </w:pPr>
      <w:bookmarkStart w:id="7" w:name="O_291335"/>
      <w:bookmarkEnd w:id="7"/>
      <w:r w:rsidRPr="001B6EF8">
        <w:t>Elements and Performance Criteria Pre-Content</w:t>
      </w:r>
    </w:p>
    <w:tbl>
      <w:tblPr>
        <w:tblW w:w="0" w:type="auto"/>
        <w:tblLayout w:type="fixed"/>
        <w:tblCellMar>
          <w:left w:w="62" w:type="dxa"/>
          <w:right w:w="62" w:type="dxa"/>
        </w:tblCellMar>
        <w:tblLook w:val="0000"/>
      </w:tblPr>
      <w:tblGrid>
        <w:gridCol w:w="2560"/>
        <w:gridCol w:w="5962"/>
      </w:tblGrid>
      <w:tr w:rsidTr="00CB376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t>Elements describe the essential outcomes of a</w:t>
            </w:r>
            <w:r w:rsidRPr="001B6EF8">
              <w:t xml:space="preserve">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Performance criteria describe the performance needed to demonstrate achievement of the element. Where bold italicised text is used, further information is detailed in the required skills and knowledge section and the range statement. A</w:t>
            </w:r>
            <w:r w:rsidRPr="001B6EF8">
              <w:t>ssessment of performance is to be consistent with the evidence guide.</w:t>
            </w:r>
          </w:p>
        </w:tc>
      </w:tr>
    </w:tbl>
    <w:p w:rsidR="00000000" w:rsidRPr="001B6EF8" w:rsidP="001B6EF8">
      <w:pPr>
        <w:pStyle w:val="BodyText"/>
      </w:pPr>
    </w:p>
    <w:p w:rsidR="00000000" w:rsidRPr="001B6EF8" w:rsidP="001B6EF8">
      <w:pPr>
        <w:pStyle w:val="AllowPageBreak"/>
      </w:pPr>
    </w:p>
    <w:p w:rsidR="00000000" w:rsidRPr="001B6EF8" w:rsidP="001B6EF8">
      <w:pPr>
        <w:pStyle w:val="Heading1"/>
      </w:pPr>
      <w:bookmarkStart w:id="8" w:name="O_238003"/>
      <w:bookmarkEnd w:id="8"/>
      <w:r w:rsidRPr="001B6EF8">
        <w:t>Elements and Performance Criteria</w:t>
      </w:r>
    </w:p>
    <w:tbl>
      <w:tblPr>
        <w:tblW w:w="0" w:type="auto"/>
        <w:tblLayout w:type="fixed"/>
        <w:tblCellMar>
          <w:left w:w="62" w:type="dxa"/>
          <w:right w:w="62" w:type="dxa"/>
        </w:tblCellMar>
        <w:tblLook w:val="0000"/>
      </w:tblPr>
      <w:tblGrid>
        <w:gridCol w:w="2560"/>
        <w:gridCol w:w="5962"/>
      </w:tblGrid>
      <w:tr w:rsidTr="00CB376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PERFORMANCE CRITERIA</w:t>
            </w:r>
          </w:p>
        </w:tc>
      </w:tr>
      <w:tr w:rsidTr="00CB376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List"/>
              <w:rPr>
                <w:lang w:val="en-NZ"/>
              </w:rPr>
            </w:pPr>
            <w:r w:rsidRPr="001B6EF8">
              <w:t>1.</w:t>
            </w:r>
            <w:r w:rsidRPr="001B6EF8">
              <w:tab/>
              <w:t>Transport fish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2"/>
            </w:pPr>
            <w:r w:rsidRPr="001B6EF8">
              <w:t>1.1.</w:t>
            </w:r>
            <w:r w:rsidRPr="001B6EF8">
              <w:tab/>
              <w:t>Whole fish are r</w:t>
            </w:r>
            <w:r w:rsidRPr="001B6EF8">
              <w:t xml:space="preserve">emoved from fishing vessels with the care required to ensure that the fish is not damaged or bent. </w:t>
            </w:r>
          </w:p>
          <w:p w:rsidR="00000000" w:rsidP="001B6EF8">
            <w:pPr>
              <w:pStyle w:val="List2"/>
              <w:rPr>
                <w:lang w:val="en-NZ"/>
              </w:rPr>
            </w:pPr>
            <w:r w:rsidRPr="001B6EF8">
              <w:t>1.2.</w:t>
            </w:r>
            <w:r w:rsidRPr="001B6EF8">
              <w:tab/>
              <w:t>Fish are stored at the processing premises under chilled, hygienic conditions, and kept under conditions that ensure they are not damaged.</w:t>
            </w:r>
          </w:p>
        </w:tc>
      </w:tr>
      <w:tr w:rsidTr="00CB376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List"/>
              <w:rPr>
                <w:lang w:val="en-NZ"/>
              </w:rPr>
            </w:pPr>
            <w:r w:rsidRPr="001B6EF8">
              <w:t>2.</w:t>
            </w:r>
            <w:r w:rsidRPr="001B6EF8">
              <w:tab/>
              <w:t>Grade fi</w:t>
            </w:r>
            <w:r w:rsidRPr="001B6EF8">
              <w:t>sh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2"/>
            </w:pPr>
            <w:r w:rsidRPr="001B6EF8">
              <w:t>2.1.</w:t>
            </w:r>
            <w:r w:rsidRPr="001B6EF8">
              <w:tab/>
              <w:t>Fish are visually inspected for defects, diseases and parasites and defective fish are set aside for other uses or markets.</w:t>
            </w:r>
          </w:p>
          <w:p w:rsidR="00000000" w:rsidRPr="001B6EF8" w:rsidP="001B6EF8">
            <w:pPr>
              <w:pStyle w:val="List2"/>
            </w:pPr>
            <w:r w:rsidRPr="001B6EF8">
              <w:t>2.2.</w:t>
            </w:r>
            <w:r w:rsidRPr="001B6EF8">
              <w:tab/>
              <w:t xml:space="preserve">Selected fish are graded by visual inspection using all of the sashimi-grade criteria as set out in the </w:t>
            </w:r>
            <w:r w:rsidRPr="001B6EF8">
              <w:rPr>
                <w:rStyle w:val="BoldandItalics"/>
              </w:rPr>
              <w:t>specifications</w:t>
            </w:r>
            <w:r w:rsidRPr="001B6EF8">
              <w:t xml:space="preserve"> </w:t>
            </w:r>
            <w:r w:rsidRPr="001B6EF8">
              <w:t xml:space="preserve">for the </w:t>
            </w:r>
            <w:r w:rsidRPr="001B6EF8">
              <w:rPr>
                <w:rStyle w:val="BoldandItalics"/>
              </w:rPr>
              <w:t>species</w:t>
            </w:r>
            <w:r w:rsidRPr="001B6EF8">
              <w:t xml:space="preserve">. </w:t>
            </w:r>
          </w:p>
          <w:p w:rsidR="00000000" w:rsidP="001B6EF8">
            <w:pPr>
              <w:pStyle w:val="List2"/>
              <w:rPr>
                <w:lang w:val="en-NZ"/>
              </w:rPr>
            </w:pPr>
            <w:r w:rsidRPr="001B6EF8">
              <w:t>2.3.</w:t>
            </w:r>
            <w:r w:rsidRPr="001B6EF8">
              <w:tab/>
              <w:t>Fish that fail to meet sashimi-grade criteria are set aside for other uses or markets.</w:t>
            </w:r>
          </w:p>
        </w:tc>
      </w:tr>
      <w:tr w:rsidTr="00CB376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List"/>
              <w:rPr>
                <w:lang w:val="en-NZ"/>
              </w:rPr>
            </w:pPr>
            <w:r w:rsidRPr="001B6EF8">
              <w:t>3.</w:t>
            </w:r>
            <w:r w:rsidRPr="001B6EF8">
              <w:tab/>
              <w:t>Wipe and chill fish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2"/>
            </w:pPr>
            <w:r w:rsidRPr="001B6EF8">
              <w:t>3.1.</w:t>
            </w:r>
            <w:r w:rsidRPr="001B6EF8">
              <w:tab/>
              <w:t xml:space="preserve">Sashimi-grade fish are wiped clean of any slime. </w:t>
            </w:r>
          </w:p>
          <w:p w:rsidR="00000000" w:rsidP="001B6EF8">
            <w:pPr>
              <w:pStyle w:val="List2"/>
              <w:rPr>
                <w:lang w:val="en-NZ"/>
              </w:rPr>
            </w:pPr>
            <w:r w:rsidRPr="001B6EF8">
              <w:t>3.2.</w:t>
            </w:r>
            <w:r w:rsidRPr="001B6EF8">
              <w:tab/>
            </w:r>
            <w:r w:rsidRPr="001B6EF8">
              <w:t>Any ice within the body cavity is carefully removed and replaced with potable ice sealed in plastic bags to ensure that the temperature of the fish meets food regulations.</w:t>
            </w:r>
          </w:p>
        </w:tc>
      </w:tr>
      <w:tr w:rsidTr="00CB376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List"/>
              <w:rPr>
                <w:lang w:val="en-NZ"/>
              </w:rPr>
            </w:pPr>
            <w:r w:rsidRPr="001B6EF8">
              <w:t>4.</w:t>
            </w:r>
            <w:r w:rsidRPr="001B6EF8">
              <w:tab/>
              <w:t>Pack fish</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2"/>
            </w:pPr>
            <w:r w:rsidRPr="001B6EF8">
              <w:t>4.1.</w:t>
            </w:r>
            <w:r w:rsidRPr="001B6EF8">
              <w:tab/>
              <w:t>Cleaned fish are weighed and packaged for transport to meet the r</w:t>
            </w:r>
            <w:r w:rsidRPr="001B6EF8">
              <w:t>equirements AQIS, the transport company, the domestic customer or the importing country.</w:t>
            </w:r>
          </w:p>
          <w:p w:rsidR="00000000" w:rsidRPr="001B6EF8" w:rsidP="001B6EF8">
            <w:pPr>
              <w:pStyle w:val="List2"/>
            </w:pPr>
            <w:r w:rsidRPr="001B6EF8">
              <w:t>4.2.</w:t>
            </w:r>
            <w:r w:rsidRPr="001B6EF8">
              <w:tab/>
              <w:t>Identification and traceability of product is maintained according to enterprise food safety program.</w:t>
            </w:r>
          </w:p>
          <w:p w:rsidR="00000000" w:rsidRPr="001B6EF8" w:rsidP="001B6EF8">
            <w:pPr>
              <w:pStyle w:val="List2"/>
            </w:pPr>
            <w:r w:rsidRPr="001B6EF8">
              <w:t>4.3.</w:t>
            </w:r>
            <w:r w:rsidRPr="001B6EF8">
              <w:tab/>
              <w:t>Packaged fish is labelled according to the requirements</w:t>
            </w:r>
            <w:r w:rsidRPr="001B6EF8">
              <w:t xml:space="preserve"> of AQIS, the domestic customer or the importing country.</w:t>
            </w:r>
          </w:p>
        </w:tc>
      </w:tr>
    </w:tbl>
    <w:p w:rsidR="00CB3768" w:rsidP="001B6EF8">
      <w:pPr>
        <w:pStyle w:val="BodyText"/>
      </w:pPr>
    </w:p>
    <w:p w:rsidR="00CB3768" w:rsidP="001B6EF8">
      <w:pPr>
        <w:pStyle w:val="BodyText"/>
      </w:pPr>
    </w:p>
    <w:p w:rsidR="00000000" w:rsidRPr="001B6EF8" w:rsidP="001B6EF8">
      <w:pPr>
        <w:pStyle w:val="Heading1"/>
      </w:pPr>
      <w:bookmarkStart w:id="9" w:name="O_261794"/>
      <w:bookmarkEnd w:id="9"/>
      <w:r w:rsidRPr="001B6EF8">
        <w:t>Required Skills and Knowledge</w:t>
      </w:r>
    </w:p>
    <w:tbl>
      <w:tblPr>
        <w:tblW w:w="0" w:type="auto"/>
        <w:tblLayout w:type="fixed"/>
        <w:tblCellMar>
          <w:left w:w="62" w:type="dxa"/>
          <w:right w:w="62" w:type="dxa"/>
        </w:tblCellMar>
        <w:tblLook w:val="0000"/>
      </w:tblPr>
      <w:tblGrid>
        <w:gridCol w:w="8522"/>
      </w:tblGrid>
      <w:tr w:rsidTr="00CB37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REQUIRED SKILLS AND KNOWLEDGE</w:t>
            </w:r>
          </w:p>
        </w:tc>
      </w:tr>
      <w:tr w:rsidTr="00CB3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t>This section describes the skills and knowledge required for this unit.</w:t>
            </w:r>
          </w:p>
        </w:tc>
      </w:tr>
      <w:tr w:rsidTr="00CB3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Required skills</w:t>
            </w:r>
          </w:p>
        </w:tc>
      </w:tr>
      <w:tr w:rsidTr="00CB3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cleaning and maintaining a hygienic workplace</w:t>
            </w:r>
          </w:p>
          <w:p w:rsidR="00000000" w:rsidRPr="001B6EF8" w:rsidP="001B6EF8">
            <w:pPr>
              <w:pStyle w:val="ListBullet"/>
            </w:pPr>
            <w:r w:rsidRPr="001B6EF8">
              <w:t>communicating orally to give and receive information</w:t>
            </w:r>
          </w:p>
          <w:p w:rsidR="00000000" w:rsidRPr="001B6EF8" w:rsidP="001B6EF8">
            <w:pPr>
              <w:pStyle w:val="ListBullet"/>
            </w:pPr>
            <w:r w:rsidRPr="001B6EF8">
              <w:t>grading of sashimi-grade fish against criteria</w:t>
            </w:r>
          </w:p>
          <w:p w:rsidR="00000000" w:rsidRPr="001B6EF8" w:rsidP="001B6EF8">
            <w:pPr>
              <w:pStyle w:val="ListBullet"/>
            </w:pPr>
            <w:r w:rsidRPr="001B6EF8">
              <w:t xml:space="preserve">hygienic handling, and storage of sashimi-grade fish </w:t>
            </w:r>
          </w:p>
          <w:p w:rsidR="00000000" w:rsidRPr="001B6EF8" w:rsidP="001B6EF8">
            <w:pPr>
              <w:pStyle w:val="ListBullet"/>
            </w:pPr>
            <w:r w:rsidRPr="001B6EF8">
              <w:t>identifying signs of defects, disease and parasites in s</w:t>
            </w:r>
            <w:r w:rsidRPr="001B6EF8">
              <w:t>ashimi-grade fish.</w:t>
            </w:r>
          </w:p>
          <w:p w:rsidR="00000000" w:rsidRPr="001B6EF8" w:rsidP="001B6EF8">
            <w:pPr>
              <w:pStyle w:val="BodyText"/>
            </w:pPr>
          </w:p>
          <w:p w:rsidR="00000000" w:rsidRPr="001B6EF8" w:rsidP="001B6EF8">
            <w:pPr>
              <w:pStyle w:val="BodyText"/>
            </w:pPr>
            <w:r w:rsidRPr="001B6EF8">
              <w:rPr>
                <w:rStyle w:val="SpecialBold"/>
              </w:rPr>
              <w:t>Literacy skills used for</w:t>
            </w:r>
            <w:r w:rsidRPr="001B6EF8">
              <w:t xml:space="preserve">: </w:t>
            </w:r>
          </w:p>
          <w:p w:rsidR="00000000" w:rsidRPr="001B6EF8" w:rsidP="001B6EF8">
            <w:pPr>
              <w:pStyle w:val="ListBullet"/>
            </w:pPr>
            <w:r w:rsidRPr="001B6EF8">
              <w:t>interpreting enterprise procedures</w:t>
            </w:r>
          </w:p>
          <w:p w:rsidR="00000000" w:rsidRPr="001B6EF8" w:rsidP="001B6EF8">
            <w:pPr>
              <w:pStyle w:val="ListBullet"/>
            </w:pPr>
            <w:r w:rsidRPr="001B6EF8">
              <w:t>interpreting specifications</w:t>
            </w:r>
          </w:p>
          <w:p w:rsidR="00000000" w:rsidRPr="001B6EF8" w:rsidP="001B6EF8">
            <w:pPr>
              <w:pStyle w:val="ListBullet"/>
            </w:pPr>
            <w:r w:rsidRPr="001B6EF8">
              <w:t>reading, writing and checking information on labels.</w:t>
            </w:r>
          </w:p>
          <w:p w:rsidR="00000000" w:rsidRPr="001B6EF8" w:rsidP="001B6EF8">
            <w:pPr>
              <w:pStyle w:val="BodyText"/>
            </w:pPr>
          </w:p>
          <w:p w:rsidR="00000000" w:rsidRPr="001B6EF8" w:rsidP="001B6EF8">
            <w:pPr>
              <w:pStyle w:val="BodyText"/>
            </w:pPr>
            <w:r w:rsidRPr="001B6EF8">
              <w:rPr>
                <w:rStyle w:val="SpecialBold"/>
              </w:rPr>
              <w:t>Numeracy skills used for</w:t>
            </w:r>
            <w:r w:rsidRPr="001B6EF8">
              <w:t xml:space="preserve">: </w:t>
            </w:r>
          </w:p>
          <w:p w:rsidR="00000000" w:rsidRPr="001B6EF8" w:rsidP="001B6EF8">
            <w:pPr>
              <w:pStyle w:val="ListBullet"/>
            </w:pPr>
            <w:r w:rsidRPr="001B6EF8">
              <w:t>measuring the length and weight of fish</w:t>
            </w:r>
          </w:p>
          <w:p w:rsidR="00000000" w:rsidP="001B6EF8">
            <w:pPr>
              <w:pStyle w:val="ListBullet"/>
              <w:rPr>
                <w:lang w:val="en-NZ"/>
              </w:rPr>
            </w:pPr>
            <w:r w:rsidRPr="001B6EF8">
              <w:t>reading weighing scales.</w:t>
            </w:r>
          </w:p>
        </w:tc>
      </w:tr>
      <w:tr w:rsidTr="00CB3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Required knowledge</w:t>
            </w:r>
          </w:p>
        </w:tc>
      </w:tr>
      <w:tr w:rsidTr="00CB37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application of OHS standards for the lifting of heavy loads and/or operating material handling equipment</w:t>
            </w:r>
          </w:p>
          <w:p w:rsidR="00000000" w:rsidRPr="001B6EF8" w:rsidP="001B6EF8">
            <w:pPr>
              <w:pStyle w:val="ListBullet"/>
            </w:pPr>
            <w:r w:rsidRPr="001B6EF8">
              <w:t>enterprise quality system procedures addressing customer specifications, product identification and traceability</w:t>
            </w:r>
          </w:p>
          <w:p w:rsidR="00000000" w:rsidRPr="001B6EF8" w:rsidP="001B6EF8">
            <w:pPr>
              <w:pStyle w:val="ListBullet"/>
            </w:pPr>
            <w:r w:rsidRPr="001B6EF8">
              <w:t>food safety procedures and regulations that apply when handling and storing species packed for sashimi</w:t>
            </w:r>
          </w:p>
          <w:p w:rsidR="00000000" w:rsidRPr="001B6EF8" w:rsidP="001B6EF8">
            <w:pPr>
              <w:pStyle w:val="ListBullet"/>
            </w:pPr>
            <w:r w:rsidRPr="001B6EF8">
              <w:t xml:space="preserve">personal, workplace and product hygiene </w:t>
            </w:r>
            <w:r w:rsidRPr="001B6EF8">
              <w:t>principles</w:t>
            </w:r>
          </w:p>
          <w:p w:rsidR="00000000" w:rsidRPr="001B6EF8" w:rsidP="001B6EF8">
            <w:pPr>
              <w:pStyle w:val="ListBullet"/>
            </w:pPr>
            <w:r w:rsidRPr="001B6EF8">
              <w:t>spoilage patterns and common defects, disease and parasites of species packed for sashimi</w:t>
            </w:r>
          </w:p>
          <w:p w:rsidR="00000000" w:rsidRPr="001B6EF8" w:rsidP="001B6EF8">
            <w:pPr>
              <w:pStyle w:val="ListBullet"/>
            </w:pPr>
            <w:r w:rsidRPr="001B6EF8">
              <w:t>sashimi-grade criteria.</w:t>
            </w:r>
          </w:p>
        </w:tc>
      </w:tr>
    </w:tbl>
    <w:p w:rsidR="00CB3768" w:rsidP="001B6EF8">
      <w:pPr>
        <w:pStyle w:val="BodyText"/>
      </w:pPr>
    </w:p>
    <w:p w:rsidR="00CB3768" w:rsidP="001B6EF8">
      <w:pPr>
        <w:pStyle w:val="BodyText"/>
      </w:pPr>
    </w:p>
    <w:p w:rsidR="00000000" w:rsidRPr="001B6EF8" w:rsidP="001B6EF8">
      <w:pPr>
        <w:pStyle w:val="AllowPageBreak"/>
      </w:pPr>
    </w:p>
    <w:p w:rsidR="00000000" w:rsidRPr="001B6EF8" w:rsidP="001B6EF8">
      <w:pPr>
        <w:pStyle w:val="Heading1"/>
      </w:pPr>
      <w:bookmarkStart w:id="10" w:name="O_245987"/>
      <w:bookmarkEnd w:id="10"/>
      <w:r w:rsidRPr="001B6EF8">
        <w:t>Evidence Guide</w:t>
      </w:r>
    </w:p>
    <w:tbl>
      <w:tblPr>
        <w:tblW w:w="9570" w:type="dxa"/>
        <w:tblLayout w:type="fixed"/>
        <w:tblCellMar>
          <w:left w:w="62" w:type="dxa"/>
          <w:right w:w="62" w:type="dxa"/>
        </w:tblCellMar>
        <w:tblLook w:val="0000"/>
      </w:tblPr>
      <w:tblGrid>
        <w:gridCol w:w="3908"/>
        <w:gridCol w:w="5662"/>
      </w:tblGrid>
      <w:tr w:rsidTr="00CB37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EVIDENCE GUIDE</w:t>
            </w:r>
          </w:p>
        </w:tc>
      </w:tr>
      <w:tr w:rsidTr="00CB37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t xml:space="preserve">The evidence guide provides advice on assessment and </w:t>
            </w:r>
            <w:r w:rsidRPr="001B6EF8">
              <w:t>must be read in conjunction with the performance criteria, required skills and knowledge, range statement and the Assessment Guidelines for the Training Package.</w:t>
            </w:r>
          </w:p>
        </w:tc>
      </w:tr>
      <w:tr w:rsidTr="00CB3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p>
        </w:tc>
      </w:tr>
      <w:tr w:rsidTr="00CB3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 xml:space="preserve">Assessment must confirm the ability to: </w:t>
            </w:r>
          </w:p>
          <w:p w:rsidR="00000000" w:rsidRPr="001B6EF8" w:rsidP="001B6EF8">
            <w:pPr>
              <w:pStyle w:val="ListBullet"/>
            </w:pPr>
            <w:r w:rsidRPr="001B6EF8">
              <w:t>accurately assess sashimi-grade fish</w:t>
            </w:r>
          </w:p>
          <w:p w:rsidR="00000000" w:rsidRPr="001B6EF8" w:rsidP="001B6EF8">
            <w:pPr>
              <w:pStyle w:val="ListBullet"/>
            </w:pPr>
            <w:r w:rsidRPr="001B6EF8">
              <w:t>ensure that fish meets food regulation requirements of destination market (domestic or o</w:t>
            </w:r>
            <w:r w:rsidRPr="001B6EF8">
              <w:t>verseas)</w:t>
            </w:r>
          </w:p>
          <w:p w:rsidR="00000000" w:rsidRPr="001B6EF8" w:rsidP="001B6EF8">
            <w:pPr>
              <w:pStyle w:val="ListBullet"/>
            </w:pPr>
            <w:r w:rsidRPr="001B6EF8">
              <w:t>handle, prepare, pack and label fish for transport.</w:t>
            </w:r>
          </w:p>
          <w:p w:rsidR="00000000" w:rsidRPr="001B6EF8" w:rsidP="001B6EF8">
            <w:pPr>
              <w:pStyle w:val="BodyText"/>
            </w:pPr>
          </w:p>
          <w:p w:rsidR="00000000" w:rsidRPr="001B6EF8" w:rsidP="001B6EF8">
            <w:pPr>
              <w:pStyle w:val="BodyText"/>
            </w:pPr>
            <w:r w:rsidRPr="001B6EF8">
              <w:t xml:space="preserve">Assessment must confirm knowledge of: </w:t>
            </w:r>
          </w:p>
          <w:p w:rsidR="00000000" w:rsidRPr="001B6EF8" w:rsidP="001B6EF8">
            <w:pPr>
              <w:pStyle w:val="ListBullet"/>
            </w:pPr>
            <w:r w:rsidRPr="001B6EF8">
              <w:t xml:space="preserve">assessing sashimi-grade fish </w:t>
            </w:r>
          </w:p>
          <w:p w:rsidR="00000000" w:rsidRPr="001B6EF8" w:rsidP="001B6EF8">
            <w:pPr>
              <w:pStyle w:val="ListBullet"/>
            </w:pPr>
            <w:r w:rsidRPr="001B6EF8">
              <w:t>common fish defects, diseases and parasites</w:t>
            </w:r>
          </w:p>
          <w:p w:rsidR="00000000" w:rsidP="001B6EF8">
            <w:pPr>
              <w:pStyle w:val="ListBullet"/>
              <w:rPr>
                <w:lang w:val="en-NZ"/>
              </w:rPr>
            </w:pPr>
            <w:r w:rsidRPr="001B6EF8">
              <w:t>spoilage patterns for common fish species packed for sashimi.</w:t>
            </w:r>
          </w:p>
        </w:tc>
      </w:tr>
      <w:tr w:rsidTr="00CB3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Assessment is to be conducted at the workplace or in a simulated work environment. To ensure consistency and level of performance at least twelve (12) fish are to be correctly assessed, packaged and labelled</w:t>
            </w:r>
            <w:r w:rsidRPr="001B6EF8">
              <w:t>.</w:t>
            </w:r>
          </w:p>
          <w:p w:rsidR="00000000" w:rsidRPr="001B6EF8" w:rsidP="001B6EF8">
            <w:pPr>
              <w:pStyle w:val="BodyText"/>
            </w:pPr>
          </w:p>
          <w:p w:rsidR="00000000" w:rsidRPr="001B6EF8" w:rsidP="001B6EF8">
            <w:pPr>
              <w:pStyle w:val="BodyText"/>
            </w:pPr>
            <w:r w:rsidRPr="001B6EF8">
              <w:t xml:space="preserve">Resources may include: </w:t>
            </w:r>
          </w:p>
          <w:p w:rsidR="00000000" w:rsidRPr="001B6EF8" w:rsidP="001B6EF8">
            <w:pPr>
              <w:pStyle w:val="ListBullet"/>
            </w:pPr>
            <w:r w:rsidRPr="001B6EF8">
              <w:t xml:space="preserve">area for the handling of sashimi-grade fish </w:t>
            </w:r>
          </w:p>
          <w:p w:rsidR="00000000" w:rsidRPr="001B6EF8" w:rsidP="001B6EF8">
            <w:pPr>
              <w:pStyle w:val="ListBullet"/>
            </w:pPr>
            <w:r w:rsidRPr="001B6EF8">
              <w:t>cutting knife</w:t>
            </w:r>
          </w:p>
          <w:p w:rsidR="00000000" w:rsidRPr="001B6EF8" w:rsidP="001B6EF8">
            <w:pPr>
              <w:pStyle w:val="ListBullet"/>
            </w:pPr>
            <w:r w:rsidRPr="001B6EF8">
              <w:t xml:space="preserve">fish that are at sashimi-grade as well as fish that are not at the grade </w:t>
            </w:r>
          </w:p>
          <w:p w:rsidR="00000000" w:rsidRPr="001B6EF8" w:rsidP="001B6EF8">
            <w:pPr>
              <w:pStyle w:val="ListBullet"/>
            </w:pPr>
            <w:r w:rsidRPr="001B6EF8">
              <w:t>labels</w:t>
            </w:r>
          </w:p>
          <w:p w:rsidR="00000000" w:rsidRPr="001B6EF8" w:rsidP="001B6EF8">
            <w:pPr>
              <w:pStyle w:val="ListBullet"/>
            </w:pPr>
            <w:r w:rsidRPr="001B6EF8">
              <w:t>packaging material</w:t>
            </w:r>
          </w:p>
          <w:p w:rsidR="00000000" w:rsidP="001B6EF8">
            <w:pPr>
              <w:pStyle w:val="ListBullet"/>
              <w:rPr>
                <w:lang w:val="en-NZ"/>
              </w:rPr>
            </w:pPr>
            <w:r w:rsidRPr="001B6EF8">
              <w:t>scales.</w:t>
            </w:r>
          </w:p>
        </w:tc>
      </w:tr>
      <w:tr w:rsidTr="00CB3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 xml:space="preserve">The following assessment methods are suggested: </w:t>
            </w:r>
          </w:p>
          <w:p w:rsidR="00000000" w:rsidRPr="001B6EF8" w:rsidP="001B6EF8">
            <w:pPr>
              <w:pStyle w:val="ListBullet"/>
            </w:pPr>
            <w:r w:rsidRPr="001B6EF8">
              <w:t>demonstration</w:t>
            </w:r>
          </w:p>
          <w:p w:rsidR="00000000" w:rsidP="001B6EF8">
            <w:pPr>
              <w:pStyle w:val="ListBullet"/>
              <w:rPr>
                <w:lang w:val="en-NZ"/>
              </w:rPr>
            </w:pPr>
            <w:r w:rsidRPr="001B6EF8">
              <w:t>oral questions.</w:t>
            </w:r>
          </w:p>
        </w:tc>
      </w:tr>
      <w:tr w:rsidTr="00CB37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This unit may be assessed holistically with other seafood processing units within a qualification.</w:t>
            </w:r>
          </w:p>
        </w:tc>
      </w:tr>
    </w:tbl>
    <w:p w:rsidR="00CB3768" w:rsidP="001B6EF8">
      <w:pPr>
        <w:pStyle w:val="BodyText"/>
      </w:pPr>
    </w:p>
    <w:p w:rsidR="00CB3768" w:rsidP="001B6EF8">
      <w:pPr>
        <w:pStyle w:val="BodyText"/>
      </w:pPr>
    </w:p>
    <w:p w:rsidR="00000000" w:rsidRPr="001B6EF8" w:rsidP="001B6EF8">
      <w:pPr>
        <w:pStyle w:val="Heading1"/>
      </w:pPr>
      <w:bookmarkStart w:id="11" w:name="O_253970"/>
      <w:bookmarkEnd w:id="11"/>
      <w:r w:rsidRPr="001B6EF8">
        <w:t>Range Statement</w:t>
      </w:r>
    </w:p>
    <w:tbl>
      <w:tblPr>
        <w:tblW w:w="0" w:type="auto"/>
        <w:tblLayout w:type="fixed"/>
        <w:tblCellMar>
          <w:left w:w="62" w:type="dxa"/>
          <w:right w:w="62" w:type="dxa"/>
        </w:tblCellMar>
        <w:tblLook w:val="0000"/>
      </w:tblPr>
      <w:tblGrid>
        <w:gridCol w:w="3517"/>
        <w:gridCol w:w="5005"/>
      </w:tblGrid>
      <w:tr w:rsidTr="00CB37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RANGE STATEMENT</w:t>
            </w:r>
          </w:p>
        </w:tc>
      </w:tr>
      <w:tr w:rsidTr="00CB37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t>The range statement relates to the unit of competency as a whole. It allows for different work environments and situations that may affect performance. Bold italicised wording, if used in the performance criteria, is detailed below. Essen</w:t>
            </w:r>
            <w:r w:rsidRPr="001B6EF8">
              <w:t>tial operating conditions that may be present with training and assessment (depending on the work situation, needs of the candidate, accessibility of the item, and local industry and regional contexts) may also be included.</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Relevant government regulation</w:t>
            </w:r>
            <w:r w:rsidRPr="001B6EF8">
              <w:rPr>
                <w:rStyle w:val="BoldandItalics"/>
              </w:rPr>
              <w:t>s</w:t>
            </w:r>
            <w:r w:rsidRPr="001B6EF8">
              <w:t xml:space="preserve">, </w:t>
            </w:r>
            <w:r w:rsidRPr="001B6EF8">
              <w:rPr>
                <w:rStyle w:val="BoldandItalics"/>
              </w:rPr>
              <w:t>licensing and other compliance requirements</w:t>
            </w:r>
            <w:r w:rsidRPr="001B6EF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business or workplace operations, policies and practices</w:t>
            </w:r>
          </w:p>
          <w:p w:rsidR="00000000" w:rsidRPr="001B6EF8" w:rsidP="001B6EF8">
            <w:pPr>
              <w:pStyle w:val="ListBullet"/>
            </w:pPr>
            <w:r w:rsidRPr="001B6EF8">
              <w:t>correct marketing names and labelling</w:t>
            </w:r>
          </w:p>
          <w:p w:rsidR="00000000" w:rsidRPr="001B6EF8" w:rsidP="001B6EF8">
            <w:pPr>
              <w:pStyle w:val="ListBullet"/>
            </w:pPr>
            <w:r w:rsidRPr="001B6EF8">
              <w:t>environmental hazard identification, risk assessment and control</w:t>
            </w:r>
          </w:p>
          <w:p w:rsidR="00000000" w:rsidRPr="001B6EF8" w:rsidP="001B6EF8">
            <w:pPr>
              <w:pStyle w:val="ListBullet"/>
            </w:pPr>
            <w:r w:rsidRPr="001B6EF8">
              <w:t>food safety/Hazard Analysis Critical Control Point (HACCP), hygiene and temperature control along chain of custody and Australian Quarantine Inspection Service ( AQIS) Export Control (Fish) orders</w:t>
            </w:r>
          </w:p>
          <w:p w:rsidR="00000000" w:rsidP="001B6EF8">
            <w:pPr>
              <w:pStyle w:val="ListBullet"/>
              <w:rPr>
                <w:lang w:val="en-NZ"/>
              </w:rPr>
            </w:pPr>
            <w:r w:rsidRPr="001B6EF8">
              <w:t>OHS hazard identification, risk assessment and control.</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OH</w:t>
            </w:r>
            <w:r w:rsidRPr="001B6EF8">
              <w:rPr>
                <w:rStyle w:val="BoldandItalics"/>
              </w:rPr>
              <w:t>S guidelines</w:t>
            </w:r>
            <w:r w:rsidRPr="001B6EF8">
              <w:t xml:space="preserve"> may include: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appropriate workplace provision of first aid kits and fire extinguishers</w:t>
            </w:r>
          </w:p>
          <w:p w:rsidR="00000000" w:rsidRPr="001B6EF8" w:rsidP="001B6EF8">
            <w:pPr>
              <w:pStyle w:val="ListBullet"/>
            </w:pPr>
            <w:r w:rsidRPr="001B6EF8">
              <w:t>clean, uncluttered, hygienic workplace</w:t>
            </w:r>
          </w:p>
          <w:p w:rsidR="00000000" w:rsidRPr="001B6EF8" w:rsidP="001B6EF8">
            <w:pPr>
              <w:pStyle w:val="ListBullet"/>
            </w:pPr>
            <w:r w:rsidRPr="001B6EF8">
              <w:t>codes of practice, regulations and/or guidance notes which may apply in a jurisdiction or industry sector</w:t>
            </w:r>
          </w:p>
          <w:p w:rsidR="00000000" w:rsidRPr="001B6EF8" w:rsidP="001B6EF8">
            <w:pPr>
              <w:pStyle w:val="ListBullet"/>
            </w:pPr>
            <w:r w:rsidRPr="001B6EF8">
              <w:t>enterprise</w:t>
            </w:r>
            <w:r w:rsidRPr="001B6EF8">
              <w:t>-specific OHS procedures, policies or standards</w:t>
            </w:r>
          </w:p>
          <w:p w:rsidR="00000000" w:rsidRPr="001B6EF8" w:rsidP="001B6EF8">
            <w:pPr>
              <w:pStyle w:val="ListBullet"/>
            </w:pPr>
            <w:r w:rsidRPr="001B6EF8">
              <w:t>hazard and risk assessment of workplace, maintenance activities and control measures</w:t>
            </w:r>
          </w:p>
          <w:p w:rsidR="00000000" w:rsidRPr="001B6EF8" w:rsidP="001B6EF8">
            <w:pPr>
              <w:pStyle w:val="ListBullet"/>
            </w:pPr>
            <w:r w:rsidRPr="001B6EF8">
              <w:t>induction or training of staff, contractors and visitors in relevant OHS procedures and/or requirements to allow them to ca</w:t>
            </w:r>
            <w:r w:rsidRPr="001B6EF8">
              <w:t xml:space="preserve">rry out their duties in a safe manner </w:t>
            </w:r>
          </w:p>
          <w:p w:rsidR="00000000" w:rsidRPr="001B6EF8" w:rsidP="001B6EF8">
            <w:pPr>
              <w:pStyle w:val="ListBullet"/>
            </w:pPr>
            <w:r w:rsidRPr="001B6EF8">
              <w:t>OHS training register</w:t>
            </w:r>
          </w:p>
          <w:p w:rsidR="00000000" w:rsidRPr="001B6EF8" w:rsidP="001B6EF8">
            <w:pPr>
              <w:pStyle w:val="ListBullet"/>
            </w:pPr>
            <w:r w:rsidRPr="001B6EF8">
              <w:t>safe lifting, carrying and handling techniques, including manual handling, and the handling and storage of hazardous substances</w:t>
            </w:r>
          </w:p>
          <w:p w:rsidR="00000000" w:rsidRPr="001B6EF8" w:rsidP="001B6EF8">
            <w:pPr>
              <w:pStyle w:val="ListBullet"/>
            </w:pPr>
            <w:r w:rsidRPr="001B6EF8">
              <w:t>safe systems and procedures for the protection of people in the wor</w:t>
            </w:r>
            <w:r w:rsidRPr="001B6EF8">
              <w:t>kplace</w:t>
            </w:r>
          </w:p>
          <w:p w:rsidR="00000000" w:rsidP="001B6EF8">
            <w:pPr>
              <w:pStyle w:val="ListBullet"/>
              <w:rPr>
                <w:lang w:val="en-NZ"/>
              </w:rPr>
            </w:pPr>
            <w:r w:rsidRPr="001B6EF8">
              <w:t>the appropriate use, maintenance and storage of PPE.</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Food safety and hygiene regulations and procedures</w:t>
            </w:r>
            <w:r w:rsidRPr="001B6EF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AQIS Export Control (Fish) orders</w:t>
            </w:r>
          </w:p>
          <w:p w:rsidR="00000000" w:rsidRPr="001B6EF8" w:rsidP="001B6EF8">
            <w:pPr>
              <w:pStyle w:val="ListBullet"/>
            </w:pPr>
            <w:r w:rsidRPr="001B6EF8">
              <w:t>Australian Shellfish Sanitation program</w:t>
            </w:r>
          </w:p>
          <w:p w:rsidR="00000000" w:rsidRPr="001B6EF8" w:rsidP="001B6EF8">
            <w:pPr>
              <w:pStyle w:val="ListBullet"/>
            </w:pPr>
            <w:r w:rsidRPr="001B6EF8">
              <w:t>chain of custody (temperature and contamination control)</w:t>
            </w:r>
          </w:p>
          <w:p w:rsidR="00000000" w:rsidRPr="001B6EF8" w:rsidP="001B6EF8">
            <w:pPr>
              <w:pStyle w:val="ListBullet"/>
            </w:pPr>
            <w:r w:rsidRPr="001B6EF8">
              <w:t xml:space="preserve">equipment design, use and maintenance </w:t>
            </w:r>
          </w:p>
          <w:p w:rsidR="00000000" w:rsidRPr="001B6EF8" w:rsidP="001B6EF8">
            <w:pPr>
              <w:pStyle w:val="ListBullet"/>
            </w:pPr>
            <w:r w:rsidRPr="001B6EF8">
              <w:t>HACCP</w:t>
            </w:r>
          </w:p>
          <w:p w:rsidR="00000000" w:rsidRPr="001B6EF8" w:rsidP="001B6EF8">
            <w:pPr>
              <w:pStyle w:val="ListBullet"/>
            </w:pPr>
            <w:r w:rsidRPr="001B6EF8">
              <w:t>hygiene and sanitation requirements</w:t>
            </w:r>
          </w:p>
          <w:p w:rsidR="00000000" w:rsidRPr="001B6EF8" w:rsidP="001B6EF8">
            <w:pPr>
              <w:pStyle w:val="ListBullet"/>
            </w:pPr>
            <w:r w:rsidRPr="001B6EF8">
              <w:t xml:space="preserve">location, construction and servicing of seafood premises </w:t>
            </w:r>
          </w:p>
          <w:p w:rsidR="00000000" w:rsidRPr="001B6EF8" w:rsidP="001B6EF8">
            <w:pPr>
              <w:pStyle w:val="ListBullet"/>
            </w:pPr>
            <w:r w:rsidRPr="001B6EF8">
              <w:t xml:space="preserve">Primary Products Standard and the Australian Seafood Standard (voluntary) </w:t>
            </w:r>
          </w:p>
          <w:p w:rsidR="00000000" w:rsidP="001B6EF8">
            <w:pPr>
              <w:pStyle w:val="ListBullet"/>
              <w:rPr>
                <w:lang w:val="en-NZ"/>
              </w:rPr>
            </w:pPr>
            <w:r w:rsidRPr="001B6EF8">
              <w:t>requirements set out in Australian and Ne</w:t>
            </w:r>
            <w:r w:rsidRPr="001B6EF8">
              <w:t>w Zealand Food Authority (ANZFA) Food Standards Code.</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ESD principles</w:t>
            </w:r>
            <w:r w:rsidRPr="001B6EF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 xml:space="preserve">controlling effluents, chemical residues, contaminants, wastes and pollution </w:t>
            </w:r>
          </w:p>
          <w:p w:rsidR="00000000" w:rsidRPr="001B6EF8" w:rsidP="001B6EF8">
            <w:pPr>
              <w:pStyle w:val="ListBullet"/>
            </w:pPr>
            <w:r w:rsidRPr="001B6EF8">
              <w:t>improving energy efficiency</w:t>
            </w:r>
          </w:p>
          <w:p w:rsidR="00000000" w:rsidRPr="001B6EF8" w:rsidP="001B6EF8">
            <w:pPr>
              <w:pStyle w:val="ListBullet"/>
            </w:pPr>
            <w:r w:rsidRPr="001B6EF8">
              <w:t>increasing use of renewable, recyclable and recoverable resources</w:t>
            </w:r>
          </w:p>
          <w:p w:rsidR="00000000" w:rsidRPr="001B6EF8" w:rsidP="001B6EF8">
            <w:pPr>
              <w:pStyle w:val="ListBullet"/>
            </w:pPr>
            <w:r w:rsidRPr="001B6EF8">
              <w:t>minimising noise or odour emissions</w:t>
            </w:r>
          </w:p>
          <w:p w:rsidR="00000000" w:rsidRPr="001B6EF8" w:rsidP="001B6EF8">
            <w:pPr>
              <w:pStyle w:val="ListBullet"/>
            </w:pPr>
            <w:r w:rsidRPr="001B6EF8">
              <w:t>reducing emissions of greenhouse gases</w:t>
            </w:r>
          </w:p>
          <w:p w:rsidR="00000000" w:rsidRPr="001B6EF8" w:rsidP="001B6EF8">
            <w:pPr>
              <w:pStyle w:val="ListBullet"/>
            </w:pPr>
            <w:r w:rsidRPr="001B6EF8">
              <w:t>reducing energy use</w:t>
            </w:r>
          </w:p>
          <w:p w:rsidR="00000000" w:rsidRPr="001B6EF8" w:rsidP="001B6EF8">
            <w:pPr>
              <w:pStyle w:val="ListBullet"/>
            </w:pPr>
            <w:r w:rsidRPr="001B6EF8">
              <w:t>reducing use of non-renewable resources</w:t>
            </w:r>
          </w:p>
          <w:p w:rsidR="00000000" w:rsidRPr="001B6EF8" w:rsidP="001B6EF8">
            <w:pPr>
              <w:pStyle w:val="ListBullet"/>
            </w:pPr>
            <w:r w:rsidRPr="001B6EF8">
              <w:t xml:space="preserve">undertaking environmental hazard identification, risk assessment and control </w:t>
            </w:r>
          </w:p>
          <w:p w:rsidR="00000000" w:rsidP="001B6EF8">
            <w:pPr>
              <w:pStyle w:val="ListBullet"/>
              <w:rPr>
                <w:lang w:val="en-NZ"/>
              </w:rPr>
            </w:pPr>
            <w:r w:rsidRPr="001B6EF8">
              <w:t>using and recycling of water, and maintaini</w:t>
            </w:r>
            <w:r w:rsidRPr="001B6EF8">
              <w:t>ng water quality.</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PPE</w:t>
            </w:r>
            <w:r w:rsidRPr="001B6EF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gloves, mitts or gauntlets, and protective hand and arm covering</w:t>
            </w:r>
          </w:p>
          <w:p w:rsidR="00000000" w:rsidRPr="001B6EF8" w:rsidP="001B6EF8">
            <w:pPr>
              <w:pStyle w:val="ListBullet"/>
            </w:pPr>
            <w:r w:rsidRPr="001B6EF8">
              <w:t>insulated protective clothing for freezers, chillers and refrigeration units</w:t>
            </w:r>
          </w:p>
          <w:p w:rsidR="00000000" w:rsidRPr="001B6EF8" w:rsidP="001B6EF8">
            <w:pPr>
              <w:pStyle w:val="ListBullet"/>
            </w:pPr>
            <w:r w:rsidRPr="001B6EF8">
              <w:t>non-slip and waterproof boots (gumboots) or other safety footwear</w:t>
            </w:r>
          </w:p>
          <w:p w:rsidR="00000000" w:rsidRPr="001B6EF8" w:rsidP="001B6EF8">
            <w:pPr>
              <w:pStyle w:val="ListBullet"/>
            </w:pPr>
            <w:r w:rsidRPr="001B6EF8">
              <w:t xml:space="preserve">protective </w:t>
            </w:r>
            <w:r w:rsidRPr="001B6EF8">
              <w:t>hair, beard and boot covers</w:t>
            </w:r>
          </w:p>
          <w:p w:rsidR="00000000" w:rsidP="001B6EF8">
            <w:pPr>
              <w:pStyle w:val="ListBullet"/>
              <w:rPr>
                <w:lang w:val="en-NZ"/>
              </w:rPr>
            </w:pPr>
            <w:r w:rsidRPr="001B6EF8">
              <w:t>uniforms, overalls or protective clothing (e.g. mesh and waterproof aprons).</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Specifications</w:t>
            </w:r>
            <w:r w:rsidRPr="001B6EF8">
              <w:t xml:space="preserve"> may relate to:</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bleeding</w:t>
            </w:r>
          </w:p>
          <w:p w:rsidR="00000000" w:rsidRPr="001B6EF8" w:rsidP="001B6EF8">
            <w:pPr>
              <w:pStyle w:val="ListBullet"/>
            </w:pPr>
            <w:r w:rsidRPr="001B6EF8">
              <w:t>bruising</w:t>
            </w:r>
          </w:p>
          <w:p w:rsidR="00000000" w:rsidRPr="001B6EF8" w:rsidP="001B6EF8">
            <w:pPr>
              <w:pStyle w:val="ListBullet"/>
            </w:pPr>
            <w:r w:rsidRPr="001B6EF8">
              <w:t>fat content</w:t>
            </w:r>
          </w:p>
          <w:p w:rsidR="00000000" w:rsidRPr="001B6EF8" w:rsidP="001B6EF8">
            <w:pPr>
              <w:pStyle w:val="ListBullet"/>
            </w:pPr>
            <w:r w:rsidRPr="001B6EF8">
              <w:t>gilling and gutting</w:t>
            </w:r>
          </w:p>
          <w:p w:rsidR="00000000" w:rsidRPr="001B6EF8" w:rsidP="001B6EF8">
            <w:pPr>
              <w:pStyle w:val="ListBullet"/>
            </w:pPr>
            <w:r w:rsidRPr="001B6EF8">
              <w:t>head spiking, spinal cord destroyed</w:t>
            </w:r>
          </w:p>
          <w:p w:rsidR="00000000" w:rsidRPr="001B6EF8" w:rsidP="001B6EF8">
            <w:pPr>
              <w:pStyle w:val="ListBullet"/>
            </w:pPr>
            <w:r w:rsidRPr="001B6EF8">
              <w:t>ice packaging</w:t>
            </w:r>
          </w:p>
          <w:p w:rsidR="00000000" w:rsidRPr="001B6EF8" w:rsidP="001B6EF8">
            <w:pPr>
              <w:pStyle w:val="ListBullet"/>
            </w:pPr>
            <w:r w:rsidRPr="001B6EF8">
              <w:t>meat colour</w:t>
            </w:r>
          </w:p>
          <w:p w:rsidR="00000000" w:rsidRPr="001B6EF8" w:rsidP="001B6EF8">
            <w:pPr>
              <w:pStyle w:val="ListBullet"/>
            </w:pPr>
            <w:r w:rsidRPr="001B6EF8">
              <w:t>packaging material (wooden and insulated foam 'coffins')</w:t>
            </w:r>
          </w:p>
          <w:p w:rsidR="00000000" w:rsidRPr="001B6EF8" w:rsidP="001B6EF8">
            <w:pPr>
              <w:pStyle w:val="ListBullet"/>
            </w:pPr>
            <w:r w:rsidRPr="001B6EF8">
              <w:t>size grade</w:t>
            </w:r>
          </w:p>
          <w:p w:rsidR="00000000" w:rsidP="001B6EF8">
            <w:pPr>
              <w:pStyle w:val="ListBullet"/>
              <w:rPr>
                <w:lang w:val="en-NZ"/>
              </w:rPr>
            </w:pPr>
            <w:r w:rsidRPr="001B6EF8">
              <w:t>skin damage.</w:t>
            </w:r>
          </w:p>
        </w:tc>
      </w:tr>
      <w:tr w:rsidTr="00CB3768">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BoldandItalics"/>
              </w:rPr>
              <w:t>Species</w:t>
            </w:r>
            <w:r w:rsidRPr="001B6EF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ListBullet"/>
            </w:pPr>
            <w:r w:rsidRPr="001B6EF8">
              <w:t>Atlantic Salmon</w:t>
            </w:r>
          </w:p>
          <w:p w:rsidR="00000000" w:rsidRPr="001B6EF8" w:rsidP="001B6EF8">
            <w:pPr>
              <w:pStyle w:val="ListBullet"/>
            </w:pPr>
            <w:r w:rsidRPr="001B6EF8">
              <w:t>Barramundi</w:t>
            </w:r>
          </w:p>
          <w:p w:rsidR="00000000" w:rsidRPr="001B6EF8" w:rsidP="001B6EF8">
            <w:pPr>
              <w:pStyle w:val="ListBullet"/>
            </w:pPr>
            <w:r w:rsidRPr="001B6EF8">
              <w:t>tropical snappers and cods</w:t>
            </w:r>
          </w:p>
          <w:p w:rsidR="00000000" w:rsidRPr="001B6EF8" w:rsidP="001B6EF8">
            <w:pPr>
              <w:pStyle w:val="ListBullet"/>
            </w:pPr>
            <w:r w:rsidRPr="001B6EF8">
              <w:t>tuna species</w:t>
            </w:r>
          </w:p>
          <w:p w:rsidR="00000000" w:rsidRPr="001B6EF8" w:rsidP="001B6EF8">
            <w:pPr>
              <w:pStyle w:val="ListBullet"/>
            </w:pPr>
            <w:r w:rsidRPr="001B6EF8">
              <w:t>Yellowtail Kingfish, Snapper and Trevally.</w:t>
            </w:r>
          </w:p>
        </w:tc>
      </w:tr>
    </w:tbl>
    <w:p w:rsidR="00CB3768" w:rsidP="001B6EF8">
      <w:pPr>
        <w:pStyle w:val="BodyText"/>
      </w:pPr>
    </w:p>
    <w:p w:rsidR="00CB3768" w:rsidP="001B6EF8">
      <w:pPr>
        <w:pStyle w:val="BodyText"/>
      </w:pPr>
    </w:p>
    <w:p w:rsidR="00000000" w:rsidRPr="001B6EF8" w:rsidP="001B6EF8">
      <w:pPr>
        <w:pStyle w:val="Heading1"/>
      </w:pPr>
      <w:bookmarkStart w:id="12" w:name="O_218520"/>
      <w:bookmarkEnd w:id="12"/>
      <w:r w:rsidRPr="001B6EF8">
        <w:t>Unit Sector(s)</w:t>
      </w:r>
    </w:p>
    <w:tbl>
      <w:tblPr>
        <w:tblW w:w="0" w:type="auto"/>
        <w:tblLayout w:type="fixed"/>
        <w:tblCellMar>
          <w:left w:w="62" w:type="dxa"/>
          <w:right w:w="62" w:type="dxa"/>
        </w:tblCellMar>
        <w:tblLook w:val="0000"/>
      </w:tblPr>
      <w:tblGrid>
        <w:gridCol w:w="2585"/>
        <w:gridCol w:w="5937"/>
      </w:tblGrid>
      <w:tr w:rsidTr="00CB3768">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Unit sector</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r w:rsidRPr="001B6EF8">
              <w:t>Seafood processing</w:t>
            </w:r>
          </w:p>
        </w:tc>
      </w:tr>
    </w:tbl>
    <w:p w:rsidR="00CB3768" w:rsidP="001B6EF8">
      <w:pPr>
        <w:pStyle w:val="BodyText"/>
      </w:pPr>
    </w:p>
    <w:p w:rsidR="00CB3768" w:rsidP="001B6EF8">
      <w:pPr>
        <w:pStyle w:val="BodyText"/>
      </w:pPr>
    </w:p>
    <w:p w:rsidR="00000000" w:rsidRPr="001B6EF8" w:rsidP="001B6EF8">
      <w:pPr>
        <w:pStyle w:val="Heading1"/>
      </w:pPr>
      <w:bookmarkStart w:id="13" w:name="O_218517"/>
      <w:bookmarkEnd w:id="13"/>
      <w:r w:rsidRPr="001B6EF8">
        <w:t>Co-requisite units</w:t>
      </w:r>
    </w:p>
    <w:tbl>
      <w:tblPr>
        <w:tblW w:w="0" w:type="auto"/>
        <w:tblLayout w:type="fixed"/>
        <w:tblCellMar>
          <w:left w:w="62" w:type="dxa"/>
          <w:right w:w="62" w:type="dxa"/>
        </w:tblCellMar>
        <w:tblLook w:val="0000"/>
      </w:tblPr>
      <w:tblGrid>
        <w:gridCol w:w="2609"/>
        <w:gridCol w:w="1501"/>
        <w:gridCol w:w="4412"/>
      </w:tblGrid>
      <w:tr w:rsidTr="00CB376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Co-requisite units</w:t>
            </w:r>
          </w:p>
        </w:tc>
        <w:tc>
          <w:tcPr>
            <w:tcW w:w="59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p>
        </w:tc>
      </w:tr>
      <w:tr w:rsidTr="00CB376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p>
        </w:tc>
      </w:tr>
      <w:tr w:rsidTr="00CB3768">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p>
        </w:tc>
      </w:tr>
    </w:tbl>
    <w:p w:rsidR="00CB3768" w:rsidP="001B6EF8">
      <w:pPr>
        <w:pStyle w:val="BodyText"/>
      </w:pPr>
    </w:p>
    <w:p w:rsidR="00CB3768" w:rsidP="001B6EF8">
      <w:pPr>
        <w:pStyle w:val="BodyText"/>
      </w:pPr>
    </w:p>
    <w:p w:rsidR="00000000" w:rsidRPr="001B6EF8" w:rsidP="001B6EF8">
      <w:pPr>
        <w:pStyle w:val="Heading1"/>
      </w:pPr>
      <w:bookmarkStart w:id="14" w:name="O_218519"/>
      <w:bookmarkEnd w:id="14"/>
      <w:r w:rsidRPr="001B6EF8">
        <w:t>Competency field</w:t>
      </w:r>
    </w:p>
    <w:tbl>
      <w:tblPr>
        <w:tblW w:w="0" w:type="auto"/>
        <w:tblLayout w:type="fixed"/>
        <w:tblCellMar>
          <w:left w:w="62" w:type="dxa"/>
          <w:right w:w="62" w:type="dxa"/>
        </w:tblCellMar>
        <w:tblLook w:val="0000"/>
      </w:tblPr>
      <w:tblGrid>
        <w:gridCol w:w="2752"/>
        <w:gridCol w:w="5770"/>
      </w:tblGrid>
      <w:tr w:rsidTr="00CB3768">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EF8">
            <w:pPr>
              <w:pStyle w:val="BodyText"/>
              <w:rPr>
                <w:lang w:val="en-NZ"/>
              </w:rPr>
            </w:pPr>
            <w:r w:rsidRPr="001B6EF8">
              <w:rPr>
                <w:rStyle w:val="SpecialBold"/>
              </w:rPr>
              <w:t>Competency field</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EF8" w:rsidP="001B6EF8">
            <w:pPr>
              <w:pStyle w:val="BodyText"/>
            </w:pPr>
          </w:p>
        </w:tc>
      </w:tr>
    </w:tbl>
    <w:p w:rsidR="00CB3768" w:rsidP="001B6EF8">
      <w:pPr>
        <w:pStyle w:val="BodyText"/>
      </w:pPr>
    </w:p>
    <w:p w:rsidR="00CB3768" w:rsidP="001B6EF8">
      <w:pPr>
        <w:pStyle w:val="BodyText"/>
      </w:pPr>
    </w:p>
    <w:p w:rsidR="00000000" w:rsidRPr="001B6EF8" w:rsidP="001B6EF8"/>
    <w:sectPr w:rsidSect="001B6E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768" w:rsidP="00CB3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68" w:rsidP="001B6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3768" w:rsidP="001B6E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3768" w:rsidP="001B6E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768" w:rsidP="00CB37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68" w:rsidP="001B6EF8">
    <w:pPr>
      <w:pStyle w:val="Header"/>
      <w:framePr w:wrap="around"/>
    </w:pPr>
    <w:r>
      <w:fldChar w:fldCharType="begin"/>
    </w:r>
    <w:r>
      <w:instrText xml:space="preserve"> TITLE   \* MERGEFORMAT </w:instrText>
    </w:r>
    <w:r>
      <w:fldChar w:fldCharType="separate"/>
    </w:r>
    <w:r>
      <w:t>SFIPROC302C Handle and pack sashimi-grade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3768" w:rsidP="001B6E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60B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29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6EF8"/>
    <w:pPr>
      <w:spacing w:before="360" w:after="60"/>
      <w:outlineLvl w:val="0"/>
    </w:pPr>
    <w:rPr>
      <w:sz w:val="32"/>
    </w:rPr>
  </w:style>
  <w:style w:type="paragraph" w:styleId="Heading2">
    <w:name w:val="heading 2"/>
    <w:basedOn w:val="HeadingBase"/>
    <w:next w:val="BodyText"/>
    <w:link w:val="Heading2Char"/>
    <w:qFormat/>
    <w:rsid w:val="001B6EF8"/>
    <w:pPr>
      <w:keepLines/>
      <w:spacing w:before="240" w:after="120"/>
      <w:outlineLvl w:val="1"/>
    </w:pPr>
    <w:rPr>
      <w:sz w:val="28"/>
      <w:szCs w:val="40"/>
    </w:rPr>
  </w:style>
  <w:style w:type="paragraph" w:styleId="Heading3">
    <w:name w:val="heading 3"/>
    <w:basedOn w:val="HeadingBase"/>
    <w:next w:val="BodyText"/>
    <w:link w:val="Heading3Char"/>
    <w:qFormat/>
    <w:rsid w:val="001B6EF8"/>
    <w:pPr>
      <w:spacing w:before="180" w:after="120"/>
      <w:outlineLvl w:val="2"/>
    </w:pPr>
    <w:rPr>
      <w:spacing w:val="-10"/>
      <w:kern w:val="32"/>
    </w:rPr>
  </w:style>
  <w:style w:type="paragraph" w:styleId="Heading4">
    <w:name w:val="heading 4"/>
    <w:basedOn w:val="HeadingBase"/>
    <w:next w:val="BodyText"/>
    <w:link w:val="Heading4Char"/>
    <w:qFormat/>
    <w:rsid w:val="001B6EF8"/>
    <w:pPr>
      <w:spacing w:before="160" w:after="120"/>
      <w:outlineLvl w:val="3"/>
    </w:pPr>
    <w:rPr>
      <w:sz w:val="22"/>
    </w:rPr>
  </w:style>
  <w:style w:type="paragraph" w:styleId="Heading5">
    <w:name w:val="heading 5"/>
    <w:basedOn w:val="HeadingBase"/>
    <w:next w:val="Normal"/>
    <w:link w:val="Heading5Char"/>
    <w:qFormat/>
    <w:rsid w:val="001B6EF8"/>
    <w:pPr>
      <w:spacing w:before="80"/>
      <w:outlineLvl w:val="4"/>
    </w:pPr>
    <w:rPr>
      <w:color w:val="918585"/>
      <w:sz w:val="20"/>
    </w:rPr>
  </w:style>
  <w:style w:type="paragraph" w:styleId="Heading6">
    <w:name w:val="heading 6"/>
    <w:basedOn w:val="HeadingBase"/>
    <w:next w:val="Normal"/>
    <w:link w:val="Heading6Char"/>
    <w:qFormat/>
    <w:rsid w:val="001B6EF8"/>
    <w:pPr>
      <w:spacing w:before="60"/>
      <w:outlineLvl w:val="5"/>
    </w:pPr>
    <w:rPr>
      <w:color w:val="918585"/>
      <w:sz w:val="20"/>
    </w:rPr>
  </w:style>
  <w:style w:type="paragraph" w:styleId="Heading7">
    <w:name w:val="heading 7"/>
    <w:basedOn w:val="Normal"/>
    <w:next w:val="Normal"/>
    <w:link w:val="Heading7Char"/>
    <w:qFormat/>
    <w:rsid w:val="001B6EF8"/>
    <w:pPr>
      <w:ind w:left="720"/>
      <w:outlineLvl w:val="6"/>
    </w:pPr>
    <w:rPr>
      <w:i/>
    </w:rPr>
  </w:style>
  <w:style w:type="paragraph" w:styleId="Heading8">
    <w:name w:val="heading 8"/>
    <w:basedOn w:val="Normal"/>
    <w:next w:val="Normal"/>
    <w:link w:val="Heading8Char"/>
    <w:qFormat/>
    <w:rsid w:val="001B6EF8"/>
    <w:pPr>
      <w:ind w:left="720"/>
      <w:outlineLvl w:val="7"/>
    </w:pPr>
    <w:rPr>
      <w:i/>
    </w:rPr>
  </w:style>
  <w:style w:type="paragraph" w:styleId="Heading9">
    <w:name w:val="heading 9"/>
    <w:basedOn w:val="Normal"/>
    <w:next w:val="Normal"/>
    <w:link w:val="Heading9Char"/>
    <w:qFormat/>
    <w:rsid w:val="001B6EF8"/>
    <w:pPr>
      <w:ind w:left="720"/>
      <w:outlineLvl w:val="8"/>
    </w:pPr>
    <w:rPr>
      <w:i/>
    </w:rPr>
  </w:style>
  <w:style w:type="character" w:default="1" w:styleId="DefaultParagraphFont">
    <w:name w:val="Default Paragraph Font"/>
    <w:uiPriority w:val="1"/>
    <w:unhideWhenUsed/>
    <w:rsid w:val="001B6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EF8"/>
  </w:style>
  <w:style w:type="character" w:customStyle="1" w:styleId="Heading1Char">
    <w:name w:val="Heading 1 Char"/>
    <w:basedOn w:val="DefaultParagraphFont"/>
    <w:link w:val="Heading1"/>
    <w:rsid w:val="001B6EF8"/>
    <w:rPr>
      <w:rFonts w:ascii="Times New Roman" w:eastAsia="Times New Roman" w:hAnsi="Times New Roman" w:cs="Times New Roman"/>
      <w:b/>
      <w:sz w:val="32"/>
      <w:szCs w:val="20"/>
      <w:lang w:eastAsia="en-US"/>
    </w:rPr>
  </w:style>
  <w:style w:type="paragraph" w:styleId="BodyText">
    <w:name w:val="Body Text"/>
    <w:basedOn w:val="Normal"/>
    <w:link w:val="BodyTextChar"/>
    <w:rsid w:val="001B6E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6EF8"/>
    <w:rPr>
      <w:rFonts w:ascii="Times New Roman" w:eastAsia="Times New Roman" w:hAnsi="Times New Roman" w:cs="Times New Roman"/>
      <w:sz w:val="24"/>
      <w:lang w:val="en-US" w:eastAsia="en-US"/>
    </w:rPr>
  </w:style>
  <w:style w:type="paragraph" w:styleId="Footer">
    <w:name w:val="footer"/>
    <w:basedOn w:val="Normal"/>
    <w:link w:val="FooterChar"/>
    <w:rsid w:val="001B6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EF8"/>
    <w:rPr>
      <w:rFonts w:ascii="Times New Roman" w:eastAsia="Times New Roman" w:hAnsi="Times New Roman" w:cs="Times New Roman"/>
      <w:sz w:val="16"/>
      <w:lang w:val="en-US" w:eastAsia="en-US"/>
    </w:rPr>
  </w:style>
  <w:style w:type="paragraph" w:styleId="List">
    <w:name w:val="List"/>
    <w:basedOn w:val="BodyText"/>
    <w:next w:val="BodyText"/>
    <w:rsid w:val="001B6EF8"/>
    <w:pPr>
      <w:tabs>
        <w:tab w:val="left" w:pos="340"/>
      </w:tabs>
      <w:spacing w:before="60" w:after="60"/>
      <w:ind w:left="340" w:hanging="340"/>
    </w:pPr>
  </w:style>
  <w:style w:type="paragraph" w:styleId="ListBullet">
    <w:name w:val="List Bullet"/>
    <w:basedOn w:val="List"/>
    <w:rsid w:val="001B6EF8"/>
    <w:pPr>
      <w:numPr>
        <w:numId w:val="12"/>
      </w:numPr>
      <w:tabs>
        <w:tab w:val="clear" w:pos="340"/>
      </w:tabs>
      <w:spacing w:before="40" w:after="40"/>
    </w:pPr>
  </w:style>
  <w:style w:type="character" w:customStyle="1" w:styleId="SpecialBold">
    <w:name w:val="Special Bold"/>
    <w:basedOn w:val="DefaultParagraphFont"/>
    <w:rsid w:val="001B6EF8"/>
    <w:rPr>
      <w:b/>
      <w:spacing w:val="0"/>
    </w:rPr>
  </w:style>
  <w:style w:type="paragraph" w:styleId="Header">
    <w:name w:val="header"/>
    <w:basedOn w:val="Normal"/>
    <w:link w:val="HeaderChar"/>
    <w:rsid w:val="001B6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E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6EF8"/>
    <w:pPr>
      <w:spacing w:before="240" w:after="120"/>
      <w:outlineLvl w:val="0"/>
    </w:pPr>
    <w:rPr>
      <w:rFonts w:ascii="Times New Roman" w:hAnsi="Times New Roman"/>
      <w:b/>
      <w:sz w:val="28"/>
    </w:rPr>
  </w:style>
  <w:style w:type="paragraph" w:customStyle="1" w:styleId="AllowPageBreak">
    <w:name w:val="AllowPageBreak"/>
    <w:rsid w:val="001B6E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6EF8"/>
    <w:pPr>
      <w:tabs>
        <w:tab w:val="left" w:pos="680"/>
      </w:tabs>
      <w:spacing w:before="60" w:after="60"/>
      <w:ind w:left="680" w:hanging="340"/>
    </w:pPr>
  </w:style>
  <w:style w:type="character" w:customStyle="1" w:styleId="BoldandItalics">
    <w:name w:val="Bold and Italics"/>
    <w:qFormat/>
    <w:rsid w:val="001B6EF8"/>
    <w:rPr>
      <w:b/>
      <w:i/>
      <w:u w:val="none"/>
    </w:rPr>
  </w:style>
  <w:style w:type="character" w:customStyle="1" w:styleId="Heading2Char">
    <w:name w:val="Heading 2 Char"/>
    <w:basedOn w:val="DefaultParagraphFont"/>
    <w:link w:val="Heading2"/>
    <w:rsid w:val="001B6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E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6E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6EF8"/>
    <w:rPr>
      <w:rFonts w:ascii="Courier New" w:eastAsia="Times New Roman" w:hAnsi="Courier New" w:cs="Times New Roman"/>
      <w:i/>
      <w:szCs w:val="20"/>
      <w:lang w:val="en-US" w:eastAsia="en-US"/>
    </w:rPr>
  </w:style>
  <w:style w:type="paragraph" w:customStyle="1" w:styleId="HeadingBase">
    <w:name w:val="Heading Base"/>
    <w:rsid w:val="001B6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EF8"/>
    <w:pPr>
      <w:tabs>
        <w:tab w:val="right" w:leader="dot" w:pos="9072"/>
      </w:tabs>
      <w:ind w:left="567"/>
    </w:pPr>
    <w:rPr>
      <w:szCs w:val="22"/>
    </w:rPr>
  </w:style>
  <w:style w:type="paragraph" w:customStyle="1" w:styleId="TOCBase">
    <w:name w:val="TOC Base"/>
    <w:rsid w:val="001B6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EF8"/>
    <w:pPr>
      <w:tabs>
        <w:tab w:val="right" w:leader="dot" w:pos="9072"/>
      </w:tabs>
      <w:spacing w:before="40" w:after="40"/>
      <w:ind w:left="284"/>
    </w:pPr>
    <w:rPr>
      <w:rFonts w:ascii="Times New Roman" w:hAnsi="Times New Roman"/>
    </w:rPr>
  </w:style>
  <w:style w:type="paragraph" w:styleId="TOC1">
    <w:name w:val="toc 1"/>
    <w:basedOn w:val="TOCBase"/>
    <w:next w:val="Normal"/>
    <w:rsid w:val="001B6E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6EF8"/>
    <w:pPr>
      <w:spacing w:before="5040"/>
      <w:jc w:val="center"/>
    </w:pPr>
    <w:rPr>
      <w:sz w:val="48"/>
      <w:szCs w:val="72"/>
      <w:lang w:val="en-US"/>
    </w:rPr>
  </w:style>
  <w:style w:type="character" w:customStyle="1" w:styleId="TitleChar">
    <w:name w:val="Title Char"/>
    <w:basedOn w:val="DefaultParagraphFont"/>
    <w:link w:val="Title"/>
    <w:rsid w:val="001B6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EF8"/>
    <w:pPr>
      <w:tabs>
        <w:tab w:val="left" w:pos="3600"/>
        <w:tab w:val="left" w:pos="3958"/>
      </w:tabs>
    </w:pPr>
  </w:style>
  <w:style w:type="paragraph" w:customStyle="1" w:styleId="Note">
    <w:name w:val="Note"/>
    <w:basedOn w:val="BodyText"/>
    <w:rsid w:val="001B6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EF8"/>
    <w:pPr>
      <w:framePr w:wrap="auto" w:hAnchor="text" w:y="6049"/>
    </w:pPr>
    <w:rPr>
      <w:color w:val="000000"/>
      <w:sz w:val="40"/>
    </w:rPr>
  </w:style>
  <w:style w:type="paragraph" w:customStyle="1" w:styleId="TOCTitle">
    <w:name w:val="TOCTitle"/>
    <w:basedOn w:val="Heading1"/>
    <w:rsid w:val="001B6EF8"/>
    <w:pPr>
      <w:spacing w:after="240"/>
      <w:jc w:val="center"/>
      <w:outlineLvl w:val="9"/>
    </w:pPr>
    <w:rPr>
      <w:caps/>
    </w:rPr>
  </w:style>
  <w:style w:type="paragraph" w:customStyle="1" w:styleId="Version">
    <w:name w:val="Version"/>
    <w:rsid w:val="001B6E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EF8"/>
    <w:pPr>
      <w:numPr>
        <w:numId w:val="13"/>
      </w:numPr>
      <w:tabs>
        <w:tab w:val="clear" w:pos="680"/>
      </w:tabs>
    </w:pPr>
  </w:style>
  <w:style w:type="paragraph" w:styleId="Index1">
    <w:name w:val="index 1"/>
    <w:basedOn w:val="Normal"/>
    <w:next w:val="Normal"/>
    <w:semiHidden/>
    <w:rsid w:val="001B6EF8"/>
    <w:pPr>
      <w:keepNext w:val="0"/>
      <w:tabs>
        <w:tab w:val="right" w:pos="4176"/>
      </w:tabs>
      <w:ind w:left="198" w:hanging="198"/>
    </w:pPr>
    <w:rPr>
      <w:rFonts w:ascii="Garamond" w:hAnsi="Garamond"/>
    </w:rPr>
  </w:style>
  <w:style w:type="paragraph" w:styleId="IndexHeading">
    <w:name w:val="index heading"/>
    <w:basedOn w:val="Normal"/>
    <w:next w:val="Index1"/>
    <w:semiHidden/>
    <w:rsid w:val="001B6EF8"/>
    <w:pPr>
      <w:spacing w:before="120" w:after="120"/>
    </w:pPr>
    <w:rPr>
      <w:rFonts w:ascii="Arial" w:hAnsi="Arial"/>
      <w:b/>
      <w:color w:val="918585"/>
      <w:sz w:val="24"/>
    </w:rPr>
  </w:style>
  <w:style w:type="paragraph" w:customStyle="1" w:styleId="Chapter">
    <w:name w:val="Chapter"/>
    <w:basedOn w:val="Normal"/>
    <w:rsid w:val="001B6EF8"/>
    <w:pPr>
      <w:spacing w:before="240"/>
    </w:pPr>
    <w:rPr>
      <w:rFonts w:ascii="Times New Roman" w:hAnsi="Times New Roman"/>
      <w:smallCaps/>
      <w:spacing w:val="80"/>
      <w:sz w:val="28"/>
    </w:rPr>
  </w:style>
  <w:style w:type="paragraph" w:customStyle="1" w:styleId="InChapter">
    <w:name w:val="InChapter"/>
    <w:basedOn w:val="Heading3"/>
    <w:rsid w:val="001B6EF8"/>
    <w:pPr>
      <w:spacing w:after="240"/>
      <w:outlineLvl w:val="9"/>
    </w:pPr>
    <w:rPr>
      <w:noProof/>
    </w:rPr>
  </w:style>
  <w:style w:type="paragraph" w:styleId="Index2">
    <w:name w:val="index 2"/>
    <w:basedOn w:val="Normal"/>
    <w:next w:val="Normal"/>
    <w:semiHidden/>
    <w:rsid w:val="001B6EF8"/>
    <w:pPr>
      <w:tabs>
        <w:tab w:val="right" w:pos="4176"/>
      </w:tabs>
      <w:ind w:left="568" w:hanging="284"/>
    </w:pPr>
    <w:rPr>
      <w:rFonts w:ascii="Garamond" w:hAnsi="Garamond"/>
    </w:rPr>
  </w:style>
  <w:style w:type="paragraph" w:customStyle="1" w:styleId="Byline">
    <w:name w:val="Byline"/>
    <w:rsid w:val="001B6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EF8"/>
    <w:pPr>
      <w:tabs>
        <w:tab w:val="clear" w:pos="3600"/>
        <w:tab w:val="clear" w:pos="3958"/>
      </w:tabs>
      <w:jc w:val="right"/>
    </w:pPr>
  </w:style>
  <w:style w:type="character" w:styleId="Emphasis">
    <w:name w:val="Emphasis"/>
    <w:basedOn w:val="DefaultParagraphFont"/>
    <w:qFormat/>
    <w:rsid w:val="001B6EF8"/>
    <w:rPr>
      <w:i/>
    </w:rPr>
  </w:style>
  <w:style w:type="paragraph" w:styleId="Caption">
    <w:name w:val="caption"/>
    <w:basedOn w:val="BodyText"/>
    <w:next w:val="Normal"/>
    <w:qFormat/>
    <w:rsid w:val="001B6EF8"/>
    <w:pPr>
      <w:framePr w:w="2268" w:hSpace="181" w:vSpace="181" w:wrap="around" w:vAnchor="text" w:hAnchor="page" w:x="1135" w:y="285" w:anchorLock="1"/>
    </w:pPr>
    <w:rPr>
      <w:i/>
    </w:rPr>
  </w:style>
  <w:style w:type="paragraph" w:customStyle="1" w:styleId="MiniTOCTitle">
    <w:name w:val="MiniTOCTitle"/>
    <w:basedOn w:val="Heading4"/>
    <w:rsid w:val="001B6EF8"/>
    <w:pPr>
      <w:spacing w:before="240"/>
      <w:outlineLvl w:val="9"/>
    </w:pPr>
    <w:rPr>
      <w:noProof/>
      <w:sz w:val="24"/>
    </w:rPr>
  </w:style>
  <w:style w:type="paragraph" w:customStyle="1" w:styleId="MiniTOCItem">
    <w:name w:val="MiniTOCItem"/>
    <w:basedOn w:val="ListBullet"/>
    <w:rsid w:val="001B6EF8"/>
    <w:pPr>
      <w:numPr>
        <w:numId w:val="0"/>
      </w:numPr>
      <w:tabs>
        <w:tab w:val="right" w:leader="dot" w:pos="6521"/>
      </w:tabs>
      <w:spacing w:before="0" w:after="0"/>
    </w:pPr>
  </w:style>
  <w:style w:type="paragraph" w:customStyle="1" w:styleId="TOFTitle">
    <w:name w:val="TOFTitle"/>
    <w:basedOn w:val="TOCTitle"/>
    <w:rsid w:val="001B6EF8"/>
  </w:style>
  <w:style w:type="paragraph" w:styleId="TableofFigures">
    <w:name w:val="table of figures"/>
    <w:basedOn w:val="Normal"/>
    <w:next w:val="Normal"/>
    <w:semiHidden/>
    <w:rsid w:val="001B6EF8"/>
    <w:pPr>
      <w:tabs>
        <w:tab w:val="right" w:leader="dot" w:pos="9072"/>
      </w:tabs>
      <w:ind w:left="970" w:hanging="403"/>
    </w:pPr>
    <w:rPr>
      <w:rFonts w:ascii="Times New Roman" w:hAnsi="Times New Roman"/>
      <w:b/>
    </w:rPr>
  </w:style>
  <w:style w:type="paragraph" w:styleId="ListNumber">
    <w:name w:val="List Number"/>
    <w:basedOn w:val="List"/>
    <w:rsid w:val="001B6EF8"/>
    <w:pPr>
      <w:numPr>
        <w:numId w:val="10"/>
      </w:numPr>
    </w:pPr>
  </w:style>
  <w:style w:type="character" w:customStyle="1" w:styleId="WingdingSymbols">
    <w:name w:val="Wingding Symbols"/>
    <w:rsid w:val="001B6EF8"/>
    <w:rPr>
      <w:rFonts w:ascii="Wingdings" w:hAnsi="Wingdings"/>
    </w:rPr>
  </w:style>
  <w:style w:type="paragraph" w:customStyle="1" w:styleId="TableHeading">
    <w:name w:val="Table Heading"/>
    <w:basedOn w:val="HeadingBase"/>
    <w:rsid w:val="001B6EF8"/>
    <w:pPr>
      <w:keepLines/>
      <w:pBdr>
        <w:bottom w:val="single" w:sz="6" w:space="1" w:color="918585"/>
      </w:pBdr>
      <w:spacing w:before="240"/>
    </w:pPr>
  </w:style>
  <w:style w:type="character" w:customStyle="1" w:styleId="HotSpot">
    <w:name w:val="HotSpot"/>
    <w:rsid w:val="001B6EF8"/>
    <w:rPr>
      <w:color w:val="0033CC"/>
      <w:u w:val="none"/>
    </w:rPr>
  </w:style>
  <w:style w:type="paragraph" w:customStyle="1" w:styleId="BodyTextRight">
    <w:name w:val="Body Text Right"/>
    <w:basedOn w:val="BodyText"/>
    <w:rsid w:val="001B6EF8"/>
    <w:pPr>
      <w:spacing w:before="0" w:after="0"/>
      <w:jc w:val="right"/>
    </w:pPr>
  </w:style>
  <w:style w:type="paragraph" w:styleId="Index3">
    <w:name w:val="index 3"/>
    <w:basedOn w:val="ListNumber2"/>
    <w:next w:val="Normal"/>
    <w:semiHidden/>
    <w:rsid w:val="001B6EF8"/>
    <w:pPr>
      <w:numPr>
        <w:numId w:val="0"/>
      </w:numPr>
      <w:tabs>
        <w:tab w:val="right" w:leader="dot" w:pos="4176"/>
      </w:tabs>
    </w:pPr>
  </w:style>
  <w:style w:type="paragraph" w:styleId="ListNumber2">
    <w:name w:val="List Number 2"/>
    <w:basedOn w:val="List2"/>
    <w:rsid w:val="001B6EF8"/>
    <w:pPr>
      <w:numPr>
        <w:numId w:val="9"/>
      </w:numPr>
      <w:tabs>
        <w:tab w:val="clear" w:pos="1060"/>
      </w:tabs>
    </w:pPr>
  </w:style>
  <w:style w:type="paragraph" w:customStyle="1" w:styleId="MarginNote">
    <w:name w:val="Margin Note"/>
    <w:basedOn w:val="BodyText"/>
    <w:rsid w:val="001B6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E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6EF8"/>
    <w:rPr>
      <w:sz w:val="32"/>
    </w:rPr>
  </w:style>
  <w:style w:type="paragraph" w:customStyle="1" w:styleId="HeadingProcedure">
    <w:name w:val="Heading Procedure"/>
    <w:basedOn w:val="HeadingBase"/>
    <w:next w:val="Normal"/>
    <w:rsid w:val="001B6EF8"/>
    <w:pPr>
      <w:tabs>
        <w:tab w:val="left" w:pos="0"/>
      </w:tabs>
      <w:spacing w:before="120" w:after="60"/>
    </w:pPr>
    <w:rPr>
      <w:i/>
      <w:color w:val="918585"/>
      <w:sz w:val="22"/>
    </w:rPr>
  </w:style>
  <w:style w:type="paragraph" w:customStyle="1" w:styleId="TableBodyText">
    <w:name w:val="Table Body Text"/>
    <w:basedOn w:val="BodyText"/>
    <w:rsid w:val="001B6EF8"/>
    <w:pPr>
      <w:spacing w:before="60" w:after="60"/>
    </w:pPr>
  </w:style>
  <w:style w:type="paragraph" w:styleId="ListContinue">
    <w:name w:val="List Continue"/>
    <w:basedOn w:val="List"/>
    <w:rsid w:val="001B6EF8"/>
    <w:pPr>
      <w:ind w:firstLine="0"/>
    </w:pPr>
  </w:style>
  <w:style w:type="paragraph" w:customStyle="1" w:styleId="ListNote">
    <w:name w:val="List Note"/>
    <w:basedOn w:val="List"/>
    <w:rsid w:val="001B6EF8"/>
    <w:pPr>
      <w:pBdr>
        <w:top w:val="single" w:sz="6" w:space="2" w:color="918585"/>
        <w:bottom w:val="single" w:sz="6" w:space="2" w:color="918585"/>
      </w:pBdr>
      <w:tabs>
        <w:tab w:val="left" w:pos="1021"/>
      </w:tabs>
      <w:ind w:firstLine="0"/>
    </w:pPr>
  </w:style>
  <w:style w:type="paragraph" w:customStyle="1" w:styleId="Warning">
    <w:name w:val="Warning"/>
    <w:basedOn w:val="BodyText"/>
    <w:rsid w:val="001B6EF8"/>
    <w:pPr>
      <w:shd w:val="clear" w:color="auto" w:fill="D9D9D9"/>
      <w:tabs>
        <w:tab w:val="left" w:pos="992"/>
      </w:tabs>
      <w:ind w:left="119" w:right="119"/>
    </w:pPr>
    <w:rPr>
      <w:sz w:val="20"/>
    </w:rPr>
  </w:style>
  <w:style w:type="paragraph" w:customStyle="1" w:styleId="MarginIcons">
    <w:name w:val="Margin Icons"/>
    <w:basedOn w:val="BodyText"/>
    <w:rsid w:val="001B6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EF8"/>
    <w:rPr>
      <w:rFonts w:ascii="Courier New" w:hAnsi="Courier New"/>
    </w:rPr>
  </w:style>
  <w:style w:type="paragraph" w:customStyle="1" w:styleId="NoteBullet">
    <w:name w:val="Note Bullet"/>
    <w:basedOn w:val="Note"/>
    <w:rsid w:val="001B6EF8"/>
    <w:pPr>
      <w:tabs>
        <w:tab w:val="clear" w:pos="680"/>
      </w:tabs>
      <w:spacing w:before="60" w:after="60"/>
    </w:pPr>
  </w:style>
  <w:style w:type="paragraph" w:customStyle="1" w:styleId="SubHeading2">
    <w:name w:val="SubHeading2"/>
    <w:basedOn w:val="HeadingBase"/>
    <w:rsid w:val="001B6EF8"/>
    <w:pPr>
      <w:spacing w:before="240" w:after="60"/>
    </w:pPr>
    <w:rPr>
      <w:sz w:val="20"/>
    </w:rPr>
  </w:style>
  <w:style w:type="paragraph" w:customStyle="1" w:styleId="SubHeading1">
    <w:name w:val="SubHeading1"/>
    <w:basedOn w:val="HeadingBase"/>
    <w:rsid w:val="001B6EF8"/>
    <w:pPr>
      <w:spacing w:before="240" w:after="60"/>
    </w:pPr>
    <w:rPr>
      <w:color w:val="918585"/>
      <w:sz w:val="22"/>
    </w:rPr>
  </w:style>
  <w:style w:type="paragraph" w:customStyle="1" w:styleId="SideHeading">
    <w:name w:val="Side Heading"/>
    <w:basedOn w:val="HeadingBase"/>
    <w:rsid w:val="001B6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EF8"/>
    <w:pPr>
      <w:tabs>
        <w:tab w:val="num" w:pos="360"/>
      </w:tabs>
    </w:pPr>
  </w:style>
  <w:style w:type="paragraph" w:styleId="PlainText">
    <w:name w:val="Plain Text"/>
    <w:basedOn w:val="Normal"/>
    <w:link w:val="PlainTextChar"/>
    <w:rsid w:val="001B6EF8"/>
    <w:rPr>
      <w:sz w:val="20"/>
    </w:rPr>
  </w:style>
  <w:style w:type="character" w:customStyle="1" w:styleId="PlainTextChar">
    <w:name w:val="Plain Text Char"/>
    <w:basedOn w:val="DefaultParagraphFont"/>
    <w:link w:val="PlainText"/>
    <w:rsid w:val="001B6E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6EF8"/>
    <w:rPr>
      <w:b/>
      <w:smallCaps/>
    </w:rPr>
  </w:style>
  <w:style w:type="paragraph" w:customStyle="1" w:styleId="TableListNumber">
    <w:name w:val="Table List Number"/>
    <w:basedOn w:val="ListNumber"/>
    <w:rsid w:val="001B6EF8"/>
    <w:pPr>
      <w:numPr>
        <w:numId w:val="0"/>
      </w:numPr>
    </w:pPr>
  </w:style>
  <w:style w:type="paragraph" w:styleId="TOC4">
    <w:name w:val="toc 4"/>
    <w:basedOn w:val="TOCBase"/>
    <w:next w:val="Normal"/>
    <w:semiHidden/>
    <w:rsid w:val="001B6EF8"/>
    <w:pPr>
      <w:tabs>
        <w:tab w:val="right" w:leader="dot" w:pos="9071"/>
      </w:tabs>
      <w:ind w:left="1701"/>
    </w:pPr>
  </w:style>
  <w:style w:type="paragraph" w:customStyle="1" w:styleId="ListAlpha">
    <w:name w:val="List Alpha"/>
    <w:basedOn w:val="List"/>
    <w:rsid w:val="001B6EF8"/>
    <w:pPr>
      <w:numPr>
        <w:numId w:val="8"/>
      </w:numPr>
    </w:pPr>
  </w:style>
  <w:style w:type="paragraph" w:customStyle="1" w:styleId="ListAlpha2">
    <w:name w:val="List Alpha 2"/>
    <w:basedOn w:val="List2"/>
    <w:rsid w:val="001B6EF8"/>
    <w:pPr>
      <w:numPr>
        <w:numId w:val="7"/>
      </w:numPr>
    </w:pPr>
  </w:style>
  <w:style w:type="paragraph" w:styleId="List3">
    <w:name w:val="List 3"/>
    <w:basedOn w:val="BodyText"/>
    <w:rsid w:val="001B6EF8"/>
    <w:pPr>
      <w:tabs>
        <w:tab w:val="left" w:pos="1021"/>
      </w:tabs>
      <w:spacing w:before="60" w:after="60"/>
      <w:ind w:left="1020" w:hanging="340"/>
    </w:pPr>
  </w:style>
  <w:style w:type="paragraph" w:styleId="List4">
    <w:name w:val="List 4"/>
    <w:basedOn w:val="BodyText"/>
    <w:rsid w:val="001B6EF8"/>
    <w:pPr>
      <w:tabs>
        <w:tab w:val="left" w:pos="1361"/>
      </w:tabs>
      <w:spacing w:before="60" w:after="60"/>
      <w:ind w:left="1361" w:hanging="340"/>
    </w:pPr>
  </w:style>
  <w:style w:type="paragraph" w:styleId="List5">
    <w:name w:val="List 5"/>
    <w:basedOn w:val="BodyText"/>
    <w:rsid w:val="001B6EF8"/>
    <w:pPr>
      <w:tabs>
        <w:tab w:val="left" w:pos="1701"/>
      </w:tabs>
      <w:spacing w:before="60" w:after="60"/>
      <w:ind w:left="1701" w:hanging="340"/>
    </w:pPr>
  </w:style>
  <w:style w:type="paragraph" w:styleId="ListBullet3">
    <w:name w:val="List Bullet 3"/>
    <w:basedOn w:val="List3"/>
    <w:rsid w:val="001B6EF8"/>
    <w:pPr>
      <w:numPr>
        <w:numId w:val="14"/>
      </w:numPr>
      <w:tabs>
        <w:tab w:val="clear" w:pos="1021"/>
      </w:tabs>
      <w:ind w:left="1037" w:hanging="357"/>
    </w:pPr>
  </w:style>
  <w:style w:type="paragraph" w:styleId="ListBullet4">
    <w:name w:val="List Bullet 4"/>
    <w:basedOn w:val="List4"/>
    <w:rsid w:val="001B6EF8"/>
    <w:pPr>
      <w:numPr>
        <w:numId w:val="2"/>
      </w:numPr>
    </w:pPr>
  </w:style>
  <w:style w:type="paragraph" w:styleId="ListBullet5">
    <w:name w:val="List Bullet 5"/>
    <w:basedOn w:val="List5"/>
    <w:rsid w:val="001B6EF8"/>
    <w:pPr>
      <w:numPr>
        <w:numId w:val="3"/>
      </w:numPr>
    </w:pPr>
  </w:style>
  <w:style w:type="paragraph" w:styleId="ListContinue2">
    <w:name w:val="List Continue 2"/>
    <w:basedOn w:val="List2"/>
    <w:rsid w:val="001B6EF8"/>
    <w:pPr>
      <w:ind w:firstLine="0"/>
    </w:pPr>
  </w:style>
  <w:style w:type="paragraph" w:styleId="ListContinue3">
    <w:name w:val="List Continue 3"/>
    <w:basedOn w:val="List3"/>
    <w:rsid w:val="001B6EF8"/>
    <w:pPr>
      <w:ind w:left="1021" w:firstLine="0"/>
    </w:pPr>
  </w:style>
  <w:style w:type="paragraph" w:styleId="ListContinue4">
    <w:name w:val="List Continue 4"/>
    <w:basedOn w:val="List4"/>
    <w:rsid w:val="001B6EF8"/>
    <w:pPr>
      <w:ind w:firstLine="0"/>
    </w:pPr>
  </w:style>
  <w:style w:type="paragraph" w:styleId="ListContinue5">
    <w:name w:val="List Continue 5"/>
    <w:basedOn w:val="List5"/>
    <w:rsid w:val="001B6EF8"/>
    <w:pPr>
      <w:ind w:firstLine="0"/>
    </w:pPr>
  </w:style>
  <w:style w:type="paragraph" w:styleId="ListNumber3">
    <w:name w:val="List Number 3"/>
    <w:basedOn w:val="List3"/>
    <w:rsid w:val="001B6EF8"/>
    <w:pPr>
      <w:numPr>
        <w:numId w:val="4"/>
      </w:numPr>
    </w:pPr>
  </w:style>
  <w:style w:type="paragraph" w:styleId="ListNumber4">
    <w:name w:val="List Number 4"/>
    <w:basedOn w:val="List4"/>
    <w:rsid w:val="001B6EF8"/>
    <w:pPr>
      <w:numPr>
        <w:numId w:val="5"/>
      </w:numPr>
    </w:pPr>
  </w:style>
  <w:style w:type="paragraph" w:styleId="ListNumber5">
    <w:name w:val="List Number 5"/>
    <w:basedOn w:val="List5"/>
    <w:rsid w:val="001B6EF8"/>
    <w:pPr>
      <w:numPr>
        <w:numId w:val="6"/>
      </w:numPr>
    </w:pPr>
  </w:style>
  <w:style w:type="paragraph" w:styleId="BlockText">
    <w:name w:val="Block Text"/>
    <w:basedOn w:val="Normal"/>
    <w:rsid w:val="001B6EF8"/>
    <w:pPr>
      <w:spacing w:after="120"/>
      <w:ind w:left="1440" w:right="1440"/>
    </w:pPr>
  </w:style>
  <w:style w:type="character" w:customStyle="1" w:styleId="Subscript">
    <w:name w:val="Subscript"/>
    <w:basedOn w:val="DefaultParagraphFont"/>
    <w:rsid w:val="001B6EF8"/>
    <w:rPr>
      <w:sz w:val="16"/>
      <w:vertAlign w:val="subscript"/>
    </w:rPr>
  </w:style>
  <w:style w:type="character" w:customStyle="1" w:styleId="Superscript">
    <w:name w:val="Superscript"/>
    <w:basedOn w:val="DefaultParagraphFont"/>
    <w:rsid w:val="001B6EF8"/>
    <w:rPr>
      <w:sz w:val="16"/>
      <w:vertAlign w:val="superscript"/>
    </w:rPr>
  </w:style>
  <w:style w:type="character" w:customStyle="1" w:styleId="Symbols">
    <w:name w:val="Symbols"/>
    <w:basedOn w:val="DefaultParagraphFont"/>
    <w:rsid w:val="001B6EF8"/>
    <w:rPr>
      <w:rFonts w:ascii="Symbol" w:hAnsi="Symbol"/>
    </w:rPr>
  </w:style>
  <w:style w:type="character" w:customStyle="1" w:styleId="MenuOptions">
    <w:name w:val="Menu Options"/>
    <w:basedOn w:val="DefaultParagraphFont"/>
    <w:rsid w:val="001B6EF8"/>
    <w:rPr>
      <w:rFonts w:ascii="Arial Narrow" w:hAnsi="Arial Narrow"/>
      <w:smallCaps/>
    </w:rPr>
  </w:style>
  <w:style w:type="character" w:customStyle="1" w:styleId="Buttons">
    <w:name w:val="Buttons"/>
    <w:basedOn w:val="DefaultParagraphFont"/>
    <w:rsid w:val="001B6EF8"/>
    <w:rPr>
      <w:b/>
    </w:rPr>
  </w:style>
  <w:style w:type="character" w:customStyle="1" w:styleId="Underlined">
    <w:name w:val="Underlined"/>
    <w:basedOn w:val="DefaultParagraphFont"/>
    <w:rsid w:val="001B6EF8"/>
    <w:rPr>
      <w:u w:val="single"/>
    </w:rPr>
  </w:style>
  <w:style w:type="paragraph" w:customStyle="1" w:styleId="TableBodyTextRight">
    <w:name w:val="Table Body Text Right"/>
    <w:basedOn w:val="TableBodyText"/>
    <w:rsid w:val="001B6EF8"/>
    <w:pPr>
      <w:widowControl w:val="0"/>
      <w:autoSpaceDE w:val="0"/>
      <w:autoSpaceDN w:val="0"/>
      <w:adjustRightInd w:val="0"/>
      <w:jc w:val="right"/>
    </w:pPr>
    <w:rPr>
      <w:rFonts w:cs="Arial"/>
      <w:szCs w:val="18"/>
    </w:rPr>
  </w:style>
  <w:style w:type="paragraph" w:customStyle="1" w:styleId="CopyrightText">
    <w:name w:val="Copyright Text"/>
    <w:basedOn w:val="BodyText"/>
    <w:rsid w:val="001B6EF8"/>
    <w:rPr>
      <w:sz w:val="18"/>
    </w:rPr>
  </w:style>
  <w:style w:type="paragraph" w:customStyle="1" w:styleId="BodySmallRight">
    <w:name w:val="Body Small Right"/>
    <w:basedOn w:val="BodyTextRight"/>
    <w:rsid w:val="001B6EF8"/>
    <w:rPr>
      <w:sz w:val="18"/>
      <w:szCs w:val="18"/>
    </w:rPr>
  </w:style>
  <w:style w:type="paragraph" w:customStyle="1" w:styleId="MarginEdition">
    <w:name w:val="Margin Edition"/>
    <w:basedOn w:val="MarginNote"/>
    <w:rsid w:val="001B6EF8"/>
    <w:pPr>
      <w:spacing w:before="0" w:after="0"/>
    </w:pPr>
    <w:rPr>
      <w:rFonts w:ascii="Times New Roman" w:hAnsi="Times New Roman"/>
      <w:color w:val="999999"/>
    </w:rPr>
  </w:style>
  <w:style w:type="paragraph" w:customStyle="1" w:styleId="Spacer">
    <w:name w:val="Spacer"/>
    <w:basedOn w:val="Normal"/>
    <w:rsid w:val="001B6EF8"/>
    <w:rPr>
      <w:sz w:val="2"/>
      <w:szCs w:val="2"/>
    </w:rPr>
  </w:style>
  <w:style w:type="character" w:customStyle="1" w:styleId="Small">
    <w:name w:val="Small"/>
    <w:basedOn w:val="DefaultParagraphFont"/>
    <w:rsid w:val="001B6EF8"/>
    <w:rPr>
      <w:sz w:val="16"/>
    </w:rPr>
  </w:style>
  <w:style w:type="paragraph" w:customStyle="1" w:styleId="WideTable">
    <w:name w:val="Wide Table"/>
    <w:basedOn w:val="Normal"/>
    <w:rsid w:val="001B6EF8"/>
    <w:pPr>
      <w:ind w:left="-1418"/>
    </w:pPr>
    <w:rPr>
      <w:sz w:val="2"/>
      <w:szCs w:val="2"/>
    </w:rPr>
  </w:style>
  <w:style w:type="character" w:styleId="PageNumber">
    <w:name w:val="page number"/>
    <w:basedOn w:val="DefaultParagraphFont"/>
    <w:rsid w:val="001B6EF8"/>
  </w:style>
  <w:style w:type="paragraph" w:styleId="Quote">
    <w:name w:val="Quote"/>
    <w:basedOn w:val="Heading1"/>
    <w:link w:val="QuoteChar"/>
    <w:qFormat/>
    <w:rsid w:val="001B6EF8"/>
    <w:rPr>
      <w:b w:val="0"/>
      <w:sz w:val="72"/>
      <w:szCs w:val="72"/>
      <w:lang w:val="en-NZ"/>
    </w:rPr>
  </w:style>
  <w:style w:type="character" w:customStyle="1" w:styleId="QuoteChar">
    <w:name w:val="Quote Char"/>
    <w:basedOn w:val="DefaultParagraphFont"/>
    <w:link w:val="Quote"/>
    <w:rsid w:val="001B6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EF8"/>
    <w:pPr>
      <w:pageBreakBefore/>
    </w:pPr>
  </w:style>
  <w:style w:type="paragraph" w:customStyle="1" w:styleId="Border">
    <w:name w:val="Border"/>
    <w:basedOn w:val="Normal"/>
    <w:qFormat/>
    <w:rsid w:val="001B6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EF8"/>
    <w:rPr>
      <w:b/>
      <w:bCs/>
      <w:i/>
      <w:iCs/>
      <w:color w:val="auto"/>
    </w:rPr>
  </w:style>
  <w:style w:type="paragraph" w:styleId="IntenseQuote">
    <w:name w:val="Intense Quote"/>
    <w:basedOn w:val="Normal"/>
    <w:next w:val="Normal"/>
    <w:link w:val="IntenseQuoteChar"/>
    <w:uiPriority w:val="30"/>
    <w:qFormat/>
    <w:rsid w:val="001B6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E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6EF8"/>
    <w:rPr>
      <w:smallCaps/>
      <w:color w:val="auto"/>
      <w:u w:val="single"/>
    </w:rPr>
  </w:style>
  <w:style w:type="character" w:styleId="IntenseReference">
    <w:name w:val="Intense Reference"/>
    <w:basedOn w:val="DefaultParagraphFont"/>
    <w:uiPriority w:val="32"/>
    <w:qFormat/>
    <w:rsid w:val="001B6EF8"/>
    <w:rPr>
      <w:b/>
      <w:bCs/>
      <w:smallCaps/>
      <w:color w:val="auto"/>
      <w:spacing w:val="5"/>
      <w:u w:val="single"/>
    </w:rPr>
  </w:style>
  <w:style w:type="paragraph" w:customStyle="1" w:styleId="2ColumnHeading">
    <w:name w:val="2Column Heading"/>
    <w:basedOn w:val="BodyText"/>
    <w:qFormat/>
    <w:rsid w:val="001B6EF8"/>
    <w:pPr>
      <w:spacing w:after="60"/>
      <w:ind w:left="-2268"/>
    </w:pPr>
    <w:rPr>
      <w:b/>
    </w:rPr>
  </w:style>
  <w:style w:type="paragraph" w:customStyle="1" w:styleId="Heading1TOC">
    <w:name w:val="Heading1 TOC"/>
    <w:basedOn w:val="Normal"/>
    <w:qFormat/>
    <w:rsid w:val="001B6EF8"/>
    <w:pPr>
      <w:spacing w:before="240" w:after="120"/>
    </w:pPr>
    <w:rPr>
      <w:rFonts w:ascii="Times New Roman" w:hAnsi="Times New Roman"/>
      <w:b/>
      <w:sz w:val="32"/>
    </w:rPr>
  </w:style>
  <w:style w:type="paragraph" w:customStyle="1" w:styleId="Heading2TOC">
    <w:name w:val="Heading2 TOC"/>
    <w:basedOn w:val="Normal"/>
    <w:qFormat/>
    <w:rsid w:val="001B6EF8"/>
    <w:pPr>
      <w:spacing w:before="240" w:after="60"/>
    </w:pPr>
    <w:rPr>
      <w:rFonts w:ascii="Times New Roman" w:hAnsi="Times New Roman"/>
      <w:b/>
      <w:sz w:val="28"/>
    </w:rPr>
  </w:style>
  <w:style w:type="character" w:customStyle="1" w:styleId="Underline">
    <w:name w:val="Underline"/>
    <w:basedOn w:val="DefaultParagraphFont"/>
    <w:qFormat/>
    <w:rsid w:val="001B6EF8"/>
    <w:rPr>
      <w:u w:val="single"/>
    </w:rPr>
  </w:style>
  <w:style w:type="paragraph" w:styleId="BalloonText">
    <w:name w:val="Balloon Text"/>
    <w:basedOn w:val="Normal"/>
    <w:link w:val="BalloonTextChar"/>
    <w:rsid w:val="001B6EF8"/>
    <w:rPr>
      <w:rFonts w:ascii="Tahoma" w:hAnsi="Tahoma" w:cs="Tahoma"/>
      <w:sz w:val="16"/>
      <w:szCs w:val="16"/>
    </w:rPr>
  </w:style>
  <w:style w:type="character" w:customStyle="1" w:styleId="BalloonTextChar">
    <w:name w:val="Balloon Text Char"/>
    <w:basedOn w:val="DefaultParagraphFont"/>
    <w:link w:val="BalloonText"/>
    <w:rsid w:val="001B6E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6E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6E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1349</Words>
  <Characters>8490</Characters>
  <Application>Microsoft Office Word</Application>
  <DocSecurity>0</DocSecurity>
  <Lines>317</Lines>
  <Paragraphs>163</Paragraphs>
  <ScaleCrop>false</ScaleCrop>
  <Company>Author-it Software Corporation Ltd.</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SFIPROC302C Handle and pack sashimi-grade fish</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