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0AC5" w:rsidP="00FE0AC5">
      <w:pPr>
        <w:pStyle w:val="Title"/>
      </w:pPr>
      <w:r>
        <w:fldChar w:fldCharType="begin"/>
      </w:r>
      <w:r>
        <w:instrText xml:space="preserve"> TITLE   \* MERGEFORMAT </w:instrText>
      </w:r>
      <w:r>
        <w:fldChar w:fldCharType="separate"/>
      </w:r>
      <w:r>
        <w:t>SFIPROC203C Shuck molluscs</w:t>
      </w:r>
      <w:r>
        <w:fldChar w:fldCharType="end"/>
      </w:r>
    </w:p>
    <w:p w:rsidR="00FE0AC5" w:rsidP="00FE0AC5">
      <w:pPr>
        <w:pStyle w:val="Version"/>
        <w:sectPr w:rsidSect="003D4A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4AEC" w:rsidP="003D4AEC">
      <w:pPr>
        <w:pStyle w:val="SuperHeading"/>
      </w:pPr>
      <w:r w:rsidRPr="003D4AEC">
        <w:t>SFIPROC203C Shuck molluscs</w:t>
      </w:r>
    </w:p>
    <w:p w:rsidR="00000000" w:rsidRPr="003D4AEC" w:rsidP="003D4AEC">
      <w:pPr>
        <w:pStyle w:val="Heading1"/>
      </w:pPr>
      <w:bookmarkStart w:id="1" w:name="O_273288"/>
      <w:bookmarkEnd w:id="1"/>
      <w:r w:rsidRPr="003D4AEC">
        <w:t>Modification History</w:t>
      </w:r>
    </w:p>
    <w:p w:rsidR="00000000" w:rsidRPr="003D4AEC" w:rsidP="003D4AEC">
      <w:pPr>
        <w:pStyle w:val="BodyText"/>
      </w:pPr>
      <w:r w:rsidRPr="003D4AEC">
        <w:t>Not Applicable</w:t>
      </w:r>
    </w:p>
    <w:p w:rsidR="00000000" w:rsidRPr="003D4AEC" w:rsidP="003D4AEC">
      <w:pPr>
        <w:pStyle w:val="AllowPageBreak"/>
      </w:pPr>
    </w:p>
    <w:p w:rsidR="00000000" w:rsidRPr="003D4AEC" w:rsidP="003D4AEC">
      <w:pPr>
        <w:pStyle w:val="Heading1"/>
      </w:pPr>
      <w:bookmarkStart w:id="2" w:name="O_218507"/>
      <w:bookmarkEnd w:id="2"/>
      <w:r w:rsidRPr="003D4AEC">
        <w:t>Unit Descriptor</w:t>
      </w:r>
    </w:p>
    <w:tbl>
      <w:tblPr>
        <w:tblW w:w="0" w:type="auto"/>
        <w:tblLayout w:type="fixed"/>
        <w:tblCellMar>
          <w:left w:w="62" w:type="dxa"/>
          <w:right w:w="62" w:type="dxa"/>
        </w:tblCellMar>
        <w:tblLook w:val="0000"/>
      </w:tblPr>
      <w:tblGrid>
        <w:gridCol w:w="2626"/>
        <w:gridCol w:w="5896"/>
      </w:tblGrid>
      <w:tr w:rsidTr="00FE0AC5">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rPr>
                <w:rStyle w:val="SpecialBold"/>
              </w:rPr>
              <w:t>Unit descriptor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AEC" w:rsidP="003D4AEC">
            <w:pPr>
              <w:pStyle w:val="BodyText"/>
            </w:pPr>
            <w:r w:rsidRPr="003D4AEC">
              <w:t>This unit of competency involves opening and/or removing the meat (shuck) from molluscs, such as oysters, scallops and abalone.</w:t>
            </w:r>
            <w:r w:rsidRPr="003D4AEC">
              <w:t xml:space="preserve"> Opened molluscs (half shells) or meat only are then prepared/trimmed and packaged according to specifications.  </w:t>
            </w:r>
          </w:p>
          <w:p w:rsidR="00000000" w:rsidRPr="003D4AEC" w:rsidP="003D4AEC">
            <w:pPr>
              <w:pStyle w:val="BodyText"/>
            </w:pPr>
            <w:r w:rsidRPr="003D4AEC">
              <w:t>Licensing, legislative, regulatory or certification requirements may apply to this unit. Therefore it will be necessary to check with the rele</w:t>
            </w:r>
            <w:r w:rsidRPr="003D4AEC">
              <w:t>vant state or territory regulators for current licensing, legislative or regulatory requirements before undertaking this unit.</w:t>
            </w:r>
          </w:p>
        </w:tc>
      </w:tr>
    </w:tbl>
    <w:p w:rsidR="00FE0AC5" w:rsidP="003D4AEC">
      <w:pPr>
        <w:pStyle w:val="BodyText"/>
      </w:pPr>
    </w:p>
    <w:p w:rsidR="00FE0AC5" w:rsidP="003D4AEC">
      <w:pPr>
        <w:pStyle w:val="BodyText"/>
      </w:pPr>
    </w:p>
    <w:p w:rsidR="00000000" w:rsidRPr="003D4AEC" w:rsidP="003D4AEC">
      <w:pPr>
        <w:pStyle w:val="Heading1"/>
      </w:pPr>
      <w:bookmarkStart w:id="3" w:name="O_218511"/>
      <w:bookmarkEnd w:id="3"/>
      <w:r w:rsidRPr="003D4AEC">
        <w:t>Application of the Unit</w:t>
      </w:r>
    </w:p>
    <w:tbl>
      <w:tblPr>
        <w:tblW w:w="0" w:type="auto"/>
        <w:tblLayout w:type="fixed"/>
        <w:tblCellMar>
          <w:left w:w="62" w:type="dxa"/>
          <w:right w:w="62" w:type="dxa"/>
        </w:tblCellMar>
        <w:tblLook w:val="0000"/>
      </w:tblPr>
      <w:tblGrid>
        <w:gridCol w:w="2706"/>
        <w:gridCol w:w="5816"/>
      </w:tblGrid>
      <w:tr w:rsidTr="00FE0AC5">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rPr>
                <w:rStyle w:val="SpecialBold"/>
              </w:rPr>
              <w:t>Application of the unit</w:t>
            </w:r>
          </w:p>
        </w:tc>
        <w:tc>
          <w:tcPr>
            <w:tcW w:w="58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AEC" w:rsidP="003D4AEC">
            <w:pPr>
              <w:pStyle w:val="BodyText"/>
            </w:pPr>
            <w:r w:rsidRPr="003D4AEC">
              <w:t>This unit has application for workers in fish processing facilities.</w:t>
            </w:r>
          </w:p>
          <w:p w:rsidR="00000000" w:rsidRPr="003D4AEC" w:rsidP="003D4AEC">
            <w:pPr>
              <w:pStyle w:val="BodyText"/>
            </w:pPr>
            <w:r w:rsidRPr="003D4AEC">
              <w:t>It extends to shucking molluscs and then packaging half shells and/or meat to customer and enterprise specifications.</w:t>
            </w:r>
          </w:p>
          <w:p w:rsidR="00000000" w:rsidRPr="003D4AEC" w:rsidP="003D4AEC">
            <w:pPr>
              <w:pStyle w:val="BodyText"/>
            </w:pPr>
            <w:r w:rsidRPr="003D4AEC">
              <w:t>Handling and processing of cephalopods is covered in SFIPROC202C Proc</w:t>
            </w:r>
            <w:r w:rsidRPr="003D4AEC">
              <w:t>ess squid, cuttlefish and octopus. Procedures for freezing, bottling or canning are covered in other processing units.</w:t>
            </w:r>
          </w:p>
          <w:p w:rsidR="00000000" w:rsidRPr="003D4AEC" w:rsidP="003D4AEC">
            <w:pPr>
              <w:pStyle w:val="BodyText"/>
            </w:pPr>
            <w:r w:rsidRPr="003D4AEC">
              <w:t xml:space="preserve">All enterprise or workplace procedures and activities are carried out according to </w:t>
            </w:r>
            <w:r w:rsidRPr="003D4AEC">
              <w:rPr>
                <w:rStyle w:val="BoldandItalics"/>
              </w:rPr>
              <w:t>relevant government regulations</w:t>
            </w:r>
            <w:r w:rsidRPr="003D4AEC">
              <w:t xml:space="preserve">, </w:t>
            </w:r>
            <w:r w:rsidRPr="003D4AEC">
              <w:rPr>
                <w:rStyle w:val="BoldandItalics"/>
              </w:rPr>
              <w:t>licensing and other compliance requirements</w:t>
            </w:r>
            <w:r w:rsidRPr="003D4AEC">
              <w:t xml:space="preserve">, including </w:t>
            </w:r>
            <w:r w:rsidRPr="003D4AEC">
              <w:rPr>
                <w:rStyle w:val="BoldandItalics"/>
              </w:rPr>
              <w:t>occupational health and safety</w:t>
            </w:r>
            <w:r w:rsidRPr="003D4AEC">
              <w:t xml:space="preserve"> (</w:t>
            </w:r>
            <w:r w:rsidRPr="003D4AEC">
              <w:rPr>
                <w:rStyle w:val="BoldandItalics"/>
              </w:rPr>
              <w:t>OHS</w:t>
            </w:r>
            <w:r w:rsidRPr="003D4AEC">
              <w:t xml:space="preserve">) </w:t>
            </w:r>
            <w:r w:rsidRPr="003D4AEC">
              <w:rPr>
                <w:rStyle w:val="BoldandItalics"/>
              </w:rPr>
              <w:t>guidelines</w:t>
            </w:r>
            <w:r w:rsidRPr="003D4AEC">
              <w:t xml:space="preserve">, </w:t>
            </w:r>
            <w:r w:rsidRPr="003D4AEC">
              <w:rPr>
                <w:rStyle w:val="BoldandItalics"/>
              </w:rPr>
              <w:t>food safety and hygiene regulations and procedures</w:t>
            </w:r>
            <w:r w:rsidRPr="003D4AEC">
              <w:t xml:space="preserve"> and </w:t>
            </w:r>
            <w:r w:rsidRPr="003D4AEC">
              <w:rPr>
                <w:rStyle w:val="BoldandItalics"/>
              </w:rPr>
              <w:t>ecologically sustainable development</w:t>
            </w:r>
            <w:r w:rsidRPr="003D4AEC">
              <w:t xml:space="preserve"> (</w:t>
            </w:r>
            <w:r w:rsidRPr="003D4AEC">
              <w:rPr>
                <w:rStyle w:val="BoldandItalics"/>
              </w:rPr>
              <w:t>ESD</w:t>
            </w:r>
            <w:r w:rsidRPr="003D4AEC">
              <w:t xml:space="preserve">) </w:t>
            </w:r>
            <w:r w:rsidRPr="003D4AEC">
              <w:rPr>
                <w:rStyle w:val="BoldandItalics"/>
              </w:rPr>
              <w:t>principles</w:t>
            </w:r>
            <w:r w:rsidRPr="003D4AEC">
              <w:t xml:space="preserve">. </w:t>
            </w:r>
          </w:p>
          <w:p w:rsidR="00000000" w:rsidRPr="003D4AEC" w:rsidP="003D4AEC">
            <w:pPr>
              <w:pStyle w:val="BodyText"/>
            </w:pPr>
            <w:r w:rsidRPr="003D4AEC">
              <w:t>Equipment operation, maintenance, repairs</w:t>
            </w:r>
            <w:r w:rsidRPr="003D4AEC">
              <w:t xml:space="preserve"> and calibrations are undertaken in a safe manner that conforms to manufacturer's instructions. Appropriate </w:t>
            </w:r>
            <w:r w:rsidRPr="003D4AEC">
              <w:rPr>
                <w:rStyle w:val="BoldandItalics"/>
              </w:rPr>
              <w:t>personal protective equipment</w:t>
            </w:r>
            <w:r w:rsidRPr="003D4AEC">
              <w:t xml:space="preserve"> (</w:t>
            </w:r>
            <w:r w:rsidRPr="003D4AEC">
              <w:rPr>
                <w:rStyle w:val="BoldandItalics"/>
              </w:rPr>
              <w:t>PPE</w:t>
            </w:r>
            <w:r w:rsidRPr="003D4AEC">
              <w:t>) is selected, checked, used and maintained.</w:t>
            </w:r>
          </w:p>
        </w:tc>
      </w:tr>
    </w:tbl>
    <w:p w:rsidR="00FE0AC5" w:rsidP="003D4AEC">
      <w:pPr>
        <w:pStyle w:val="BodyText"/>
      </w:pPr>
    </w:p>
    <w:p w:rsidR="00FE0AC5" w:rsidP="003D4AEC">
      <w:pPr>
        <w:pStyle w:val="BodyText"/>
      </w:pPr>
    </w:p>
    <w:p w:rsidR="00000000" w:rsidRPr="003D4AEC" w:rsidP="003D4AEC">
      <w:pPr>
        <w:pStyle w:val="Heading1"/>
      </w:pPr>
      <w:bookmarkStart w:id="4" w:name="O_281548"/>
      <w:bookmarkEnd w:id="4"/>
      <w:r w:rsidRPr="003D4AEC">
        <w:t>Licensing/Regulatory Information</w:t>
      </w:r>
    </w:p>
    <w:p w:rsidR="00000000" w:rsidRPr="003D4AEC" w:rsidP="003D4AEC">
      <w:pPr>
        <w:pStyle w:val="BodyText"/>
      </w:pPr>
      <w:r w:rsidRPr="003D4AEC">
        <w:t>Refer to Unit De</w:t>
      </w:r>
      <w:r w:rsidRPr="003D4AEC">
        <w:t>scriptor</w:t>
      </w:r>
    </w:p>
    <w:p w:rsidR="00000000" w:rsidRPr="003D4AEC" w:rsidP="003D4AEC">
      <w:pPr>
        <w:pStyle w:val="AllowPageBreak"/>
      </w:pPr>
    </w:p>
    <w:p w:rsidR="00000000" w:rsidRPr="003D4AEC" w:rsidP="003D4AEC">
      <w:pPr>
        <w:pStyle w:val="Heading1"/>
      </w:pPr>
      <w:bookmarkStart w:id="5" w:name="O_218509"/>
      <w:bookmarkEnd w:id="5"/>
      <w:r w:rsidRPr="003D4AEC">
        <w:t>Pre-Requisites</w:t>
      </w:r>
    </w:p>
    <w:tbl>
      <w:tblPr>
        <w:tblW w:w="0" w:type="auto"/>
        <w:tblLayout w:type="fixed"/>
        <w:tblCellMar>
          <w:left w:w="62" w:type="dxa"/>
          <w:right w:w="62" w:type="dxa"/>
        </w:tblCellMar>
        <w:tblLook w:val="0000"/>
      </w:tblPr>
      <w:tblGrid>
        <w:gridCol w:w="2743"/>
        <w:gridCol w:w="1469"/>
        <w:gridCol w:w="4310"/>
      </w:tblGrid>
      <w:tr w:rsidTr="00FE0AC5">
        <w:tblPrEx>
          <w:tblW w:w="0" w:type="auto"/>
          <w:tblLayout w:type="fixed"/>
          <w:tblCellMar>
            <w:left w:w="62" w:type="dxa"/>
            <w:right w:w="62" w:type="dxa"/>
          </w:tblCellMar>
          <w:tblLook w:val="0000"/>
        </w:tblPrEx>
        <w:trPr>
          <w:tblHeader/>
        </w:trPr>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rPr>
                <w:rStyle w:val="SpecialBold"/>
              </w:rPr>
              <w:t>Prerequisite units</w:t>
            </w:r>
          </w:p>
        </w:tc>
        <w:tc>
          <w:tcPr>
            <w:tcW w:w="577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p>
        </w:tc>
      </w:tr>
      <w:tr w:rsidTr="00FE0AC5">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p>
        </w:tc>
      </w:tr>
      <w:tr w:rsidTr="00FE0AC5">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AEC" w:rsidP="003D4AEC">
            <w:pPr>
              <w:pStyle w:val="BodyText"/>
            </w:pPr>
          </w:p>
        </w:tc>
      </w:tr>
    </w:tbl>
    <w:p w:rsidR="00FE0AC5" w:rsidP="003D4AEC">
      <w:pPr>
        <w:pStyle w:val="BodyText"/>
      </w:pPr>
    </w:p>
    <w:p w:rsidR="00FE0AC5" w:rsidP="003D4AEC">
      <w:pPr>
        <w:pStyle w:val="BodyText"/>
      </w:pPr>
    </w:p>
    <w:p w:rsidR="00000000" w:rsidRPr="003D4AEC" w:rsidP="003D4AEC">
      <w:pPr>
        <w:pStyle w:val="Heading1"/>
      </w:pPr>
      <w:bookmarkStart w:id="6" w:name="O_218508"/>
      <w:bookmarkEnd w:id="6"/>
      <w:r w:rsidRPr="003D4AEC">
        <w:t>Employability Skills Information</w:t>
      </w:r>
    </w:p>
    <w:tbl>
      <w:tblPr>
        <w:tblW w:w="0" w:type="auto"/>
        <w:tblLayout w:type="fixed"/>
        <w:tblCellMar>
          <w:left w:w="62" w:type="dxa"/>
          <w:right w:w="62" w:type="dxa"/>
        </w:tblCellMar>
        <w:tblLook w:val="0000"/>
      </w:tblPr>
      <w:tblGrid>
        <w:gridCol w:w="2777"/>
        <w:gridCol w:w="5745"/>
      </w:tblGrid>
      <w:tr w:rsidTr="00FE0AC5">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AEC" w:rsidP="003D4AEC">
            <w:pPr>
              <w:pStyle w:val="BodyText"/>
            </w:pPr>
            <w:r w:rsidRPr="003D4AEC">
              <w:t xml:space="preserve">This unit contains employability skills.  </w:t>
            </w:r>
          </w:p>
        </w:tc>
      </w:tr>
    </w:tbl>
    <w:p w:rsidR="00FE0AC5" w:rsidP="003D4AEC">
      <w:pPr>
        <w:pStyle w:val="BodyText"/>
      </w:pPr>
    </w:p>
    <w:p w:rsidR="00FE0AC5" w:rsidP="003D4AEC">
      <w:pPr>
        <w:pStyle w:val="BodyText"/>
      </w:pPr>
    </w:p>
    <w:p w:rsidR="00000000" w:rsidRPr="003D4AEC" w:rsidP="003D4AEC">
      <w:pPr>
        <w:pStyle w:val="Heading1"/>
      </w:pPr>
      <w:bookmarkStart w:id="7" w:name="O_291334"/>
      <w:bookmarkEnd w:id="7"/>
      <w:r w:rsidRPr="003D4AEC">
        <w:t>Elements and Performance Criteria Pre-Content</w:t>
      </w:r>
    </w:p>
    <w:tbl>
      <w:tblPr>
        <w:tblW w:w="0" w:type="auto"/>
        <w:tblLayout w:type="fixed"/>
        <w:tblCellMar>
          <w:left w:w="62" w:type="dxa"/>
          <w:right w:w="62" w:type="dxa"/>
        </w:tblCellMar>
        <w:tblLook w:val="0000"/>
      </w:tblPr>
      <w:tblGrid>
        <w:gridCol w:w="2538"/>
        <w:gridCol w:w="5984"/>
      </w:tblGrid>
      <w:tr w:rsidTr="00FE0AC5">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AEC" w:rsidP="003D4AEC">
            <w:pPr>
              <w:pStyle w:val="BodyText"/>
            </w:pPr>
            <w:r w:rsidRPr="003D4AEC">
              <w:t>Performance criteria describe the performance needed to demonstrate achievement of the element. Where bold italicised text is used, further information is detailed in the required skills and</w:t>
            </w:r>
            <w:r w:rsidRPr="003D4AEC">
              <w:t xml:space="preserve"> knowledge section and the range statement. Assessment of performance is to be consistent with the evidence guide.</w:t>
            </w:r>
          </w:p>
        </w:tc>
      </w:tr>
    </w:tbl>
    <w:p w:rsidR="00000000" w:rsidRPr="003D4AEC" w:rsidP="003D4AEC">
      <w:pPr>
        <w:pStyle w:val="BodyText"/>
      </w:pPr>
    </w:p>
    <w:p w:rsidR="00000000" w:rsidRPr="003D4AEC" w:rsidP="003D4AEC">
      <w:pPr>
        <w:pStyle w:val="AllowPageBreak"/>
      </w:pPr>
    </w:p>
    <w:p w:rsidR="00000000" w:rsidRPr="003D4AEC" w:rsidP="003D4AEC">
      <w:pPr>
        <w:pStyle w:val="Heading1"/>
      </w:pPr>
      <w:bookmarkStart w:id="8" w:name="O_238002"/>
      <w:bookmarkEnd w:id="8"/>
      <w:r w:rsidRPr="003D4AEC">
        <w:t>Elements and Performance Criteria</w:t>
      </w:r>
    </w:p>
    <w:tbl>
      <w:tblPr>
        <w:tblW w:w="0" w:type="auto"/>
        <w:tblLayout w:type="fixed"/>
        <w:tblCellMar>
          <w:left w:w="62" w:type="dxa"/>
          <w:right w:w="62" w:type="dxa"/>
        </w:tblCellMar>
        <w:tblLook w:val="0000"/>
      </w:tblPr>
      <w:tblGrid>
        <w:gridCol w:w="2538"/>
        <w:gridCol w:w="5984"/>
      </w:tblGrid>
      <w:tr w:rsidTr="00FE0AC5">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AEC" w:rsidP="003D4AEC">
            <w:pPr>
              <w:pStyle w:val="BodyText"/>
            </w:pPr>
            <w:r w:rsidRPr="003D4AEC">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rPr>
                <w:rStyle w:val="SpecialBold"/>
              </w:rPr>
              <w:t>PERFORMANCE CRITERIA</w:t>
            </w:r>
          </w:p>
        </w:tc>
      </w:tr>
      <w:tr w:rsidTr="00FE0AC5">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List"/>
              <w:rPr>
                <w:lang w:val="en-NZ"/>
              </w:rPr>
            </w:pPr>
            <w:r w:rsidRPr="003D4AEC">
              <w:t>1.</w:t>
            </w:r>
            <w:r w:rsidRPr="003D4AEC">
              <w:tab/>
              <w:t>Prepare work area</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AEC" w:rsidP="003D4AEC">
            <w:pPr>
              <w:pStyle w:val="List2"/>
            </w:pPr>
            <w:r w:rsidRPr="003D4AEC">
              <w:t>1.1.</w:t>
            </w:r>
            <w:r w:rsidRPr="003D4AEC">
              <w:tab/>
            </w:r>
            <w:r w:rsidRPr="003D4AEC">
              <w:t>Work instructions are confirmed with supervisor</w:t>
            </w:r>
          </w:p>
          <w:p w:rsidR="00000000" w:rsidRPr="003D4AEC" w:rsidP="003D4AEC">
            <w:pPr>
              <w:pStyle w:val="List2"/>
            </w:pPr>
            <w:r w:rsidRPr="003D4AEC">
              <w:t>1.2.</w:t>
            </w:r>
            <w:r w:rsidRPr="003D4AEC">
              <w:tab/>
              <w:t xml:space="preserve">Workbench and area for product handling and all </w:t>
            </w:r>
            <w:r w:rsidRPr="003D4AEC">
              <w:rPr>
                <w:rStyle w:val="BoldandItalics"/>
              </w:rPr>
              <w:t>equipment</w:t>
            </w:r>
            <w:r w:rsidRPr="003D4AEC">
              <w:t xml:space="preserve"> for grading, opening/shucking, rinsing, storing and chilling </w:t>
            </w:r>
            <w:r w:rsidRPr="003D4AEC">
              <w:rPr>
                <w:rStyle w:val="BoldandItalics"/>
              </w:rPr>
              <w:t>product</w:t>
            </w:r>
            <w:r w:rsidRPr="003D4AEC">
              <w:t xml:space="preserve"> are clean and in full working order. </w:t>
            </w:r>
          </w:p>
          <w:p w:rsidR="00000000" w:rsidP="003D4AEC">
            <w:pPr>
              <w:pStyle w:val="List2"/>
              <w:rPr>
                <w:lang w:val="en-NZ"/>
              </w:rPr>
            </w:pPr>
            <w:r w:rsidRPr="003D4AEC">
              <w:t>1.3.</w:t>
            </w:r>
            <w:r w:rsidRPr="003D4AEC">
              <w:tab/>
              <w:t>Sufficient potable ice, clean bas</w:t>
            </w:r>
            <w:r w:rsidRPr="003D4AEC">
              <w:t>kets and cold potable water are available.</w:t>
            </w:r>
          </w:p>
        </w:tc>
      </w:tr>
      <w:tr w:rsidTr="00FE0AC5">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List"/>
              <w:rPr>
                <w:lang w:val="en-NZ"/>
              </w:rPr>
            </w:pPr>
            <w:r w:rsidRPr="003D4AEC">
              <w:t>2.</w:t>
            </w:r>
            <w:r w:rsidRPr="003D4AEC">
              <w:tab/>
              <w:t>Wash mollusc</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AEC" w:rsidP="003D4AEC">
            <w:pPr>
              <w:pStyle w:val="List2"/>
            </w:pPr>
            <w:r w:rsidRPr="003D4AEC">
              <w:t>2.1.</w:t>
            </w:r>
            <w:r w:rsidRPr="003D4AEC">
              <w:tab/>
              <w:t>Molluscs are cleaned in potable water, if necessary, to remove all loose shell, grit and mud.</w:t>
            </w:r>
          </w:p>
          <w:p w:rsidR="00000000" w:rsidRPr="003D4AEC" w:rsidP="003D4AEC">
            <w:pPr>
              <w:pStyle w:val="List2"/>
            </w:pPr>
            <w:r w:rsidRPr="003D4AEC">
              <w:t>2.2.</w:t>
            </w:r>
            <w:r w:rsidRPr="003D4AEC">
              <w:tab/>
            </w:r>
            <w:r w:rsidRPr="003D4AEC">
              <w:t>Molluscs awaiting shucking are stored correctly to maintain cool temperature and avoid contamination.</w:t>
            </w:r>
          </w:p>
          <w:p w:rsidR="00000000" w:rsidP="003D4AEC">
            <w:pPr>
              <w:pStyle w:val="List2"/>
              <w:rPr>
                <w:lang w:val="en-NZ"/>
              </w:rPr>
            </w:pPr>
            <w:r w:rsidRPr="003D4AEC">
              <w:t>2.3.</w:t>
            </w:r>
            <w:r w:rsidRPr="003D4AEC">
              <w:tab/>
              <w:t>Dead molluscs are discarded.</w:t>
            </w:r>
          </w:p>
        </w:tc>
      </w:tr>
      <w:tr w:rsidTr="00FE0AC5">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List"/>
              <w:rPr>
                <w:lang w:val="en-NZ"/>
              </w:rPr>
            </w:pPr>
            <w:r w:rsidRPr="003D4AEC">
              <w:t>3.</w:t>
            </w:r>
            <w:r w:rsidRPr="003D4AEC">
              <w:tab/>
              <w:t>Open or remove shells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AEC" w:rsidP="003D4AEC">
            <w:pPr>
              <w:pStyle w:val="List2"/>
            </w:pPr>
            <w:r w:rsidRPr="003D4AEC">
              <w:t>3.1.</w:t>
            </w:r>
            <w:r w:rsidRPr="003D4AEC">
              <w:tab/>
              <w:t>The adductor muscle (bivalves) or foot (abalone) is cut with a knife.</w:t>
            </w:r>
          </w:p>
          <w:p w:rsidR="00000000" w:rsidRPr="003D4AEC" w:rsidP="003D4AEC">
            <w:pPr>
              <w:pStyle w:val="List2"/>
            </w:pPr>
            <w:r w:rsidRPr="003D4AEC">
              <w:t>3.2.</w:t>
            </w:r>
            <w:r w:rsidRPr="003D4AEC">
              <w:tab/>
              <w:t xml:space="preserve">Meat is freed </w:t>
            </w:r>
            <w:r w:rsidRPr="003D4AEC">
              <w:t xml:space="preserve">from one shell to produce a half shell (bivalves) or shells totally removed to leave meat only (bivalves and abalone) according to </w:t>
            </w:r>
            <w:r w:rsidRPr="003D4AEC">
              <w:rPr>
                <w:rStyle w:val="BoldandItalics"/>
              </w:rPr>
              <w:t>productivity and yield specifications</w:t>
            </w:r>
            <w:r w:rsidRPr="003D4AEC">
              <w:t xml:space="preserve">. </w:t>
            </w:r>
          </w:p>
          <w:p w:rsidR="00000000" w:rsidRPr="003D4AEC" w:rsidP="003D4AEC">
            <w:pPr>
              <w:pStyle w:val="List2"/>
            </w:pPr>
            <w:r w:rsidRPr="003D4AEC">
              <w:t>3.3.</w:t>
            </w:r>
            <w:r w:rsidRPr="003D4AEC">
              <w:tab/>
              <w:t>Half shells or meat are quickly rinsed under potable water to remove any grit or</w:t>
            </w:r>
            <w:r w:rsidRPr="003D4AEC">
              <w:t xml:space="preserve"> debris and meat is trimmed, as required.</w:t>
            </w:r>
          </w:p>
          <w:p w:rsidR="00000000" w:rsidRPr="003D4AEC" w:rsidP="003D4AEC">
            <w:pPr>
              <w:pStyle w:val="List2"/>
            </w:pPr>
            <w:r w:rsidRPr="003D4AEC">
              <w:t>3.4.</w:t>
            </w:r>
            <w:r w:rsidRPr="003D4AEC">
              <w:tab/>
              <w:t xml:space="preserve">Product is visually inspected for any signs of spoilage, defects or parasites, and undersize or defective product is identified and set aside for other uses, if appropriate. </w:t>
            </w:r>
          </w:p>
          <w:p w:rsidR="00000000" w:rsidP="003D4AEC">
            <w:pPr>
              <w:pStyle w:val="List2"/>
              <w:rPr>
                <w:lang w:val="en-NZ"/>
              </w:rPr>
            </w:pPr>
            <w:r w:rsidRPr="003D4AEC">
              <w:t>3.5.</w:t>
            </w:r>
            <w:r w:rsidRPr="003D4AEC">
              <w:tab/>
              <w:t xml:space="preserve"> Product is size/weight grade</w:t>
            </w:r>
            <w:r w:rsidRPr="003D4AEC">
              <w:t>d.</w:t>
            </w:r>
          </w:p>
        </w:tc>
      </w:tr>
      <w:tr w:rsidTr="00FE0AC5">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List"/>
              <w:rPr>
                <w:lang w:val="en-NZ"/>
              </w:rPr>
            </w:pPr>
            <w:r w:rsidRPr="003D4AEC">
              <w:t>4.</w:t>
            </w:r>
            <w:r w:rsidRPr="003D4AEC">
              <w:tab/>
              <w:t>Pack half shells or meats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AEC" w:rsidP="003D4AEC">
            <w:pPr>
              <w:pStyle w:val="List2"/>
            </w:pPr>
            <w:r w:rsidRPr="003D4AEC">
              <w:t>4.1.</w:t>
            </w:r>
            <w:r w:rsidRPr="003D4AEC">
              <w:tab/>
              <w:t>Graded half shells or meat are placed into transport containers by weight or number.</w:t>
            </w:r>
          </w:p>
          <w:p w:rsidR="00000000" w:rsidRPr="003D4AEC" w:rsidP="003D4AEC">
            <w:pPr>
              <w:pStyle w:val="List2"/>
            </w:pPr>
            <w:r w:rsidRPr="003D4AEC">
              <w:t>4.2.</w:t>
            </w:r>
            <w:r w:rsidRPr="003D4AEC">
              <w:tab/>
              <w:t>Layers of half shells are separated within the container with plastic sheeting to ensure that no grit is transferred from the sh</w:t>
            </w:r>
            <w:r w:rsidRPr="003D4AEC">
              <w:t>ell to the meat.</w:t>
            </w:r>
          </w:p>
          <w:p w:rsidR="00000000" w:rsidRPr="003D4AEC" w:rsidP="003D4AEC">
            <w:pPr>
              <w:pStyle w:val="List2"/>
            </w:pPr>
            <w:r w:rsidRPr="003D4AEC">
              <w:t>4.3.</w:t>
            </w:r>
            <w:r w:rsidRPr="003D4AEC">
              <w:tab/>
              <w:t xml:space="preserve">Identification and traceability of product is maintained. </w:t>
            </w:r>
          </w:p>
          <w:p w:rsidR="00000000" w:rsidRPr="003D4AEC" w:rsidP="003D4AEC">
            <w:pPr>
              <w:pStyle w:val="List2"/>
            </w:pPr>
            <w:r w:rsidRPr="003D4AEC">
              <w:t>4.4.</w:t>
            </w:r>
            <w:r w:rsidRPr="003D4AEC">
              <w:tab/>
              <w:t>Transport containers of packed half shells or meat are labelled with the date of production and other required information.</w:t>
            </w:r>
          </w:p>
          <w:p w:rsidR="00000000" w:rsidRPr="003D4AEC" w:rsidP="003D4AEC">
            <w:pPr>
              <w:pStyle w:val="List2"/>
            </w:pPr>
            <w:r w:rsidRPr="003D4AEC">
              <w:t>4.5.</w:t>
            </w:r>
            <w:r w:rsidRPr="003D4AEC">
              <w:tab/>
              <w:t>Transport containers of packed half shell</w:t>
            </w:r>
            <w:r w:rsidRPr="003D4AEC">
              <w:t>s or meat are quickly transferred to the chillers to reduce their temperature.</w:t>
            </w:r>
          </w:p>
          <w:p w:rsidR="00000000" w:rsidRPr="003D4AEC" w:rsidP="003D4AEC">
            <w:pPr>
              <w:pStyle w:val="List2"/>
            </w:pPr>
            <w:r w:rsidRPr="003D4AEC">
              <w:t>4.6.</w:t>
            </w:r>
            <w:r w:rsidRPr="003D4AEC">
              <w:tab/>
              <w:t>Identification and traceability of product is maintained according to enterprise food safety program.</w:t>
            </w:r>
          </w:p>
        </w:tc>
      </w:tr>
    </w:tbl>
    <w:p w:rsidR="00FE0AC5" w:rsidP="003D4AEC">
      <w:pPr>
        <w:pStyle w:val="BodyText"/>
      </w:pPr>
    </w:p>
    <w:p w:rsidR="00FE0AC5" w:rsidP="003D4AEC">
      <w:pPr>
        <w:pStyle w:val="BodyText"/>
      </w:pPr>
    </w:p>
    <w:p w:rsidR="00000000" w:rsidRPr="003D4AEC" w:rsidP="003D4AEC">
      <w:pPr>
        <w:pStyle w:val="Heading1"/>
      </w:pPr>
      <w:bookmarkStart w:id="9" w:name="O_261793"/>
      <w:bookmarkEnd w:id="9"/>
      <w:r w:rsidRPr="003D4AEC">
        <w:t>Required Skills and Knowledge</w:t>
      </w:r>
    </w:p>
    <w:tbl>
      <w:tblPr>
        <w:tblW w:w="0" w:type="auto"/>
        <w:tblLayout w:type="fixed"/>
        <w:tblCellMar>
          <w:left w:w="62" w:type="dxa"/>
          <w:right w:w="62" w:type="dxa"/>
        </w:tblCellMar>
        <w:tblLook w:val="0000"/>
      </w:tblPr>
      <w:tblGrid>
        <w:gridCol w:w="8522"/>
      </w:tblGrid>
      <w:tr w:rsidTr="00FE0AC5">
        <w:tblPrEx>
          <w:tblW w:w="0" w:type="auto"/>
          <w:tblLayout w:type="fixed"/>
          <w:tblCellMar>
            <w:left w:w="62" w:type="dxa"/>
            <w:right w:w="62" w:type="dxa"/>
          </w:tblCellMar>
          <w:tblLook w:val="0000"/>
        </w:tblPrEx>
        <w:trPr>
          <w:tblHeader/>
        </w:trPr>
        <w:tc>
          <w:tcPr>
            <w:tcW w:w="8522" w:type="dxa"/>
            <w:tcBorders>
              <w:top w:val="nil"/>
              <w:left w:val="nil"/>
              <w:bottom w:val="single" w:sz="6" w:space="0" w:color="auto"/>
              <w:right w:val="nil"/>
            </w:tcBorders>
            <w:tcMar>
              <w:top w:w="0" w:type="dxa"/>
              <w:left w:w="62" w:type="dxa"/>
              <w:bottom w:w="0" w:type="dxa"/>
              <w:right w:w="62" w:type="dxa"/>
            </w:tcMar>
          </w:tcPr>
          <w:p w:rsidR="00000000" w:rsidP="003D4AEC">
            <w:pPr>
              <w:pStyle w:val="BodyText"/>
              <w:rPr>
                <w:lang w:val="en-NZ"/>
              </w:rPr>
            </w:pPr>
            <w:r w:rsidRPr="003D4AEC">
              <w:rPr>
                <w:rStyle w:val="SpecialBold"/>
              </w:rPr>
              <w:t>REQUIRED SKILLS AND KNOWLEDGE</w:t>
            </w:r>
          </w:p>
        </w:tc>
      </w:tr>
      <w:tr w:rsidTr="00FE0A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t>This section describes the skills and knowledge required for this unit.</w:t>
            </w:r>
          </w:p>
        </w:tc>
      </w:tr>
      <w:tr w:rsidTr="00FE0A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rPr>
                <w:rStyle w:val="SpecialBold"/>
              </w:rPr>
              <w:t>Required skills</w:t>
            </w:r>
          </w:p>
        </w:tc>
      </w:tr>
      <w:tr w:rsidTr="00FE0A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AEC" w:rsidP="003D4AEC">
            <w:pPr>
              <w:pStyle w:val="ListBullet"/>
            </w:pPr>
            <w:r w:rsidRPr="003D4AEC">
              <w:t>accurately using visual size grading</w:t>
            </w:r>
          </w:p>
          <w:p w:rsidR="00000000" w:rsidRPr="003D4AEC" w:rsidP="003D4AEC">
            <w:pPr>
              <w:pStyle w:val="ListBullet"/>
            </w:pPr>
            <w:r w:rsidRPr="003D4AEC">
              <w:t>cleaning and maintaining a hygienic workplace and work area</w:t>
            </w:r>
          </w:p>
          <w:p w:rsidR="00000000" w:rsidRPr="003D4AEC" w:rsidP="003D4AEC">
            <w:pPr>
              <w:pStyle w:val="ListBullet"/>
            </w:pPr>
            <w:r w:rsidRPr="003D4AEC">
              <w:t>communicating orally to give and receive information</w:t>
            </w:r>
          </w:p>
          <w:p w:rsidR="00000000" w:rsidRPr="003D4AEC" w:rsidP="003D4AEC">
            <w:pPr>
              <w:pStyle w:val="ListBullet"/>
            </w:pPr>
            <w:r w:rsidRPr="003D4AEC">
              <w:t>identifying signs of spoilage and common defects, diseases and parasites in molluscs</w:t>
            </w:r>
          </w:p>
          <w:p w:rsidR="00000000" w:rsidRPr="003D4AEC" w:rsidP="003D4AEC">
            <w:pPr>
              <w:pStyle w:val="ListBullet"/>
            </w:pPr>
            <w:r w:rsidRPr="003D4AEC">
              <w:t>identifying species and location of key organs inside the body (e.g. gills, guts, gonad and adductor muscle)</w:t>
            </w:r>
          </w:p>
          <w:p w:rsidR="00000000" w:rsidRPr="003D4AEC" w:rsidP="003D4AEC">
            <w:pPr>
              <w:pStyle w:val="ListBullet"/>
            </w:pPr>
            <w:r w:rsidRPr="003D4AEC">
              <w:t>sharpening knives</w:t>
            </w:r>
          </w:p>
          <w:p w:rsidR="00000000" w:rsidRPr="003D4AEC" w:rsidP="003D4AEC">
            <w:pPr>
              <w:pStyle w:val="ListBullet"/>
            </w:pPr>
            <w:r w:rsidRPr="003D4AEC">
              <w:t>manual dexterity for opening/shucking/trimming live molluscs with minimal damage.</w:t>
            </w:r>
          </w:p>
          <w:p w:rsidR="00000000" w:rsidRPr="003D4AEC" w:rsidP="003D4AEC">
            <w:pPr>
              <w:pStyle w:val="BodyText"/>
            </w:pPr>
          </w:p>
          <w:p w:rsidR="00000000" w:rsidRPr="003D4AEC" w:rsidP="003D4AEC">
            <w:pPr>
              <w:pStyle w:val="BodyText"/>
            </w:pPr>
            <w:r w:rsidRPr="003D4AEC">
              <w:rPr>
                <w:rStyle w:val="SpecialBold"/>
              </w:rPr>
              <w:t>Literacy skills used for</w:t>
            </w:r>
            <w:r w:rsidRPr="003D4AEC">
              <w:t xml:space="preserve">: </w:t>
            </w:r>
          </w:p>
          <w:p w:rsidR="00000000" w:rsidRPr="003D4AEC" w:rsidP="003D4AEC">
            <w:pPr>
              <w:pStyle w:val="ListBullet"/>
            </w:pPr>
            <w:r w:rsidRPr="003D4AEC">
              <w:t>interpreting enterprise procedures</w:t>
            </w:r>
          </w:p>
          <w:p w:rsidR="00000000" w:rsidRPr="003D4AEC" w:rsidP="003D4AEC">
            <w:pPr>
              <w:pStyle w:val="ListBullet"/>
            </w:pPr>
            <w:r w:rsidRPr="003D4AEC">
              <w:t>interpreting productivity and yield specifications.</w:t>
            </w:r>
          </w:p>
          <w:p w:rsidR="00000000" w:rsidRPr="003D4AEC" w:rsidP="003D4AEC">
            <w:pPr>
              <w:pStyle w:val="BodyText"/>
            </w:pPr>
          </w:p>
          <w:p w:rsidR="00000000" w:rsidRPr="003D4AEC" w:rsidP="003D4AEC">
            <w:pPr>
              <w:pStyle w:val="BodyText"/>
            </w:pPr>
            <w:r w:rsidRPr="003D4AEC">
              <w:rPr>
                <w:rStyle w:val="SpecialBold"/>
              </w:rPr>
              <w:t>Numeracy skills used for</w:t>
            </w:r>
            <w:r w:rsidRPr="003D4AEC">
              <w:t xml:space="preserve">: </w:t>
            </w:r>
          </w:p>
          <w:p w:rsidR="00000000" w:rsidRPr="003D4AEC" w:rsidP="003D4AEC">
            <w:pPr>
              <w:pStyle w:val="ListBullet"/>
            </w:pPr>
            <w:r w:rsidRPr="003D4AEC">
              <w:t>counting</w:t>
            </w:r>
          </w:p>
          <w:p w:rsidR="00000000" w:rsidRPr="003D4AEC" w:rsidP="003D4AEC">
            <w:pPr>
              <w:pStyle w:val="ListBullet"/>
            </w:pPr>
            <w:r w:rsidRPr="003D4AEC">
              <w:t>in</w:t>
            </w:r>
            <w:r w:rsidRPr="003D4AEC">
              <w:t>terpreting and apply size grading</w:t>
            </w:r>
          </w:p>
          <w:p w:rsidR="00000000" w:rsidP="003D4AEC">
            <w:pPr>
              <w:pStyle w:val="ListBullet"/>
              <w:rPr>
                <w:lang w:val="en-NZ"/>
              </w:rPr>
            </w:pPr>
            <w:r w:rsidRPr="003D4AEC">
              <w:t>interpreting weighing scales.</w:t>
            </w:r>
          </w:p>
        </w:tc>
      </w:tr>
      <w:tr w:rsidTr="00FE0A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rPr>
                <w:rStyle w:val="SpecialBold"/>
              </w:rPr>
              <w:t>Required knowledge</w:t>
            </w:r>
          </w:p>
        </w:tc>
      </w:tr>
      <w:tr w:rsidTr="00FE0A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AEC" w:rsidP="003D4AEC">
            <w:pPr>
              <w:pStyle w:val="ListBullet"/>
            </w:pPr>
            <w:r w:rsidRPr="003D4AEC">
              <w:t>food safety program requirements for shucking molluscs</w:t>
            </w:r>
          </w:p>
          <w:p w:rsidR="00000000" w:rsidRPr="003D4AEC" w:rsidP="003D4AEC">
            <w:pPr>
              <w:pStyle w:val="ListBullet"/>
            </w:pPr>
            <w:r w:rsidRPr="003D4AEC">
              <w:t>hygienic handling and storage of live seafood intended to be eaten raw or cooked</w:t>
            </w:r>
          </w:p>
          <w:p w:rsidR="00000000" w:rsidRPr="003D4AEC" w:rsidP="003D4AEC">
            <w:pPr>
              <w:pStyle w:val="ListBullet"/>
            </w:pPr>
            <w:r w:rsidRPr="003D4AEC">
              <w:t>personal, workplace and p</w:t>
            </w:r>
            <w:r w:rsidRPr="003D4AEC">
              <w:t>roduct hygiene principles</w:t>
            </w:r>
          </w:p>
          <w:p w:rsidR="00000000" w:rsidRPr="003D4AEC" w:rsidP="003D4AEC">
            <w:pPr>
              <w:pStyle w:val="ListBullet"/>
            </w:pPr>
            <w:r w:rsidRPr="003D4AEC">
              <w:t>quality, productivity and yield specifications</w:t>
            </w:r>
          </w:p>
          <w:p w:rsidR="00000000" w:rsidRPr="003D4AEC" w:rsidP="003D4AEC">
            <w:pPr>
              <w:pStyle w:val="ListBullet"/>
            </w:pPr>
            <w:r w:rsidRPr="003D4AEC">
              <w:t>spoilage pattern and common defects, diseases and parasites for molluscs.</w:t>
            </w:r>
          </w:p>
        </w:tc>
      </w:tr>
    </w:tbl>
    <w:p w:rsidR="00FE0AC5" w:rsidP="003D4AEC">
      <w:pPr>
        <w:pStyle w:val="BodyText"/>
      </w:pPr>
    </w:p>
    <w:p w:rsidR="00FE0AC5" w:rsidP="003D4AEC">
      <w:pPr>
        <w:pStyle w:val="BodyText"/>
      </w:pPr>
    </w:p>
    <w:p w:rsidR="00000000" w:rsidRPr="003D4AEC" w:rsidP="003D4AEC">
      <w:pPr>
        <w:pStyle w:val="AllowPageBreak"/>
      </w:pPr>
    </w:p>
    <w:p w:rsidR="00000000" w:rsidRPr="003D4AEC" w:rsidP="003D4AEC">
      <w:pPr>
        <w:pStyle w:val="Heading1"/>
      </w:pPr>
      <w:bookmarkStart w:id="10" w:name="O_245986"/>
      <w:bookmarkEnd w:id="10"/>
      <w:r w:rsidRPr="003D4AEC">
        <w:t>Evidence Guide</w:t>
      </w:r>
    </w:p>
    <w:tbl>
      <w:tblPr>
        <w:tblW w:w="9570" w:type="dxa"/>
        <w:tblLayout w:type="fixed"/>
        <w:tblCellMar>
          <w:left w:w="62" w:type="dxa"/>
          <w:right w:w="62" w:type="dxa"/>
        </w:tblCellMar>
        <w:tblLook w:val="0000"/>
      </w:tblPr>
      <w:tblGrid>
        <w:gridCol w:w="3908"/>
        <w:gridCol w:w="5662"/>
      </w:tblGrid>
      <w:tr w:rsidTr="00FE0AC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rPr>
                <w:rStyle w:val="SpecialBold"/>
              </w:rPr>
              <w:t>EVIDENCE GUIDE</w:t>
            </w:r>
          </w:p>
        </w:tc>
      </w:tr>
      <w:tr w:rsidTr="00FE0AC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t>The evidence guide provides advice on assessment and must be read in conjunction with the performance criteria, required skills and knowledge, range statement and the Assessment Guidelines for the Training Package.</w:t>
            </w:r>
          </w:p>
        </w:tc>
      </w:tr>
      <w:tr w:rsidTr="00FE0A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p>
        </w:tc>
      </w:tr>
      <w:tr w:rsidTr="00FE0A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AEC" w:rsidP="003D4AEC">
            <w:pPr>
              <w:pStyle w:val="BodyText"/>
            </w:pPr>
            <w:r w:rsidRPr="003D4AEC">
              <w:t xml:space="preserve">Assessment must confirm the ability to: </w:t>
            </w:r>
          </w:p>
          <w:p w:rsidR="00000000" w:rsidRPr="003D4AEC" w:rsidP="003D4AEC">
            <w:pPr>
              <w:pStyle w:val="ListBullet"/>
            </w:pPr>
            <w:r w:rsidRPr="003D4AEC">
              <w:t xml:space="preserve">follow the enterprise food safety program </w:t>
            </w:r>
          </w:p>
          <w:p w:rsidR="00000000" w:rsidRPr="003D4AEC" w:rsidP="003D4AEC">
            <w:pPr>
              <w:pStyle w:val="ListBullet"/>
            </w:pPr>
            <w:r w:rsidRPr="003D4AEC">
              <w:t>identify species and key organs inside animal (e.g. gills, guts, gonad and adducto</w:t>
            </w:r>
            <w:r w:rsidRPr="003D4AEC">
              <w:t>r muscle)</w:t>
            </w:r>
          </w:p>
          <w:p w:rsidR="00000000" w:rsidRPr="003D4AEC" w:rsidP="003D4AEC">
            <w:pPr>
              <w:pStyle w:val="ListBullet"/>
            </w:pPr>
            <w:r w:rsidRPr="003D4AEC">
              <w:t>produce hygienically prepared and packed molluscan meat or meat on half shells that meets customer specifications and food regulations, and are within enterprise yield and productivity requirements</w:t>
            </w:r>
          </w:p>
          <w:p w:rsidR="00000000" w:rsidRPr="003D4AEC" w:rsidP="003D4AEC">
            <w:pPr>
              <w:pStyle w:val="ListBullet"/>
            </w:pPr>
            <w:r w:rsidRPr="003D4AEC">
              <w:t>work safely following enterprise OHS procedures.</w:t>
            </w:r>
          </w:p>
          <w:p w:rsidR="00000000" w:rsidRPr="003D4AEC" w:rsidP="003D4AEC">
            <w:pPr>
              <w:pStyle w:val="BodyText"/>
            </w:pPr>
          </w:p>
          <w:p w:rsidR="00000000" w:rsidRPr="003D4AEC" w:rsidP="003D4AEC">
            <w:pPr>
              <w:pStyle w:val="BodyText"/>
            </w:pPr>
            <w:r w:rsidRPr="003D4AEC">
              <w:t xml:space="preserve">Assessment must confirm knowledge of: </w:t>
            </w:r>
          </w:p>
          <w:p w:rsidR="00000000" w:rsidRPr="003D4AEC" w:rsidP="003D4AEC">
            <w:pPr>
              <w:pStyle w:val="ListBullet"/>
            </w:pPr>
            <w:r w:rsidRPr="003D4AEC">
              <w:t>spoilage pattern of shelled molluscs</w:t>
            </w:r>
          </w:p>
          <w:p w:rsidR="00000000" w:rsidRPr="003D4AEC" w:rsidP="003D4AEC">
            <w:pPr>
              <w:pStyle w:val="ListBullet"/>
            </w:pPr>
            <w:r w:rsidRPr="003D4AEC">
              <w:t>defects, diseases and parasites in shelled molluscs</w:t>
            </w:r>
          </w:p>
          <w:p w:rsidR="00000000" w:rsidP="003D4AEC">
            <w:pPr>
              <w:pStyle w:val="ListBullet"/>
              <w:rPr>
                <w:lang w:val="en-NZ"/>
              </w:rPr>
            </w:pPr>
            <w:r w:rsidRPr="003D4AEC">
              <w:t>enterprise safe work practices, quality and food safety requirements relevant to shucking molluscs.</w:t>
            </w:r>
          </w:p>
        </w:tc>
      </w:tr>
      <w:tr w:rsidTr="00FE0A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AEC" w:rsidP="003D4AEC">
            <w:pPr>
              <w:pStyle w:val="BodyText"/>
            </w:pPr>
            <w:r w:rsidRPr="003D4AEC">
              <w:t xml:space="preserve">Assessment is to be conducted at the workplace or in a simulated work environment. </w:t>
            </w:r>
          </w:p>
          <w:p w:rsidR="00000000" w:rsidRPr="003D4AEC" w:rsidP="003D4AEC">
            <w:pPr>
              <w:pStyle w:val="BodyText"/>
            </w:pPr>
          </w:p>
          <w:p w:rsidR="00000000" w:rsidRPr="003D4AEC" w:rsidP="003D4AEC">
            <w:pPr>
              <w:pStyle w:val="BodyText"/>
            </w:pPr>
            <w:r w:rsidRPr="003D4AEC">
              <w:t xml:space="preserve">Resources may include: </w:t>
            </w:r>
          </w:p>
          <w:p w:rsidR="00000000" w:rsidRPr="003D4AEC" w:rsidP="003D4AEC">
            <w:pPr>
              <w:pStyle w:val="ListBullet"/>
            </w:pPr>
            <w:r w:rsidRPr="003D4AEC">
              <w:t>clean packing cases</w:t>
            </w:r>
          </w:p>
          <w:p w:rsidR="00000000" w:rsidRPr="003D4AEC" w:rsidP="003D4AEC">
            <w:pPr>
              <w:pStyle w:val="ListBullet"/>
            </w:pPr>
            <w:r w:rsidRPr="003D4AEC">
              <w:t>knives, baskets, waste tubs and running potable water</w:t>
            </w:r>
          </w:p>
          <w:p w:rsidR="00000000" w:rsidRPr="003D4AEC" w:rsidP="003D4AEC">
            <w:pPr>
              <w:pStyle w:val="ListBullet"/>
            </w:pPr>
            <w:r w:rsidRPr="003D4AEC">
              <w:t>opening bench</w:t>
            </w:r>
          </w:p>
          <w:p w:rsidR="00000000" w:rsidRPr="003D4AEC" w:rsidP="003D4AEC">
            <w:pPr>
              <w:pStyle w:val="ListBullet"/>
            </w:pPr>
            <w:r w:rsidRPr="003D4AEC">
              <w:t>product (</w:t>
            </w:r>
            <w:r w:rsidRPr="003D4AEC">
              <w:t>bivalves or abalone)</w:t>
            </w:r>
          </w:p>
          <w:p w:rsidR="00000000" w:rsidP="003D4AEC">
            <w:pPr>
              <w:pStyle w:val="ListBullet"/>
              <w:rPr>
                <w:lang w:val="en-NZ"/>
              </w:rPr>
            </w:pPr>
            <w:r w:rsidRPr="003D4AEC">
              <w:t>washing tubs.</w:t>
            </w:r>
          </w:p>
        </w:tc>
      </w:tr>
      <w:tr w:rsidTr="00FE0A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AEC" w:rsidP="003D4AEC">
            <w:pPr>
              <w:pStyle w:val="BodyText"/>
            </w:pPr>
            <w:r w:rsidRPr="003D4AEC">
              <w:t xml:space="preserve">The following assessment methods are suggested: </w:t>
            </w:r>
          </w:p>
          <w:p w:rsidR="00000000" w:rsidRPr="003D4AEC" w:rsidP="003D4AEC">
            <w:pPr>
              <w:pStyle w:val="ListBullet"/>
            </w:pPr>
            <w:r w:rsidRPr="003D4AEC">
              <w:t>demonstration</w:t>
            </w:r>
          </w:p>
          <w:p w:rsidR="00000000" w:rsidP="003D4AEC">
            <w:pPr>
              <w:pStyle w:val="ListBullet"/>
              <w:rPr>
                <w:lang w:val="en-NZ"/>
              </w:rPr>
            </w:pPr>
            <w:r w:rsidRPr="003D4AEC">
              <w:t>oral questions.</w:t>
            </w:r>
          </w:p>
        </w:tc>
      </w:tr>
      <w:tr w:rsidTr="00FE0A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AEC" w:rsidP="003D4AEC">
            <w:pPr>
              <w:pStyle w:val="BodyText"/>
            </w:pPr>
            <w:r w:rsidRPr="003D4AEC">
              <w:t>This unit may be assessed holistically with other units within a qualification.</w:t>
            </w:r>
          </w:p>
        </w:tc>
      </w:tr>
    </w:tbl>
    <w:p w:rsidR="00FE0AC5" w:rsidP="003D4AEC">
      <w:pPr>
        <w:pStyle w:val="BodyText"/>
      </w:pPr>
    </w:p>
    <w:p w:rsidR="00FE0AC5" w:rsidP="003D4AEC">
      <w:pPr>
        <w:pStyle w:val="BodyText"/>
      </w:pPr>
    </w:p>
    <w:p w:rsidR="00000000" w:rsidRPr="003D4AEC" w:rsidP="003D4AEC">
      <w:pPr>
        <w:pStyle w:val="Heading1"/>
      </w:pPr>
      <w:bookmarkStart w:id="11" w:name="O_253969"/>
      <w:bookmarkEnd w:id="11"/>
      <w:r w:rsidRPr="003D4AEC">
        <w:t>Range Statement</w:t>
      </w:r>
    </w:p>
    <w:tbl>
      <w:tblPr>
        <w:tblW w:w="0" w:type="auto"/>
        <w:tblLayout w:type="fixed"/>
        <w:tblCellMar>
          <w:left w:w="62" w:type="dxa"/>
          <w:right w:w="62" w:type="dxa"/>
        </w:tblCellMar>
        <w:tblLook w:val="0000"/>
      </w:tblPr>
      <w:tblGrid>
        <w:gridCol w:w="3444"/>
        <w:gridCol w:w="5078"/>
      </w:tblGrid>
      <w:tr w:rsidTr="00FE0AC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rPr>
                <w:rStyle w:val="SpecialBold"/>
              </w:rPr>
              <w:t>RANGE STATEMENT</w:t>
            </w:r>
          </w:p>
        </w:tc>
      </w:tr>
      <w:tr w:rsidTr="00FE0AC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t xml:space="preserve">The range statement relates to the unit of competency as a whole. It allows for different work environments and situations that may affect </w:t>
            </w:r>
            <w:r w:rsidRPr="003D4AEC">
              <w:t>performance. Bold italicised wording, if used in the performance criteria, is detailed below. Essential operating conditions that may be present with training and assessment (depending on the work situation, needs of the candidate, accessibility of the ite</w:t>
            </w:r>
            <w:r w:rsidRPr="003D4AEC">
              <w:t>m, and local industry and regional contexts) may also be included.</w:t>
            </w:r>
          </w:p>
        </w:tc>
      </w:tr>
      <w:tr w:rsidTr="00FE0AC5">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rPr>
                <w:rStyle w:val="BoldandItalics"/>
              </w:rPr>
              <w:t>Relevant government regulations</w:t>
            </w:r>
            <w:r w:rsidRPr="003D4AEC">
              <w:t xml:space="preserve">, </w:t>
            </w:r>
            <w:r w:rsidRPr="003D4AEC">
              <w:rPr>
                <w:rStyle w:val="BoldandItalics"/>
              </w:rPr>
              <w:t>licensing and other compliance requirements</w:t>
            </w:r>
            <w:r w:rsidRPr="003D4AEC">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AEC" w:rsidP="003D4AEC">
            <w:pPr>
              <w:pStyle w:val="ListBullet"/>
            </w:pPr>
            <w:r w:rsidRPr="003D4AEC">
              <w:t>business or workplace operations, policies and practices</w:t>
            </w:r>
          </w:p>
          <w:p w:rsidR="00000000" w:rsidRPr="003D4AEC" w:rsidP="003D4AEC">
            <w:pPr>
              <w:pStyle w:val="ListBullet"/>
            </w:pPr>
            <w:r w:rsidRPr="003D4AEC">
              <w:t>correct marketing names and labelling</w:t>
            </w:r>
          </w:p>
          <w:p w:rsidR="00000000" w:rsidRPr="003D4AEC" w:rsidP="003D4AEC">
            <w:pPr>
              <w:pStyle w:val="ListBullet"/>
            </w:pPr>
            <w:r w:rsidRPr="003D4AEC">
              <w:t>environmental hazard identification, risk assessment and control</w:t>
            </w:r>
          </w:p>
          <w:p w:rsidR="00000000" w:rsidRPr="003D4AEC" w:rsidP="003D4AEC">
            <w:pPr>
              <w:pStyle w:val="ListBullet"/>
            </w:pPr>
            <w:r w:rsidRPr="003D4AEC">
              <w:t>food safety/Hazard Analysis and Critical Control Point (HACCP), hygiene and temperature control along chain of custody and Australian Quarantine Inspection Service (AQIS) Export Control (Fish</w:t>
            </w:r>
            <w:r w:rsidRPr="003D4AEC">
              <w:t>) orders</w:t>
            </w:r>
          </w:p>
          <w:p w:rsidR="00000000" w:rsidP="003D4AEC">
            <w:pPr>
              <w:pStyle w:val="ListBullet"/>
              <w:rPr>
                <w:lang w:val="en-NZ"/>
              </w:rPr>
            </w:pPr>
            <w:r w:rsidRPr="003D4AEC">
              <w:t>OH) hazard identification, risk assessment and control.</w:t>
            </w:r>
          </w:p>
        </w:tc>
      </w:tr>
      <w:tr w:rsidTr="00FE0AC5">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rPr>
                <w:rStyle w:val="BoldandItalics"/>
              </w:rPr>
              <w:t>OHS guidelines</w:t>
            </w:r>
            <w:r w:rsidRPr="003D4AEC">
              <w:t xml:space="preserve"> may include: </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AEC" w:rsidP="003D4AEC">
            <w:pPr>
              <w:pStyle w:val="ListBullet"/>
            </w:pPr>
            <w:r w:rsidRPr="003D4AEC">
              <w:t>appropriate workplace provision of first aid kits and fire extinguishers</w:t>
            </w:r>
          </w:p>
          <w:p w:rsidR="00000000" w:rsidRPr="003D4AEC" w:rsidP="003D4AEC">
            <w:pPr>
              <w:pStyle w:val="ListBullet"/>
            </w:pPr>
            <w:r w:rsidRPr="003D4AEC">
              <w:t>clean, uncluttered, hygienic workplace</w:t>
            </w:r>
          </w:p>
          <w:p w:rsidR="00000000" w:rsidRPr="003D4AEC" w:rsidP="003D4AEC">
            <w:pPr>
              <w:pStyle w:val="ListBullet"/>
            </w:pPr>
            <w:r w:rsidRPr="003D4AEC">
              <w:t>codes of practice, regulations and/or guidance n</w:t>
            </w:r>
            <w:r w:rsidRPr="003D4AEC">
              <w:t>otes which may apply in a jurisdiction or industry sector</w:t>
            </w:r>
          </w:p>
          <w:p w:rsidR="00000000" w:rsidRPr="003D4AEC" w:rsidP="003D4AEC">
            <w:pPr>
              <w:pStyle w:val="ListBullet"/>
            </w:pPr>
            <w:r w:rsidRPr="003D4AEC">
              <w:t>enterprise-specific OHS procedures, policies or standards</w:t>
            </w:r>
          </w:p>
          <w:p w:rsidR="00000000" w:rsidRPr="003D4AEC" w:rsidP="003D4AEC">
            <w:pPr>
              <w:pStyle w:val="ListBullet"/>
            </w:pPr>
            <w:r w:rsidRPr="003D4AEC">
              <w:t>hazard and risk assessment of workplace, maintenance activities and control measures</w:t>
            </w:r>
          </w:p>
          <w:p w:rsidR="00000000" w:rsidRPr="003D4AEC" w:rsidP="003D4AEC">
            <w:pPr>
              <w:pStyle w:val="ListBullet"/>
            </w:pPr>
            <w:r w:rsidRPr="003D4AEC">
              <w:t>induction or training of staff, contractors and visitor</w:t>
            </w:r>
            <w:r w:rsidRPr="003D4AEC">
              <w:t xml:space="preserve">s in relevant OHS procedures and/or requirements to allow them to carry out their duties in a safe manner </w:t>
            </w:r>
          </w:p>
          <w:p w:rsidR="00000000" w:rsidRPr="003D4AEC" w:rsidP="003D4AEC">
            <w:pPr>
              <w:pStyle w:val="ListBullet"/>
            </w:pPr>
            <w:r w:rsidRPr="003D4AEC">
              <w:t>OHS training register</w:t>
            </w:r>
          </w:p>
          <w:p w:rsidR="00000000" w:rsidRPr="003D4AEC" w:rsidP="003D4AEC">
            <w:pPr>
              <w:pStyle w:val="ListBullet"/>
            </w:pPr>
            <w:r w:rsidRPr="003D4AEC">
              <w:t>safe lifting, carrying and handling techniques, including manual handling, and the handling and storage of hazardous substances</w:t>
            </w:r>
          </w:p>
          <w:p w:rsidR="00000000" w:rsidRPr="003D4AEC" w:rsidP="003D4AEC">
            <w:pPr>
              <w:pStyle w:val="ListBullet"/>
            </w:pPr>
            <w:r w:rsidRPr="003D4AEC">
              <w:t>safe systems and procedures for the protection of people in the workplace</w:t>
            </w:r>
          </w:p>
          <w:p w:rsidR="00000000" w:rsidP="003D4AEC">
            <w:pPr>
              <w:pStyle w:val="ListBullet"/>
              <w:rPr>
                <w:lang w:val="en-NZ"/>
              </w:rPr>
            </w:pPr>
            <w:r w:rsidRPr="003D4AEC">
              <w:t>the appropriate use, maintenance and storage of PPE.</w:t>
            </w:r>
          </w:p>
        </w:tc>
      </w:tr>
      <w:tr w:rsidTr="00FE0AC5">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rPr>
                <w:rStyle w:val="BoldandItalics"/>
              </w:rPr>
              <w:t>Food safety and hygiene regulations and procedures</w:t>
            </w:r>
            <w:r w:rsidRPr="003D4AEC">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AEC" w:rsidP="003D4AEC">
            <w:pPr>
              <w:pStyle w:val="ListBullet"/>
            </w:pPr>
            <w:r w:rsidRPr="003D4AEC">
              <w:t>AQIS Export Control (Fish) orders</w:t>
            </w:r>
          </w:p>
          <w:p w:rsidR="00000000" w:rsidRPr="003D4AEC" w:rsidP="003D4AEC">
            <w:pPr>
              <w:pStyle w:val="ListBullet"/>
            </w:pPr>
            <w:r w:rsidRPr="003D4AEC">
              <w:t>Australian Shellfish Sanitation program</w:t>
            </w:r>
          </w:p>
          <w:p w:rsidR="00000000" w:rsidRPr="003D4AEC" w:rsidP="003D4AEC">
            <w:pPr>
              <w:pStyle w:val="ListBullet"/>
            </w:pPr>
            <w:r w:rsidRPr="003D4AEC">
              <w:t>chain of custody (temperature and contamination control)</w:t>
            </w:r>
          </w:p>
          <w:p w:rsidR="00000000" w:rsidRPr="003D4AEC" w:rsidP="003D4AEC">
            <w:pPr>
              <w:pStyle w:val="ListBullet"/>
            </w:pPr>
            <w:r w:rsidRPr="003D4AEC">
              <w:t xml:space="preserve">equipment design, use and maintenance </w:t>
            </w:r>
          </w:p>
          <w:p w:rsidR="00000000" w:rsidRPr="003D4AEC" w:rsidP="003D4AEC">
            <w:pPr>
              <w:pStyle w:val="ListBullet"/>
            </w:pPr>
            <w:r w:rsidRPr="003D4AEC">
              <w:t>HACCP</w:t>
            </w:r>
          </w:p>
          <w:p w:rsidR="00000000" w:rsidRPr="003D4AEC" w:rsidP="003D4AEC">
            <w:pPr>
              <w:pStyle w:val="ListBullet"/>
            </w:pPr>
            <w:r w:rsidRPr="003D4AEC">
              <w:t>hygiene and sanitation requirements</w:t>
            </w:r>
          </w:p>
          <w:p w:rsidR="00000000" w:rsidRPr="003D4AEC" w:rsidP="003D4AEC">
            <w:pPr>
              <w:pStyle w:val="ListBullet"/>
            </w:pPr>
            <w:r w:rsidRPr="003D4AEC">
              <w:t xml:space="preserve">location, construction and servicing of seafood premises </w:t>
            </w:r>
          </w:p>
          <w:p w:rsidR="00000000" w:rsidRPr="003D4AEC" w:rsidP="003D4AEC">
            <w:pPr>
              <w:pStyle w:val="ListBullet"/>
            </w:pPr>
            <w:r w:rsidRPr="003D4AEC">
              <w:t>Primary Products Sta</w:t>
            </w:r>
            <w:r w:rsidRPr="003D4AEC">
              <w:t xml:space="preserve">ndard and the Australian Seafood Standard (voluntary) </w:t>
            </w:r>
          </w:p>
          <w:p w:rsidR="00000000" w:rsidP="003D4AEC">
            <w:pPr>
              <w:pStyle w:val="ListBullet"/>
              <w:rPr>
                <w:lang w:val="en-NZ"/>
              </w:rPr>
            </w:pPr>
            <w:r w:rsidRPr="003D4AEC">
              <w:t>requirements set out in Australian and New Zealand Food Authority (ANZFA) Food Standards Code.</w:t>
            </w:r>
          </w:p>
        </w:tc>
      </w:tr>
      <w:tr w:rsidTr="00FE0AC5">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rPr>
                <w:rStyle w:val="BoldandItalics"/>
              </w:rPr>
              <w:t>ESD principles</w:t>
            </w:r>
            <w:r w:rsidRPr="003D4AEC">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AEC" w:rsidP="003D4AEC">
            <w:pPr>
              <w:pStyle w:val="ListBullet"/>
            </w:pPr>
            <w:r w:rsidRPr="003D4AEC">
              <w:t>controlling effluents, chemical residues, contaminants, wastes and pollution</w:t>
            </w:r>
            <w:r w:rsidRPr="003D4AEC">
              <w:t xml:space="preserve"> </w:t>
            </w:r>
          </w:p>
          <w:p w:rsidR="00000000" w:rsidRPr="003D4AEC" w:rsidP="003D4AEC">
            <w:pPr>
              <w:pStyle w:val="ListBullet"/>
            </w:pPr>
            <w:r w:rsidRPr="003D4AEC">
              <w:t>improving energy efficiency</w:t>
            </w:r>
          </w:p>
          <w:p w:rsidR="00000000" w:rsidRPr="003D4AEC" w:rsidP="003D4AEC">
            <w:pPr>
              <w:pStyle w:val="ListBullet"/>
            </w:pPr>
            <w:r w:rsidRPr="003D4AEC">
              <w:t>increasing use of renewable, recyclable and recoverable resources</w:t>
            </w:r>
          </w:p>
          <w:p w:rsidR="00000000" w:rsidRPr="003D4AEC" w:rsidP="003D4AEC">
            <w:pPr>
              <w:pStyle w:val="ListBullet"/>
            </w:pPr>
            <w:r w:rsidRPr="003D4AEC">
              <w:t>minimising noise or odour emissions</w:t>
            </w:r>
          </w:p>
          <w:p w:rsidR="00000000" w:rsidRPr="003D4AEC" w:rsidP="003D4AEC">
            <w:pPr>
              <w:pStyle w:val="ListBullet"/>
            </w:pPr>
            <w:r w:rsidRPr="003D4AEC">
              <w:t>reducing emissions of greenhouse gases</w:t>
            </w:r>
          </w:p>
          <w:p w:rsidR="00000000" w:rsidRPr="003D4AEC" w:rsidP="003D4AEC">
            <w:pPr>
              <w:pStyle w:val="ListBullet"/>
            </w:pPr>
            <w:r w:rsidRPr="003D4AEC">
              <w:t>reducing energy use</w:t>
            </w:r>
          </w:p>
          <w:p w:rsidR="00000000" w:rsidRPr="003D4AEC" w:rsidP="003D4AEC">
            <w:pPr>
              <w:pStyle w:val="ListBullet"/>
            </w:pPr>
            <w:r w:rsidRPr="003D4AEC">
              <w:t>reducing use of non-renewable resources</w:t>
            </w:r>
          </w:p>
          <w:p w:rsidR="00000000" w:rsidRPr="003D4AEC" w:rsidP="003D4AEC">
            <w:pPr>
              <w:pStyle w:val="ListBullet"/>
            </w:pPr>
            <w:r w:rsidRPr="003D4AEC">
              <w:t xml:space="preserve">undertaking environmental hazard identification, risk assessment and control </w:t>
            </w:r>
          </w:p>
          <w:p w:rsidR="00000000" w:rsidP="003D4AEC">
            <w:pPr>
              <w:pStyle w:val="ListBullet"/>
              <w:rPr>
                <w:lang w:val="en-NZ"/>
              </w:rPr>
            </w:pPr>
            <w:r w:rsidRPr="003D4AEC">
              <w:t>using and recycling of water, and maintaining water quality.</w:t>
            </w:r>
          </w:p>
        </w:tc>
      </w:tr>
      <w:tr w:rsidTr="00FE0AC5">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rPr>
                <w:rStyle w:val="BoldandItalics"/>
              </w:rPr>
              <w:t>PPE</w:t>
            </w:r>
            <w:r w:rsidRPr="003D4AEC">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AEC" w:rsidP="003D4AEC">
            <w:pPr>
              <w:pStyle w:val="ListBullet"/>
            </w:pPr>
            <w:r w:rsidRPr="003D4AEC">
              <w:t>gloves, mitts or gauntlets, and protective hand and arm covering</w:t>
            </w:r>
          </w:p>
          <w:p w:rsidR="00000000" w:rsidRPr="003D4AEC" w:rsidP="003D4AEC">
            <w:pPr>
              <w:pStyle w:val="ListBullet"/>
            </w:pPr>
            <w:r w:rsidRPr="003D4AEC">
              <w:t>insulated protective clothing for</w:t>
            </w:r>
            <w:r w:rsidRPr="003D4AEC">
              <w:t xml:space="preserve"> freezers or chillers and refrigeration units</w:t>
            </w:r>
          </w:p>
          <w:p w:rsidR="00000000" w:rsidRPr="003D4AEC" w:rsidP="003D4AEC">
            <w:pPr>
              <w:pStyle w:val="ListBullet"/>
            </w:pPr>
            <w:r w:rsidRPr="003D4AEC">
              <w:t>non-slip and waterproof boots (gumboots) or other safety footwear</w:t>
            </w:r>
          </w:p>
          <w:p w:rsidR="00000000" w:rsidRPr="003D4AEC" w:rsidP="003D4AEC">
            <w:pPr>
              <w:pStyle w:val="ListBullet"/>
            </w:pPr>
            <w:r w:rsidRPr="003D4AEC">
              <w:t>protective hair, beard and boot covers</w:t>
            </w:r>
          </w:p>
          <w:p w:rsidR="00000000" w:rsidP="003D4AEC">
            <w:pPr>
              <w:pStyle w:val="ListBullet"/>
              <w:rPr>
                <w:lang w:val="en-NZ"/>
              </w:rPr>
            </w:pPr>
            <w:r w:rsidRPr="003D4AEC">
              <w:t>uniforms, overalls or protective clothing (e.g. mesh and waterproof aprons).</w:t>
            </w:r>
          </w:p>
        </w:tc>
      </w:tr>
      <w:tr w:rsidTr="00FE0AC5">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rPr>
                <w:rStyle w:val="BoldandItalics"/>
              </w:rPr>
              <w:t>Equipment</w:t>
            </w:r>
            <w:r w:rsidRPr="003D4AEC">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AEC" w:rsidP="003D4AEC">
            <w:pPr>
              <w:pStyle w:val="ListBullet"/>
            </w:pPr>
            <w:r w:rsidRPr="003D4AEC">
              <w:t>freezer trays</w:t>
            </w:r>
          </w:p>
          <w:p w:rsidR="00000000" w:rsidRPr="003D4AEC" w:rsidP="003D4AEC">
            <w:pPr>
              <w:pStyle w:val="ListBullet"/>
            </w:pPr>
            <w:r w:rsidRPr="003D4AEC">
              <w:t>ice slurries</w:t>
            </w:r>
          </w:p>
          <w:p w:rsidR="00000000" w:rsidRPr="003D4AEC" w:rsidP="003D4AEC">
            <w:pPr>
              <w:pStyle w:val="ListBullet"/>
            </w:pPr>
            <w:r w:rsidRPr="003D4AEC">
              <w:t>interleaving plastic material</w:t>
            </w:r>
          </w:p>
          <w:p w:rsidR="00000000" w:rsidRPr="003D4AEC" w:rsidP="003D4AEC">
            <w:pPr>
              <w:pStyle w:val="ListBullet"/>
            </w:pPr>
            <w:r w:rsidRPr="003D4AEC">
              <w:t>labels</w:t>
            </w:r>
          </w:p>
          <w:p w:rsidR="00000000" w:rsidRPr="003D4AEC" w:rsidP="003D4AEC">
            <w:pPr>
              <w:pStyle w:val="ListBullet"/>
            </w:pPr>
            <w:r w:rsidRPr="003D4AEC">
              <w:t>opening bench or board</w:t>
            </w:r>
          </w:p>
          <w:p w:rsidR="00000000" w:rsidRPr="003D4AEC" w:rsidP="003D4AEC">
            <w:pPr>
              <w:pStyle w:val="ListBullet"/>
            </w:pPr>
            <w:r w:rsidRPr="003D4AEC">
              <w:t>packing cases</w:t>
            </w:r>
          </w:p>
          <w:p w:rsidR="00000000" w:rsidRPr="003D4AEC" w:rsidP="003D4AEC">
            <w:pPr>
              <w:pStyle w:val="ListBullet"/>
            </w:pPr>
            <w:r w:rsidRPr="003D4AEC">
              <w:t>potable running water</w:t>
            </w:r>
          </w:p>
          <w:p w:rsidR="00000000" w:rsidRPr="003D4AEC" w:rsidP="003D4AEC">
            <w:pPr>
              <w:pStyle w:val="ListBullet"/>
            </w:pPr>
            <w:r w:rsidRPr="003D4AEC">
              <w:t>scales</w:t>
            </w:r>
          </w:p>
          <w:p w:rsidR="00000000" w:rsidRPr="003D4AEC" w:rsidP="003D4AEC">
            <w:pPr>
              <w:pStyle w:val="ListBullet"/>
            </w:pPr>
            <w:r w:rsidRPr="003D4AEC">
              <w:t>shucking knife</w:t>
            </w:r>
          </w:p>
          <w:p w:rsidR="00000000" w:rsidRPr="003D4AEC" w:rsidP="003D4AEC">
            <w:pPr>
              <w:pStyle w:val="ListBullet"/>
            </w:pPr>
            <w:r w:rsidRPr="003D4AEC">
              <w:t>storage bottles and cans</w:t>
            </w:r>
          </w:p>
          <w:p w:rsidR="00000000" w:rsidP="003D4AEC">
            <w:pPr>
              <w:pStyle w:val="ListBullet"/>
              <w:rPr>
                <w:lang w:val="en-NZ"/>
              </w:rPr>
            </w:pPr>
            <w:r w:rsidRPr="003D4AEC">
              <w:t>tumbling machine/box.</w:t>
            </w:r>
          </w:p>
        </w:tc>
      </w:tr>
      <w:tr w:rsidTr="00FE0AC5">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rPr>
                <w:rStyle w:val="BoldandItalics"/>
              </w:rPr>
              <w:t>Product</w:t>
            </w:r>
            <w:r w:rsidRPr="003D4AEC">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AEC" w:rsidP="003D4AEC">
            <w:pPr>
              <w:pStyle w:val="ListBullet"/>
            </w:pPr>
            <w:r w:rsidRPr="003D4AEC">
              <w:t>form:</w:t>
            </w:r>
          </w:p>
          <w:p w:rsidR="00000000" w:rsidRPr="003D4AEC" w:rsidP="003D4AEC">
            <w:pPr>
              <w:pStyle w:val="ListBullet2"/>
            </w:pPr>
            <w:r w:rsidRPr="003D4AEC">
              <w:t>bottled</w:t>
            </w:r>
          </w:p>
          <w:p w:rsidR="00000000" w:rsidRPr="003D4AEC" w:rsidP="003D4AEC">
            <w:pPr>
              <w:pStyle w:val="ListBullet2"/>
            </w:pPr>
            <w:r w:rsidRPr="003D4AEC">
              <w:t>canned</w:t>
            </w:r>
          </w:p>
          <w:p w:rsidR="00000000" w:rsidRPr="003D4AEC" w:rsidP="003D4AEC">
            <w:pPr>
              <w:pStyle w:val="ListBullet2"/>
            </w:pPr>
            <w:r w:rsidRPr="003D4AEC">
              <w:t>fresh</w:t>
            </w:r>
          </w:p>
          <w:p w:rsidR="00000000" w:rsidRPr="003D4AEC" w:rsidP="003D4AEC">
            <w:pPr>
              <w:pStyle w:val="ListBullet2"/>
            </w:pPr>
            <w:r w:rsidRPr="003D4AEC">
              <w:t>frozen</w:t>
            </w:r>
          </w:p>
          <w:p w:rsidR="00000000" w:rsidRPr="003D4AEC" w:rsidP="003D4AEC">
            <w:pPr>
              <w:pStyle w:val="ListBullet2"/>
            </w:pPr>
            <w:r w:rsidRPr="003D4AEC">
              <w:t>half shell or meat only (shell-less)</w:t>
            </w:r>
          </w:p>
          <w:p w:rsidR="00000000" w:rsidRPr="003D4AEC" w:rsidP="003D4AEC">
            <w:pPr>
              <w:pStyle w:val="ListBullet"/>
            </w:pPr>
            <w:r w:rsidRPr="003D4AEC">
              <w:t>species:</w:t>
            </w:r>
          </w:p>
          <w:p w:rsidR="00000000" w:rsidRPr="003D4AEC" w:rsidP="003D4AEC">
            <w:pPr>
              <w:pStyle w:val="ListBullet2"/>
            </w:pPr>
            <w:r w:rsidRPr="003D4AEC">
              <w:t>bivalves:</w:t>
            </w:r>
          </w:p>
          <w:p w:rsidR="00000000" w:rsidRPr="003D4AEC" w:rsidP="003D4AEC">
            <w:pPr>
              <w:pStyle w:val="ListBullet3"/>
            </w:pPr>
            <w:r w:rsidRPr="003D4AEC">
              <w:t xml:space="preserve">clams or cockles </w:t>
            </w:r>
          </w:p>
          <w:p w:rsidR="00000000" w:rsidRPr="003D4AEC" w:rsidP="003D4AEC">
            <w:pPr>
              <w:pStyle w:val="ListBullet3"/>
            </w:pPr>
            <w:r w:rsidRPr="003D4AEC">
              <w:t xml:space="preserve">mussels </w:t>
            </w:r>
          </w:p>
          <w:p w:rsidR="00000000" w:rsidRPr="003D4AEC" w:rsidP="003D4AEC">
            <w:pPr>
              <w:pStyle w:val="ListBullet3"/>
            </w:pPr>
            <w:r w:rsidRPr="003D4AEC">
              <w:t xml:space="preserve">oysters </w:t>
            </w:r>
          </w:p>
          <w:p w:rsidR="00000000" w:rsidRPr="003D4AEC" w:rsidP="003D4AEC">
            <w:pPr>
              <w:pStyle w:val="ListBullet3"/>
            </w:pPr>
            <w:r w:rsidRPr="003D4AEC">
              <w:t>scallops</w:t>
            </w:r>
          </w:p>
          <w:p w:rsidR="00000000" w:rsidRPr="003D4AEC" w:rsidP="003D4AEC">
            <w:pPr>
              <w:pStyle w:val="ListBullet2"/>
            </w:pPr>
            <w:r w:rsidRPr="003D4AEC">
              <w:t>gastropods:</w:t>
            </w:r>
          </w:p>
          <w:p w:rsidR="00000000" w:rsidP="003D4AEC">
            <w:pPr>
              <w:pStyle w:val="ListBullet3"/>
              <w:rPr>
                <w:lang w:val="en-NZ"/>
              </w:rPr>
            </w:pPr>
            <w:r w:rsidRPr="003D4AEC">
              <w:t>abalone.</w:t>
            </w:r>
          </w:p>
        </w:tc>
      </w:tr>
      <w:tr w:rsidTr="00FE0AC5">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rPr>
                <w:rStyle w:val="BoldandItalics"/>
              </w:rPr>
              <w:t>Productivity and yield specifications</w:t>
            </w:r>
            <w:r w:rsidRPr="003D4AEC">
              <w:t xml:space="preserve"> may include: </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AEC" w:rsidP="003D4AEC">
            <w:pPr>
              <w:pStyle w:val="ListBullet"/>
            </w:pPr>
            <w:r w:rsidRPr="003D4AEC">
              <w:t>bivalve half shell yields</w:t>
            </w:r>
          </w:p>
          <w:p w:rsidR="00000000" w:rsidRPr="003D4AEC" w:rsidP="003D4AEC">
            <w:pPr>
              <w:pStyle w:val="ListBullet"/>
            </w:pPr>
            <w:r w:rsidRPr="003D4AEC">
              <w:t>case size, such as 10 dozen</w:t>
            </w:r>
          </w:p>
          <w:p w:rsidR="00000000" w:rsidRPr="003D4AEC" w:rsidP="003D4AEC">
            <w:pPr>
              <w:pStyle w:val="ListBullet"/>
            </w:pPr>
            <w:r w:rsidRPr="003D4AEC">
              <w:t>colour</w:t>
            </w:r>
          </w:p>
          <w:p w:rsidR="00000000" w:rsidRPr="003D4AEC" w:rsidP="003D4AEC">
            <w:pPr>
              <w:pStyle w:val="ListBullet"/>
            </w:pPr>
            <w:r w:rsidRPr="003D4AEC">
              <w:t>half shell size grades</w:t>
            </w:r>
          </w:p>
          <w:p w:rsidR="00000000" w:rsidRPr="003D4AEC" w:rsidP="003D4AEC">
            <w:pPr>
              <w:pStyle w:val="ListBullet"/>
            </w:pPr>
            <w:r w:rsidRPr="003D4AEC">
              <w:t>meat yields:</w:t>
            </w:r>
          </w:p>
          <w:p w:rsidR="00000000" w:rsidRPr="003D4AEC" w:rsidP="003D4AEC">
            <w:pPr>
              <w:pStyle w:val="ListBullet2"/>
            </w:pPr>
            <w:r w:rsidRPr="003D4AEC">
              <w:t>condition</w:t>
            </w:r>
          </w:p>
          <w:p w:rsidR="00000000" w:rsidRPr="003D4AEC" w:rsidP="003D4AEC">
            <w:pPr>
              <w:pStyle w:val="ListBullet2"/>
            </w:pPr>
            <w:r w:rsidRPr="003D4AEC">
              <w:t>fat content</w:t>
            </w:r>
          </w:p>
          <w:p w:rsidR="00000000" w:rsidRPr="003D4AEC" w:rsidP="003D4AEC">
            <w:pPr>
              <w:pStyle w:val="ListBullet2"/>
            </w:pPr>
            <w:r w:rsidRPr="003D4AEC">
              <w:t>fullness</w:t>
            </w:r>
          </w:p>
          <w:p w:rsidR="00000000" w:rsidRPr="003D4AEC" w:rsidP="003D4AEC">
            <w:pPr>
              <w:pStyle w:val="ListBullet2"/>
            </w:pPr>
            <w:r w:rsidRPr="003D4AEC">
              <w:t>size</w:t>
            </w:r>
          </w:p>
          <w:p w:rsidR="00000000" w:rsidRPr="003D4AEC" w:rsidP="003D4AEC">
            <w:pPr>
              <w:pStyle w:val="ListBullet2"/>
            </w:pPr>
            <w:r w:rsidRPr="003D4AEC">
              <w:t>weight</w:t>
            </w:r>
          </w:p>
          <w:p w:rsidR="00000000" w:rsidRPr="003D4AEC" w:rsidP="003D4AEC">
            <w:pPr>
              <w:pStyle w:val="ListBullet"/>
            </w:pPr>
            <w:r w:rsidRPr="003D4AEC">
              <w:t>opening or shucking rates</w:t>
            </w:r>
          </w:p>
          <w:p w:rsidR="00000000" w:rsidRPr="003D4AEC" w:rsidP="003D4AEC">
            <w:pPr>
              <w:pStyle w:val="ListBullet"/>
            </w:pPr>
            <w:r w:rsidRPr="003D4AEC">
              <w:t>trimmings:</w:t>
            </w:r>
          </w:p>
          <w:p w:rsidR="00000000" w:rsidRPr="003D4AEC" w:rsidP="003D4AEC">
            <w:pPr>
              <w:pStyle w:val="ListBullet2"/>
            </w:pPr>
            <w:r w:rsidRPr="003D4AEC">
              <w:t>removal of byssal threads or beard from mussels, clams and pearl oysters</w:t>
            </w:r>
          </w:p>
          <w:p w:rsidR="00000000" w:rsidRPr="003D4AEC" w:rsidP="003D4AEC">
            <w:pPr>
              <w:pStyle w:val="ListBullet2"/>
            </w:pPr>
            <w:r w:rsidRPr="003D4AEC">
              <w:t>removal of gills (frill) and organs on scallops (edi</w:t>
            </w:r>
            <w:r w:rsidRPr="003D4AEC">
              <w:t>ble portion is adductor mussel and sometimes gonad)</w:t>
            </w:r>
          </w:p>
          <w:p w:rsidR="00000000" w:rsidRPr="003D4AEC" w:rsidP="003D4AEC">
            <w:pPr>
              <w:pStyle w:val="ListBullet2"/>
            </w:pPr>
            <w:r w:rsidRPr="003D4AEC">
              <w:t>removal of mouth parts, organs, gills, sensory appendages (frill) on abalone (edible portion is foot).</w:t>
            </w:r>
          </w:p>
        </w:tc>
      </w:tr>
    </w:tbl>
    <w:p w:rsidR="00FE0AC5" w:rsidP="003D4AEC">
      <w:pPr>
        <w:pStyle w:val="BodyText"/>
      </w:pPr>
    </w:p>
    <w:p w:rsidR="00FE0AC5" w:rsidP="003D4AEC">
      <w:pPr>
        <w:pStyle w:val="BodyText"/>
      </w:pPr>
    </w:p>
    <w:p w:rsidR="00000000" w:rsidRPr="003D4AEC" w:rsidP="003D4AEC">
      <w:pPr>
        <w:pStyle w:val="Heading1"/>
      </w:pPr>
      <w:bookmarkStart w:id="12" w:name="O_218513"/>
      <w:bookmarkEnd w:id="12"/>
      <w:r w:rsidRPr="003D4AEC">
        <w:t>Unit Sector(s)</w:t>
      </w:r>
    </w:p>
    <w:tbl>
      <w:tblPr>
        <w:tblW w:w="0" w:type="auto"/>
        <w:tblLayout w:type="fixed"/>
        <w:tblCellMar>
          <w:left w:w="62" w:type="dxa"/>
          <w:right w:w="62" w:type="dxa"/>
        </w:tblCellMar>
        <w:tblLook w:val="0000"/>
      </w:tblPr>
      <w:tblGrid>
        <w:gridCol w:w="2584"/>
        <w:gridCol w:w="5938"/>
      </w:tblGrid>
      <w:tr w:rsidTr="00FE0AC5">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rPr>
                <w:rStyle w:val="SpecialBold"/>
              </w:rPr>
              <w:t>Unit sector</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AEC" w:rsidP="003D4AEC">
            <w:pPr>
              <w:pStyle w:val="BodyText"/>
            </w:pPr>
            <w:r w:rsidRPr="003D4AEC">
              <w:t>Seafood processing</w:t>
            </w:r>
          </w:p>
        </w:tc>
      </w:tr>
    </w:tbl>
    <w:p w:rsidR="00FE0AC5" w:rsidP="003D4AEC">
      <w:pPr>
        <w:pStyle w:val="BodyText"/>
      </w:pPr>
    </w:p>
    <w:p w:rsidR="00FE0AC5" w:rsidP="003D4AEC">
      <w:pPr>
        <w:pStyle w:val="BodyText"/>
      </w:pPr>
    </w:p>
    <w:p w:rsidR="00000000" w:rsidRPr="003D4AEC" w:rsidP="003D4AEC">
      <w:pPr>
        <w:pStyle w:val="Heading1"/>
      </w:pPr>
      <w:bookmarkStart w:id="13" w:name="O_218510"/>
      <w:bookmarkEnd w:id="13"/>
      <w:r w:rsidRPr="003D4AEC">
        <w:t>Co-requisite units</w:t>
      </w:r>
    </w:p>
    <w:tbl>
      <w:tblPr>
        <w:tblW w:w="0" w:type="auto"/>
        <w:tblLayout w:type="fixed"/>
        <w:tblCellMar>
          <w:left w:w="62" w:type="dxa"/>
          <w:right w:w="62" w:type="dxa"/>
        </w:tblCellMar>
        <w:tblLook w:val="0000"/>
      </w:tblPr>
      <w:tblGrid>
        <w:gridCol w:w="2608"/>
        <w:gridCol w:w="1501"/>
        <w:gridCol w:w="4413"/>
      </w:tblGrid>
      <w:tr w:rsidTr="00FE0AC5">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rPr>
                <w:rStyle w:val="SpecialBold"/>
              </w:rPr>
              <w:t>Co-requisite units</w:t>
            </w:r>
          </w:p>
        </w:tc>
        <w:tc>
          <w:tcPr>
            <w:tcW w:w="59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p>
        </w:tc>
      </w:tr>
      <w:tr w:rsidTr="00FE0AC5">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p>
        </w:tc>
      </w:tr>
      <w:tr w:rsidTr="00FE0AC5">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AEC" w:rsidP="003D4AEC">
            <w:pPr>
              <w:pStyle w:val="BodyText"/>
            </w:pPr>
          </w:p>
        </w:tc>
      </w:tr>
    </w:tbl>
    <w:p w:rsidR="00FE0AC5" w:rsidP="003D4AEC">
      <w:pPr>
        <w:pStyle w:val="BodyText"/>
      </w:pPr>
    </w:p>
    <w:p w:rsidR="00FE0AC5" w:rsidP="003D4AEC">
      <w:pPr>
        <w:pStyle w:val="BodyText"/>
      </w:pPr>
    </w:p>
    <w:p w:rsidR="00000000" w:rsidRPr="003D4AEC" w:rsidP="003D4AEC">
      <w:pPr>
        <w:pStyle w:val="Heading1"/>
      </w:pPr>
      <w:bookmarkStart w:id="14" w:name="O_218512"/>
      <w:bookmarkEnd w:id="14"/>
      <w:r w:rsidRPr="003D4AEC">
        <w:t>Competency field</w:t>
      </w:r>
    </w:p>
    <w:tbl>
      <w:tblPr>
        <w:tblW w:w="0" w:type="auto"/>
        <w:tblLayout w:type="fixed"/>
        <w:tblCellMar>
          <w:left w:w="62" w:type="dxa"/>
          <w:right w:w="62" w:type="dxa"/>
        </w:tblCellMar>
        <w:tblLook w:val="0000"/>
      </w:tblPr>
      <w:tblGrid>
        <w:gridCol w:w="2751"/>
        <w:gridCol w:w="5771"/>
      </w:tblGrid>
      <w:tr w:rsidTr="00FE0AC5">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AEC">
            <w:pPr>
              <w:pStyle w:val="BodyText"/>
              <w:rPr>
                <w:lang w:val="en-NZ"/>
              </w:rPr>
            </w:pPr>
            <w:r w:rsidRPr="003D4AEC">
              <w:rPr>
                <w:rStyle w:val="SpecialBold"/>
              </w:rPr>
              <w:t>Competency field</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AEC" w:rsidP="003D4AEC">
            <w:pPr>
              <w:pStyle w:val="BodyText"/>
            </w:pPr>
          </w:p>
        </w:tc>
      </w:tr>
    </w:tbl>
    <w:p w:rsidR="00FE0AC5" w:rsidP="003D4AEC">
      <w:pPr>
        <w:pStyle w:val="BodyText"/>
      </w:pPr>
    </w:p>
    <w:p w:rsidR="00FE0AC5" w:rsidP="003D4AEC">
      <w:pPr>
        <w:pStyle w:val="BodyText"/>
      </w:pPr>
    </w:p>
    <w:p w:rsidR="00000000" w:rsidRPr="003D4AEC" w:rsidP="003D4AEC"/>
    <w:sectPr w:rsidSect="003D4A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A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0AC5" w:rsidP="00FE0A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A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AC5" w:rsidP="003D4A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E0AC5" w:rsidP="003D4A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E0AC5" w:rsidP="003D4A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A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0AC5" w:rsidP="00FE0AC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A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AC5" w:rsidP="003D4AEC">
    <w:pPr>
      <w:pStyle w:val="Header"/>
      <w:framePr w:wrap="around"/>
    </w:pPr>
    <w:r>
      <w:fldChar w:fldCharType="begin"/>
    </w:r>
    <w:r>
      <w:instrText xml:space="preserve"> TITLE   \* MERGEFORMAT </w:instrText>
    </w:r>
    <w:r>
      <w:fldChar w:fldCharType="separate"/>
    </w:r>
    <w:r>
      <w:t>SFIPROC203C Shuck molluscs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E0AC5" w:rsidP="003D4A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90F2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A699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36CD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A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4AEC"/>
    <w:pPr>
      <w:spacing w:before="360" w:after="60"/>
      <w:outlineLvl w:val="0"/>
    </w:pPr>
    <w:rPr>
      <w:sz w:val="32"/>
    </w:rPr>
  </w:style>
  <w:style w:type="paragraph" w:styleId="Heading2">
    <w:name w:val="heading 2"/>
    <w:basedOn w:val="HeadingBase"/>
    <w:next w:val="BodyText"/>
    <w:link w:val="Heading2Char"/>
    <w:qFormat/>
    <w:rsid w:val="003D4AEC"/>
    <w:pPr>
      <w:keepLines/>
      <w:spacing w:before="240" w:after="120"/>
      <w:outlineLvl w:val="1"/>
    </w:pPr>
    <w:rPr>
      <w:sz w:val="28"/>
      <w:szCs w:val="40"/>
    </w:rPr>
  </w:style>
  <w:style w:type="paragraph" w:styleId="Heading3">
    <w:name w:val="heading 3"/>
    <w:basedOn w:val="HeadingBase"/>
    <w:next w:val="BodyText"/>
    <w:link w:val="Heading3Char"/>
    <w:qFormat/>
    <w:rsid w:val="003D4AEC"/>
    <w:pPr>
      <w:spacing w:before="180" w:after="120"/>
      <w:outlineLvl w:val="2"/>
    </w:pPr>
    <w:rPr>
      <w:spacing w:val="-10"/>
      <w:kern w:val="32"/>
    </w:rPr>
  </w:style>
  <w:style w:type="paragraph" w:styleId="Heading4">
    <w:name w:val="heading 4"/>
    <w:basedOn w:val="HeadingBase"/>
    <w:next w:val="BodyText"/>
    <w:link w:val="Heading4Char"/>
    <w:qFormat/>
    <w:rsid w:val="003D4AEC"/>
    <w:pPr>
      <w:spacing w:before="160" w:after="120"/>
      <w:outlineLvl w:val="3"/>
    </w:pPr>
    <w:rPr>
      <w:sz w:val="22"/>
    </w:rPr>
  </w:style>
  <w:style w:type="paragraph" w:styleId="Heading5">
    <w:name w:val="heading 5"/>
    <w:basedOn w:val="HeadingBase"/>
    <w:next w:val="Normal"/>
    <w:link w:val="Heading5Char"/>
    <w:qFormat/>
    <w:rsid w:val="003D4AEC"/>
    <w:pPr>
      <w:spacing w:before="80"/>
      <w:outlineLvl w:val="4"/>
    </w:pPr>
    <w:rPr>
      <w:color w:val="918585"/>
      <w:sz w:val="20"/>
    </w:rPr>
  </w:style>
  <w:style w:type="paragraph" w:styleId="Heading6">
    <w:name w:val="heading 6"/>
    <w:basedOn w:val="HeadingBase"/>
    <w:next w:val="Normal"/>
    <w:link w:val="Heading6Char"/>
    <w:qFormat/>
    <w:rsid w:val="003D4AEC"/>
    <w:pPr>
      <w:spacing w:before="60"/>
      <w:outlineLvl w:val="5"/>
    </w:pPr>
    <w:rPr>
      <w:color w:val="918585"/>
      <w:sz w:val="20"/>
    </w:rPr>
  </w:style>
  <w:style w:type="paragraph" w:styleId="Heading7">
    <w:name w:val="heading 7"/>
    <w:basedOn w:val="Normal"/>
    <w:next w:val="Normal"/>
    <w:link w:val="Heading7Char"/>
    <w:qFormat/>
    <w:rsid w:val="003D4AEC"/>
    <w:pPr>
      <w:ind w:left="720"/>
      <w:outlineLvl w:val="6"/>
    </w:pPr>
    <w:rPr>
      <w:i/>
    </w:rPr>
  </w:style>
  <w:style w:type="paragraph" w:styleId="Heading8">
    <w:name w:val="heading 8"/>
    <w:basedOn w:val="Normal"/>
    <w:next w:val="Normal"/>
    <w:link w:val="Heading8Char"/>
    <w:qFormat/>
    <w:rsid w:val="003D4AEC"/>
    <w:pPr>
      <w:ind w:left="720"/>
      <w:outlineLvl w:val="7"/>
    </w:pPr>
    <w:rPr>
      <w:i/>
    </w:rPr>
  </w:style>
  <w:style w:type="paragraph" w:styleId="Heading9">
    <w:name w:val="heading 9"/>
    <w:basedOn w:val="Normal"/>
    <w:next w:val="Normal"/>
    <w:link w:val="Heading9Char"/>
    <w:qFormat/>
    <w:rsid w:val="003D4AEC"/>
    <w:pPr>
      <w:ind w:left="720"/>
      <w:outlineLvl w:val="8"/>
    </w:pPr>
    <w:rPr>
      <w:i/>
    </w:rPr>
  </w:style>
  <w:style w:type="character" w:default="1" w:styleId="DefaultParagraphFont">
    <w:name w:val="Default Paragraph Font"/>
    <w:uiPriority w:val="1"/>
    <w:unhideWhenUsed/>
    <w:rsid w:val="003D4A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4AEC"/>
  </w:style>
  <w:style w:type="character" w:customStyle="1" w:styleId="Heading1Char">
    <w:name w:val="Heading 1 Char"/>
    <w:link w:val="Heading1"/>
    <w:rsid w:val="003D4AEC"/>
    <w:rPr>
      <w:rFonts w:ascii="Times New Roman" w:eastAsia="Times New Roman" w:hAnsi="Times New Roman" w:cs="Times New Roman"/>
      <w:b/>
      <w:sz w:val="32"/>
      <w:szCs w:val="20"/>
      <w:lang w:eastAsia="en-US"/>
    </w:rPr>
  </w:style>
  <w:style w:type="paragraph" w:styleId="BodyText">
    <w:name w:val="Body Text"/>
    <w:basedOn w:val="Normal"/>
    <w:link w:val="BodyTextChar"/>
    <w:rsid w:val="003D4AEC"/>
    <w:pPr>
      <w:spacing w:before="120" w:after="120"/>
      <w:contextualSpacing/>
    </w:pPr>
    <w:rPr>
      <w:rFonts w:ascii="Times New Roman" w:hAnsi="Times New Roman"/>
      <w:sz w:val="24"/>
      <w:szCs w:val="22"/>
    </w:rPr>
  </w:style>
  <w:style w:type="character" w:customStyle="1" w:styleId="BodyTextChar">
    <w:name w:val="Body Text Char"/>
    <w:link w:val="BodyText"/>
    <w:rsid w:val="003D4AEC"/>
    <w:rPr>
      <w:rFonts w:ascii="Times New Roman" w:eastAsia="Times New Roman" w:hAnsi="Times New Roman" w:cs="Times New Roman"/>
      <w:sz w:val="24"/>
      <w:lang w:val="en-US" w:eastAsia="en-US"/>
    </w:rPr>
  </w:style>
  <w:style w:type="paragraph" w:styleId="Footer">
    <w:name w:val="footer"/>
    <w:basedOn w:val="Normal"/>
    <w:link w:val="FooterChar"/>
    <w:rsid w:val="003D4A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D4AEC"/>
    <w:rPr>
      <w:rFonts w:ascii="Times New Roman" w:eastAsia="Times New Roman" w:hAnsi="Times New Roman" w:cs="Times New Roman"/>
      <w:sz w:val="16"/>
      <w:lang w:val="en-US" w:eastAsia="en-US"/>
    </w:rPr>
  </w:style>
  <w:style w:type="paragraph" w:styleId="List">
    <w:name w:val="List"/>
    <w:basedOn w:val="BodyText"/>
    <w:next w:val="BodyText"/>
    <w:rsid w:val="003D4AEC"/>
    <w:pPr>
      <w:tabs>
        <w:tab w:val="left" w:pos="340"/>
      </w:tabs>
      <w:spacing w:before="60" w:after="60"/>
      <w:ind w:left="340" w:hanging="340"/>
    </w:pPr>
  </w:style>
  <w:style w:type="paragraph" w:styleId="ListBullet">
    <w:name w:val="List Bullet"/>
    <w:basedOn w:val="List"/>
    <w:rsid w:val="003D4AEC"/>
    <w:pPr>
      <w:numPr>
        <w:numId w:val="14"/>
      </w:numPr>
      <w:tabs>
        <w:tab w:val="clear" w:pos="340"/>
      </w:tabs>
      <w:spacing w:before="40" w:after="40"/>
    </w:pPr>
  </w:style>
  <w:style w:type="character" w:customStyle="1" w:styleId="SpecialBold">
    <w:name w:val="Special Bold"/>
    <w:rsid w:val="003D4AEC"/>
    <w:rPr>
      <w:b/>
      <w:spacing w:val="0"/>
    </w:rPr>
  </w:style>
  <w:style w:type="paragraph" w:styleId="ListBullet2">
    <w:name w:val="List Bullet 2"/>
    <w:basedOn w:val="List2"/>
    <w:rsid w:val="003D4AEC"/>
    <w:pPr>
      <w:numPr>
        <w:numId w:val="15"/>
      </w:numPr>
      <w:tabs>
        <w:tab w:val="clear" w:pos="680"/>
      </w:tabs>
    </w:pPr>
  </w:style>
  <w:style w:type="paragraph" w:styleId="Header">
    <w:name w:val="header"/>
    <w:basedOn w:val="Normal"/>
    <w:link w:val="HeaderChar"/>
    <w:rsid w:val="003D4A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D4A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4AEC"/>
    <w:pPr>
      <w:spacing w:before="240" w:after="120"/>
      <w:outlineLvl w:val="0"/>
    </w:pPr>
    <w:rPr>
      <w:rFonts w:ascii="Times New Roman" w:hAnsi="Times New Roman"/>
      <w:b/>
      <w:sz w:val="28"/>
    </w:rPr>
  </w:style>
  <w:style w:type="paragraph" w:customStyle="1" w:styleId="AllowPageBreak">
    <w:name w:val="AllowPageBreak"/>
    <w:rsid w:val="003D4A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4AEC"/>
    <w:pPr>
      <w:tabs>
        <w:tab w:val="left" w:pos="680"/>
      </w:tabs>
      <w:spacing w:before="60" w:after="60"/>
      <w:ind w:left="680" w:hanging="340"/>
    </w:pPr>
  </w:style>
  <w:style w:type="paragraph" w:styleId="ListBullet3">
    <w:name w:val="List Bullet 3"/>
    <w:basedOn w:val="List3"/>
    <w:rsid w:val="003D4AEC"/>
    <w:pPr>
      <w:numPr>
        <w:numId w:val="3"/>
      </w:numPr>
      <w:tabs>
        <w:tab w:val="clear" w:pos="1021"/>
      </w:tabs>
      <w:ind w:left="1037" w:hanging="357"/>
    </w:pPr>
  </w:style>
  <w:style w:type="character" w:customStyle="1" w:styleId="BoldandItalics">
    <w:name w:val="Bold and Italics"/>
    <w:qFormat/>
    <w:rsid w:val="003D4AEC"/>
    <w:rPr>
      <w:b/>
      <w:i/>
      <w:u w:val="none"/>
    </w:rPr>
  </w:style>
  <w:style w:type="character" w:customStyle="1" w:styleId="Heading2Char">
    <w:name w:val="Heading 2 Char"/>
    <w:link w:val="Heading2"/>
    <w:rsid w:val="003D4AEC"/>
    <w:rPr>
      <w:rFonts w:ascii="Times New Roman" w:eastAsia="Times New Roman" w:hAnsi="Times New Roman" w:cs="Times New Roman"/>
      <w:b/>
      <w:sz w:val="28"/>
      <w:szCs w:val="40"/>
      <w:lang w:eastAsia="en-US"/>
    </w:rPr>
  </w:style>
  <w:style w:type="character" w:customStyle="1" w:styleId="Heading3Char">
    <w:name w:val="Heading 3 Char"/>
    <w:link w:val="Heading3"/>
    <w:rsid w:val="003D4AE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D4AEC"/>
    <w:rPr>
      <w:rFonts w:ascii="Times New Roman" w:eastAsia="Times New Roman" w:hAnsi="Times New Roman" w:cs="Times New Roman"/>
      <w:b/>
      <w:szCs w:val="20"/>
      <w:lang w:eastAsia="en-US"/>
    </w:rPr>
  </w:style>
  <w:style w:type="character" w:customStyle="1" w:styleId="Heading5Char">
    <w:name w:val="Heading 5 Char"/>
    <w:link w:val="Heading5"/>
    <w:rsid w:val="003D4AE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D4A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4A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4A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4AEC"/>
    <w:rPr>
      <w:rFonts w:ascii="Courier New" w:eastAsia="Times New Roman" w:hAnsi="Courier New" w:cs="Times New Roman"/>
      <w:i/>
      <w:szCs w:val="20"/>
      <w:lang w:val="en-US" w:eastAsia="en-US"/>
    </w:rPr>
  </w:style>
  <w:style w:type="paragraph" w:customStyle="1" w:styleId="HeadingBase">
    <w:name w:val="Heading Base"/>
    <w:rsid w:val="003D4A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4AEC"/>
    <w:pPr>
      <w:tabs>
        <w:tab w:val="right" w:leader="dot" w:pos="9072"/>
      </w:tabs>
      <w:ind w:left="567"/>
    </w:pPr>
    <w:rPr>
      <w:szCs w:val="22"/>
    </w:rPr>
  </w:style>
  <w:style w:type="paragraph" w:customStyle="1" w:styleId="TOCBase">
    <w:name w:val="TOC Base"/>
    <w:rsid w:val="003D4A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4AEC"/>
    <w:pPr>
      <w:tabs>
        <w:tab w:val="right" w:leader="dot" w:pos="9072"/>
      </w:tabs>
      <w:spacing w:before="40" w:after="40"/>
      <w:ind w:left="284"/>
    </w:pPr>
    <w:rPr>
      <w:rFonts w:ascii="Times New Roman" w:hAnsi="Times New Roman"/>
    </w:rPr>
  </w:style>
  <w:style w:type="paragraph" w:styleId="TOC1">
    <w:name w:val="toc 1"/>
    <w:basedOn w:val="TOCBase"/>
    <w:next w:val="Normal"/>
    <w:rsid w:val="003D4A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4AEC"/>
    <w:pPr>
      <w:spacing w:before="5040"/>
      <w:jc w:val="center"/>
    </w:pPr>
    <w:rPr>
      <w:sz w:val="48"/>
      <w:szCs w:val="72"/>
      <w:lang w:val="en-US"/>
    </w:rPr>
  </w:style>
  <w:style w:type="character" w:customStyle="1" w:styleId="TitleChar">
    <w:name w:val="Title Char"/>
    <w:link w:val="Title"/>
    <w:rsid w:val="003D4A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4AEC"/>
    <w:pPr>
      <w:tabs>
        <w:tab w:val="left" w:pos="3600"/>
        <w:tab w:val="left" w:pos="3958"/>
      </w:tabs>
    </w:pPr>
  </w:style>
  <w:style w:type="paragraph" w:customStyle="1" w:styleId="Note">
    <w:name w:val="Note"/>
    <w:basedOn w:val="BodyText"/>
    <w:rsid w:val="003D4A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4AEC"/>
    <w:pPr>
      <w:framePr w:wrap="auto" w:hAnchor="text" w:y="6049"/>
    </w:pPr>
    <w:rPr>
      <w:color w:val="000000"/>
      <w:sz w:val="40"/>
    </w:rPr>
  </w:style>
  <w:style w:type="paragraph" w:customStyle="1" w:styleId="TOCTitle">
    <w:name w:val="TOCTitle"/>
    <w:basedOn w:val="Heading1"/>
    <w:rsid w:val="003D4AEC"/>
    <w:pPr>
      <w:spacing w:after="240"/>
      <w:jc w:val="center"/>
      <w:outlineLvl w:val="9"/>
    </w:pPr>
    <w:rPr>
      <w:caps/>
    </w:rPr>
  </w:style>
  <w:style w:type="paragraph" w:customStyle="1" w:styleId="Version">
    <w:name w:val="Version"/>
    <w:rsid w:val="003D4A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4AEC"/>
    <w:pPr>
      <w:keepNext w:val="0"/>
      <w:tabs>
        <w:tab w:val="right" w:pos="4176"/>
      </w:tabs>
      <w:ind w:left="198" w:hanging="198"/>
    </w:pPr>
    <w:rPr>
      <w:rFonts w:ascii="Garamond" w:hAnsi="Garamond"/>
    </w:rPr>
  </w:style>
  <w:style w:type="paragraph" w:styleId="IndexHeading">
    <w:name w:val="index heading"/>
    <w:basedOn w:val="Normal"/>
    <w:next w:val="Index1"/>
    <w:semiHidden/>
    <w:rsid w:val="003D4AEC"/>
    <w:pPr>
      <w:spacing w:before="120" w:after="120"/>
    </w:pPr>
    <w:rPr>
      <w:rFonts w:ascii="Arial" w:hAnsi="Arial"/>
      <w:b/>
      <w:color w:val="918585"/>
      <w:sz w:val="24"/>
    </w:rPr>
  </w:style>
  <w:style w:type="paragraph" w:customStyle="1" w:styleId="Chapter">
    <w:name w:val="Chapter"/>
    <w:basedOn w:val="Normal"/>
    <w:rsid w:val="003D4AEC"/>
    <w:pPr>
      <w:spacing w:before="240"/>
    </w:pPr>
    <w:rPr>
      <w:rFonts w:ascii="Times New Roman" w:hAnsi="Times New Roman"/>
      <w:smallCaps/>
      <w:spacing w:val="80"/>
      <w:sz w:val="28"/>
    </w:rPr>
  </w:style>
  <w:style w:type="paragraph" w:customStyle="1" w:styleId="InChapter">
    <w:name w:val="InChapter"/>
    <w:basedOn w:val="Heading3"/>
    <w:rsid w:val="003D4AEC"/>
    <w:pPr>
      <w:spacing w:after="240"/>
      <w:outlineLvl w:val="9"/>
    </w:pPr>
    <w:rPr>
      <w:noProof/>
    </w:rPr>
  </w:style>
  <w:style w:type="paragraph" w:styleId="Index2">
    <w:name w:val="index 2"/>
    <w:basedOn w:val="Normal"/>
    <w:next w:val="Normal"/>
    <w:semiHidden/>
    <w:rsid w:val="003D4AEC"/>
    <w:pPr>
      <w:tabs>
        <w:tab w:val="right" w:pos="4176"/>
      </w:tabs>
      <w:ind w:left="568" w:hanging="284"/>
    </w:pPr>
    <w:rPr>
      <w:rFonts w:ascii="Garamond" w:hAnsi="Garamond"/>
    </w:rPr>
  </w:style>
  <w:style w:type="paragraph" w:customStyle="1" w:styleId="Byline">
    <w:name w:val="Byline"/>
    <w:rsid w:val="003D4A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4AEC"/>
    <w:pPr>
      <w:tabs>
        <w:tab w:val="clear" w:pos="3600"/>
        <w:tab w:val="clear" w:pos="3958"/>
      </w:tabs>
      <w:jc w:val="right"/>
    </w:pPr>
  </w:style>
  <w:style w:type="character" w:styleId="Emphasis">
    <w:name w:val="Emphasis"/>
    <w:qFormat/>
    <w:rsid w:val="003D4AEC"/>
    <w:rPr>
      <w:i/>
    </w:rPr>
  </w:style>
  <w:style w:type="paragraph" w:styleId="Caption">
    <w:name w:val="caption"/>
    <w:basedOn w:val="BodyText"/>
    <w:next w:val="Normal"/>
    <w:qFormat/>
    <w:rsid w:val="003D4AEC"/>
    <w:pPr>
      <w:framePr w:w="2268" w:hSpace="181" w:vSpace="181" w:wrap="around" w:vAnchor="text" w:hAnchor="page" w:x="1135" w:y="285" w:anchorLock="1"/>
    </w:pPr>
    <w:rPr>
      <w:i/>
    </w:rPr>
  </w:style>
  <w:style w:type="paragraph" w:customStyle="1" w:styleId="MiniTOCTitle">
    <w:name w:val="MiniTOCTitle"/>
    <w:basedOn w:val="Heading4"/>
    <w:rsid w:val="003D4AEC"/>
    <w:pPr>
      <w:spacing w:before="240"/>
      <w:outlineLvl w:val="9"/>
    </w:pPr>
    <w:rPr>
      <w:noProof/>
      <w:sz w:val="24"/>
    </w:rPr>
  </w:style>
  <w:style w:type="paragraph" w:customStyle="1" w:styleId="MiniTOCItem">
    <w:name w:val="MiniTOCItem"/>
    <w:basedOn w:val="ListBullet"/>
    <w:rsid w:val="003D4AEC"/>
    <w:pPr>
      <w:numPr>
        <w:numId w:val="0"/>
      </w:numPr>
      <w:tabs>
        <w:tab w:val="right" w:leader="dot" w:pos="6521"/>
      </w:tabs>
      <w:spacing w:before="0" w:after="0"/>
    </w:pPr>
  </w:style>
  <w:style w:type="paragraph" w:customStyle="1" w:styleId="TOFTitle">
    <w:name w:val="TOFTitle"/>
    <w:basedOn w:val="TOCTitle"/>
    <w:rsid w:val="003D4AEC"/>
  </w:style>
  <w:style w:type="paragraph" w:styleId="TableofFigures">
    <w:name w:val="table of figures"/>
    <w:basedOn w:val="Normal"/>
    <w:next w:val="Normal"/>
    <w:semiHidden/>
    <w:rsid w:val="003D4AEC"/>
    <w:pPr>
      <w:tabs>
        <w:tab w:val="right" w:leader="dot" w:pos="9072"/>
      </w:tabs>
      <w:ind w:left="970" w:hanging="403"/>
    </w:pPr>
    <w:rPr>
      <w:rFonts w:ascii="Times New Roman" w:hAnsi="Times New Roman"/>
      <w:b/>
    </w:rPr>
  </w:style>
  <w:style w:type="paragraph" w:styleId="ListNumber">
    <w:name w:val="List Number"/>
    <w:basedOn w:val="List"/>
    <w:rsid w:val="003D4AEC"/>
    <w:pPr>
      <w:numPr>
        <w:numId w:val="12"/>
      </w:numPr>
    </w:pPr>
  </w:style>
  <w:style w:type="character" w:customStyle="1" w:styleId="WingdingSymbols">
    <w:name w:val="Wingding Symbols"/>
    <w:rsid w:val="003D4AEC"/>
    <w:rPr>
      <w:rFonts w:ascii="Wingdings" w:hAnsi="Wingdings"/>
    </w:rPr>
  </w:style>
  <w:style w:type="paragraph" w:customStyle="1" w:styleId="TableHeading">
    <w:name w:val="Table Heading"/>
    <w:basedOn w:val="HeadingBase"/>
    <w:rsid w:val="003D4AEC"/>
    <w:pPr>
      <w:keepLines/>
      <w:pBdr>
        <w:bottom w:val="single" w:sz="6" w:space="1" w:color="918585"/>
      </w:pBdr>
      <w:spacing w:before="240"/>
    </w:pPr>
  </w:style>
  <w:style w:type="character" w:customStyle="1" w:styleId="HotSpot">
    <w:name w:val="HotSpot"/>
    <w:rsid w:val="003D4AEC"/>
    <w:rPr>
      <w:color w:val="0033CC"/>
      <w:u w:val="none"/>
    </w:rPr>
  </w:style>
  <w:style w:type="paragraph" w:customStyle="1" w:styleId="BodyTextRight">
    <w:name w:val="Body Text Right"/>
    <w:basedOn w:val="BodyText"/>
    <w:rsid w:val="003D4AEC"/>
    <w:pPr>
      <w:spacing w:before="0" w:after="0"/>
      <w:jc w:val="right"/>
    </w:pPr>
  </w:style>
  <w:style w:type="paragraph" w:styleId="Index3">
    <w:name w:val="index 3"/>
    <w:basedOn w:val="ListNumber2"/>
    <w:next w:val="Normal"/>
    <w:semiHidden/>
    <w:rsid w:val="003D4AEC"/>
    <w:pPr>
      <w:numPr>
        <w:numId w:val="0"/>
      </w:numPr>
      <w:tabs>
        <w:tab w:val="right" w:leader="dot" w:pos="4176"/>
      </w:tabs>
    </w:pPr>
  </w:style>
  <w:style w:type="paragraph" w:styleId="ListNumber2">
    <w:name w:val="List Number 2"/>
    <w:basedOn w:val="List2"/>
    <w:rsid w:val="003D4AEC"/>
    <w:pPr>
      <w:numPr>
        <w:numId w:val="11"/>
      </w:numPr>
      <w:tabs>
        <w:tab w:val="clear" w:pos="1060"/>
      </w:tabs>
    </w:pPr>
  </w:style>
  <w:style w:type="paragraph" w:customStyle="1" w:styleId="MarginNote">
    <w:name w:val="Margin Note"/>
    <w:basedOn w:val="BodyText"/>
    <w:rsid w:val="003D4A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4A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D4A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4AEC"/>
    <w:rPr>
      <w:sz w:val="32"/>
    </w:rPr>
  </w:style>
  <w:style w:type="paragraph" w:customStyle="1" w:styleId="HeadingProcedure">
    <w:name w:val="Heading Procedure"/>
    <w:basedOn w:val="HeadingBase"/>
    <w:next w:val="Normal"/>
    <w:rsid w:val="003D4AEC"/>
    <w:pPr>
      <w:tabs>
        <w:tab w:val="left" w:pos="0"/>
      </w:tabs>
      <w:spacing w:before="120" w:after="60"/>
    </w:pPr>
    <w:rPr>
      <w:i/>
      <w:color w:val="918585"/>
      <w:sz w:val="22"/>
    </w:rPr>
  </w:style>
  <w:style w:type="paragraph" w:customStyle="1" w:styleId="TableBodyText">
    <w:name w:val="Table Body Text"/>
    <w:basedOn w:val="BodyText"/>
    <w:rsid w:val="003D4AEC"/>
    <w:pPr>
      <w:spacing w:before="60" w:after="60"/>
    </w:pPr>
  </w:style>
  <w:style w:type="paragraph" w:styleId="ListContinue">
    <w:name w:val="List Continue"/>
    <w:basedOn w:val="List"/>
    <w:rsid w:val="003D4AEC"/>
    <w:pPr>
      <w:ind w:firstLine="0"/>
    </w:pPr>
  </w:style>
  <w:style w:type="paragraph" w:customStyle="1" w:styleId="ListNote">
    <w:name w:val="List Note"/>
    <w:basedOn w:val="List"/>
    <w:rsid w:val="003D4AEC"/>
    <w:pPr>
      <w:pBdr>
        <w:top w:val="single" w:sz="6" w:space="2" w:color="918585"/>
        <w:bottom w:val="single" w:sz="6" w:space="2" w:color="918585"/>
      </w:pBdr>
      <w:tabs>
        <w:tab w:val="left" w:pos="1021"/>
      </w:tabs>
      <w:ind w:firstLine="0"/>
    </w:pPr>
  </w:style>
  <w:style w:type="paragraph" w:customStyle="1" w:styleId="Warning">
    <w:name w:val="Warning"/>
    <w:basedOn w:val="BodyText"/>
    <w:rsid w:val="003D4AEC"/>
    <w:pPr>
      <w:shd w:val="clear" w:color="auto" w:fill="D9D9D9"/>
      <w:tabs>
        <w:tab w:val="left" w:pos="992"/>
      </w:tabs>
      <w:ind w:left="119" w:right="119"/>
    </w:pPr>
    <w:rPr>
      <w:sz w:val="20"/>
    </w:rPr>
  </w:style>
  <w:style w:type="paragraph" w:customStyle="1" w:styleId="MarginIcons">
    <w:name w:val="Margin Icons"/>
    <w:basedOn w:val="BodyText"/>
    <w:rsid w:val="003D4AE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D4AEC"/>
    <w:rPr>
      <w:rFonts w:ascii="Courier New" w:hAnsi="Courier New"/>
    </w:rPr>
  </w:style>
  <w:style w:type="paragraph" w:customStyle="1" w:styleId="NoteBullet">
    <w:name w:val="Note Bullet"/>
    <w:basedOn w:val="Note"/>
    <w:rsid w:val="003D4AEC"/>
    <w:pPr>
      <w:tabs>
        <w:tab w:val="clear" w:pos="680"/>
      </w:tabs>
      <w:spacing w:before="60" w:after="60"/>
    </w:pPr>
  </w:style>
  <w:style w:type="paragraph" w:customStyle="1" w:styleId="SubHeading2">
    <w:name w:val="SubHeading2"/>
    <w:basedOn w:val="HeadingBase"/>
    <w:rsid w:val="003D4AEC"/>
    <w:pPr>
      <w:spacing w:before="240" w:after="60"/>
    </w:pPr>
    <w:rPr>
      <w:sz w:val="20"/>
    </w:rPr>
  </w:style>
  <w:style w:type="paragraph" w:customStyle="1" w:styleId="SubHeading1">
    <w:name w:val="SubHeading1"/>
    <w:basedOn w:val="HeadingBase"/>
    <w:rsid w:val="003D4AEC"/>
    <w:pPr>
      <w:spacing w:before="240" w:after="60"/>
    </w:pPr>
    <w:rPr>
      <w:color w:val="918585"/>
      <w:sz w:val="22"/>
    </w:rPr>
  </w:style>
  <w:style w:type="paragraph" w:customStyle="1" w:styleId="SideHeading">
    <w:name w:val="Side Heading"/>
    <w:basedOn w:val="HeadingBase"/>
    <w:rsid w:val="003D4A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4AEC"/>
    <w:pPr>
      <w:numPr>
        <w:numId w:val="13"/>
      </w:numPr>
    </w:pPr>
  </w:style>
  <w:style w:type="paragraph" w:styleId="PlainText">
    <w:name w:val="Plain Text"/>
    <w:basedOn w:val="Normal"/>
    <w:link w:val="PlainTextChar"/>
    <w:rsid w:val="003D4AEC"/>
    <w:rPr>
      <w:sz w:val="20"/>
    </w:rPr>
  </w:style>
  <w:style w:type="character" w:customStyle="1" w:styleId="PlainTextChar">
    <w:name w:val="Plain Text Char"/>
    <w:basedOn w:val="DefaultParagraphFont"/>
    <w:link w:val="PlainText"/>
    <w:rsid w:val="003D4AEC"/>
    <w:rPr>
      <w:rFonts w:ascii="Courier New" w:eastAsia="Times New Roman" w:hAnsi="Courier New" w:cs="Times New Roman"/>
      <w:sz w:val="20"/>
      <w:szCs w:val="20"/>
      <w:lang w:val="en-US" w:eastAsia="en-US"/>
    </w:rPr>
  </w:style>
  <w:style w:type="character" w:customStyle="1" w:styleId="MenuOption">
    <w:name w:val="Menu Option"/>
    <w:rsid w:val="003D4AEC"/>
    <w:rPr>
      <w:b/>
      <w:smallCaps/>
    </w:rPr>
  </w:style>
  <w:style w:type="paragraph" w:customStyle="1" w:styleId="TableListNumber">
    <w:name w:val="Table List Number"/>
    <w:basedOn w:val="ListNumber"/>
    <w:rsid w:val="003D4AEC"/>
    <w:pPr>
      <w:numPr>
        <w:numId w:val="0"/>
      </w:numPr>
    </w:pPr>
  </w:style>
  <w:style w:type="paragraph" w:styleId="TOC4">
    <w:name w:val="toc 4"/>
    <w:basedOn w:val="TOCBase"/>
    <w:next w:val="Normal"/>
    <w:semiHidden/>
    <w:rsid w:val="003D4AEC"/>
    <w:pPr>
      <w:tabs>
        <w:tab w:val="right" w:leader="dot" w:pos="9071"/>
      </w:tabs>
      <w:ind w:left="1701"/>
    </w:pPr>
  </w:style>
  <w:style w:type="paragraph" w:customStyle="1" w:styleId="ListAlpha">
    <w:name w:val="List Alpha"/>
    <w:basedOn w:val="List"/>
    <w:rsid w:val="003D4AEC"/>
    <w:pPr>
      <w:numPr>
        <w:numId w:val="10"/>
      </w:numPr>
    </w:pPr>
  </w:style>
  <w:style w:type="paragraph" w:customStyle="1" w:styleId="ListAlpha2">
    <w:name w:val="List Alpha 2"/>
    <w:basedOn w:val="List2"/>
    <w:rsid w:val="003D4AEC"/>
    <w:pPr>
      <w:numPr>
        <w:numId w:val="9"/>
      </w:numPr>
    </w:pPr>
  </w:style>
  <w:style w:type="paragraph" w:styleId="List3">
    <w:name w:val="List 3"/>
    <w:basedOn w:val="BodyText"/>
    <w:rsid w:val="003D4AEC"/>
    <w:pPr>
      <w:tabs>
        <w:tab w:val="left" w:pos="1021"/>
      </w:tabs>
      <w:spacing w:before="60" w:after="60"/>
      <w:ind w:left="1020" w:hanging="340"/>
    </w:pPr>
  </w:style>
  <w:style w:type="paragraph" w:styleId="List4">
    <w:name w:val="List 4"/>
    <w:basedOn w:val="BodyText"/>
    <w:rsid w:val="003D4AEC"/>
    <w:pPr>
      <w:tabs>
        <w:tab w:val="left" w:pos="1361"/>
      </w:tabs>
      <w:spacing w:before="60" w:after="60"/>
      <w:ind w:left="1361" w:hanging="340"/>
    </w:pPr>
  </w:style>
  <w:style w:type="paragraph" w:styleId="List5">
    <w:name w:val="List 5"/>
    <w:basedOn w:val="BodyText"/>
    <w:rsid w:val="003D4AEC"/>
    <w:pPr>
      <w:tabs>
        <w:tab w:val="left" w:pos="1701"/>
      </w:tabs>
      <w:spacing w:before="60" w:after="60"/>
      <w:ind w:left="1701" w:hanging="340"/>
    </w:pPr>
  </w:style>
  <w:style w:type="paragraph" w:styleId="ListBullet4">
    <w:name w:val="List Bullet 4"/>
    <w:basedOn w:val="List4"/>
    <w:rsid w:val="003D4AEC"/>
    <w:pPr>
      <w:numPr>
        <w:numId w:val="4"/>
      </w:numPr>
    </w:pPr>
  </w:style>
  <w:style w:type="paragraph" w:styleId="ListBullet5">
    <w:name w:val="List Bullet 5"/>
    <w:basedOn w:val="List5"/>
    <w:rsid w:val="003D4AEC"/>
    <w:pPr>
      <w:numPr>
        <w:numId w:val="5"/>
      </w:numPr>
    </w:pPr>
  </w:style>
  <w:style w:type="paragraph" w:styleId="ListContinue2">
    <w:name w:val="List Continue 2"/>
    <w:basedOn w:val="List2"/>
    <w:rsid w:val="003D4AEC"/>
    <w:pPr>
      <w:ind w:firstLine="0"/>
    </w:pPr>
  </w:style>
  <w:style w:type="paragraph" w:styleId="ListContinue3">
    <w:name w:val="List Continue 3"/>
    <w:basedOn w:val="List3"/>
    <w:rsid w:val="003D4AEC"/>
    <w:pPr>
      <w:ind w:left="1021" w:firstLine="0"/>
    </w:pPr>
  </w:style>
  <w:style w:type="paragraph" w:styleId="ListContinue4">
    <w:name w:val="List Continue 4"/>
    <w:basedOn w:val="List4"/>
    <w:rsid w:val="003D4AEC"/>
    <w:pPr>
      <w:ind w:firstLine="0"/>
    </w:pPr>
  </w:style>
  <w:style w:type="paragraph" w:styleId="ListContinue5">
    <w:name w:val="List Continue 5"/>
    <w:basedOn w:val="List5"/>
    <w:rsid w:val="003D4AEC"/>
    <w:pPr>
      <w:ind w:firstLine="0"/>
    </w:pPr>
  </w:style>
  <w:style w:type="paragraph" w:styleId="ListNumber3">
    <w:name w:val="List Number 3"/>
    <w:basedOn w:val="List3"/>
    <w:rsid w:val="003D4AEC"/>
    <w:pPr>
      <w:numPr>
        <w:numId w:val="6"/>
      </w:numPr>
    </w:pPr>
  </w:style>
  <w:style w:type="paragraph" w:styleId="ListNumber4">
    <w:name w:val="List Number 4"/>
    <w:basedOn w:val="List4"/>
    <w:rsid w:val="003D4AEC"/>
    <w:pPr>
      <w:numPr>
        <w:numId w:val="7"/>
      </w:numPr>
    </w:pPr>
  </w:style>
  <w:style w:type="paragraph" w:styleId="ListNumber5">
    <w:name w:val="List Number 5"/>
    <w:basedOn w:val="List5"/>
    <w:rsid w:val="003D4AEC"/>
    <w:pPr>
      <w:numPr>
        <w:numId w:val="8"/>
      </w:numPr>
    </w:pPr>
  </w:style>
  <w:style w:type="paragraph" w:styleId="BlockText">
    <w:name w:val="Block Text"/>
    <w:basedOn w:val="Normal"/>
    <w:rsid w:val="003D4AEC"/>
    <w:pPr>
      <w:spacing w:after="120"/>
      <w:ind w:left="1440" w:right="1440"/>
    </w:pPr>
  </w:style>
  <w:style w:type="character" w:customStyle="1" w:styleId="Subscript">
    <w:name w:val="Subscript"/>
    <w:rsid w:val="003D4AEC"/>
    <w:rPr>
      <w:sz w:val="16"/>
      <w:vertAlign w:val="subscript"/>
    </w:rPr>
  </w:style>
  <w:style w:type="character" w:customStyle="1" w:styleId="Superscript">
    <w:name w:val="Superscript"/>
    <w:rsid w:val="003D4AEC"/>
    <w:rPr>
      <w:sz w:val="16"/>
      <w:vertAlign w:val="superscript"/>
    </w:rPr>
  </w:style>
  <w:style w:type="character" w:customStyle="1" w:styleId="Symbols">
    <w:name w:val="Symbols"/>
    <w:rsid w:val="003D4AEC"/>
    <w:rPr>
      <w:rFonts w:ascii="Symbol" w:hAnsi="Symbol"/>
    </w:rPr>
  </w:style>
  <w:style w:type="character" w:customStyle="1" w:styleId="MenuOptions">
    <w:name w:val="Menu Options"/>
    <w:rsid w:val="003D4AEC"/>
    <w:rPr>
      <w:rFonts w:ascii="Arial Narrow" w:hAnsi="Arial Narrow"/>
      <w:smallCaps/>
    </w:rPr>
  </w:style>
  <w:style w:type="character" w:customStyle="1" w:styleId="Buttons">
    <w:name w:val="Buttons"/>
    <w:rsid w:val="003D4AEC"/>
    <w:rPr>
      <w:b/>
    </w:rPr>
  </w:style>
  <w:style w:type="character" w:customStyle="1" w:styleId="Underlined">
    <w:name w:val="Underlined"/>
    <w:rsid w:val="003D4AEC"/>
    <w:rPr>
      <w:u w:val="single"/>
    </w:rPr>
  </w:style>
  <w:style w:type="paragraph" w:customStyle="1" w:styleId="TableBodyTextRight">
    <w:name w:val="Table Body Text Right"/>
    <w:basedOn w:val="TableBodyText"/>
    <w:rsid w:val="003D4AEC"/>
    <w:pPr>
      <w:widowControl w:val="0"/>
      <w:autoSpaceDE w:val="0"/>
      <w:autoSpaceDN w:val="0"/>
      <w:adjustRightInd w:val="0"/>
      <w:jc w:val="right"/>
    </w:pPr>
    <w:rPr>
      <w:rFonts w:cs="Arial"/>
      <w:szCs w:val="18"/>
    </w:rPr>
  </w:style>
  <w:style w:type="paragraph" w:customStyle="1" w:styleId="CopyrightText">
    <w:name w:val="Copyright Text"/>
    <w:basedOn w:val="BodyText"/>
    <w:rsid w:val="003D4AEC"/>
    <w:rPr>
      <w:sz w:val="18"/>
    </w:rPr>
  </w:style>
  <w:style w:type="paragraph" w:customStyle="1" w:styleId="BodySmallRight">
    <w:name w:val="Body Small Right"/>
    <w:basedOn w:val="BodyTextRight"/>
    <w:rsid w:val="003D4AEC"/>
    <w:rPr>
      <w:sz w:val="18"/>
      <w:szCs w:val="18"/>
    </w:rPr>
  </w:style>
  <w:style w:type="paragraph" w:customStyle="1" w:styleId="MarginEdition">
    <w:name w:val="Margin Edition"/>
    <w:basedOn w:val="MarginNote"/>
    <w:rsid w:val="003D4AEC"/>
    <w:pPr>
      <w:spacing w:before="0" w:after="0"/>
    </w:pPr>
    <w:rPr>
      <w:rFonts w:ascii="Times New Roman" w:hAnsi="Times New Roman"/>
      <w:color w:val="999999"/>
    </w:rPr>
  </w:style>
  <w:style w:type="paragraph" w:customStyle="1" w:styleId="Spacer">
    <w:name w:val="Spacer"/>
    <w:basedOn w:val="Normal"/>
    <w:rsid w:val="003D4AEC"/>
    <w:rPr>
      <w:sz w:val="2"/>
      <w:szCs w:val="2"/>
    </w:rPr>
  </w:style>
  <w:style w:type="character" w:customStyle="1" w:styleId="Small">
    <w:name w:val="Small"/>
    <w:rsid w:val="003D4AEC"/>
    <w:rPr>
      <w:sz w:val="16"/>
    </w:rPr>
  </w:style>
  <w:style w:type="paragraph" w:customStyle="1" w:styleId="WideTable">
    <w:name w:val="Wide Table"/>
    <w:basedOn w:val="Normal"/>
    <w:rsid w:val="003D4AEC"/>
    <w:pPr>
      <w:ind w:left="-1418"/>
    </w:pPr>
    <w:rPr>
      <w:sz w:val="2"/>
      <w:szCs w:val="2"/>
    </w:rPr>
  </w:style>
  <w:style w:type="character" w:styleId="PageNumber">
    <w:name w:val="page number"/>
    <w:rsid w:val="003D4AEC"/>
  </w:style>
  <w:style w:type="paragraph" w:styleId="Quote">
    <w:name w:val="Quote"/>
    <w:basedOn w:val="Heading1"/>
    <w:link w:val="QuoteChar"/>
    <w:qFormat/>
    <w:rsid w:val="003D4AEC"/>
    <w:rPr>
      <w:b w:val="0"/>
      <w:sz w:val="72"/>
      <w:szCs w:val="72"/>
      <w:lang w:val="en-NZ"/>
    </w:rPr>
  </w:style>
  <w:style w:type="character" w:customStyle="1" w:styleId="QuoteChar">
    <w:name w:val="Quote Char"/>
    <w:link w:val="Quote"/>
    <w:rsid w:val="003D4A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4AEC"/>
    <w:pPr>
      <w:pageBreakBefore/>
    </w:pPr>
  </w:style>
  <w:style w:type="paragraph" w:customStyle="1" w:styleId="Border">
    <w:name w:val="Border"/>
    <w:basedOn w:val="Normal"/>
    <w:qFormat/>
    <w:rsid w:val="003D4AEC"/>
    <w:pPr>
      <w:pBdr>
        <w:top w:val="single" w:sz="18" w:space="1" w:color="auto"/>
      </w:pBdr>
    </w:pPr>
    <w:rPr>
      <w:rFonts w:ascii="Times New Roman" w:hAnsi="Times New Roman"/>
      <w:color w:val="FFFFFF"/>
      <w:sz w:val="2"/>
    </w:rPr>
  </w:style>
  <w:style w:type="character" w:styleId="IntenseEmphasis">
    <w:name w:val="Intense Emphasis"/>
    <w:uiPriority w:val="21"/>
    <w:qFormat/>
    <w:rsid w:val="003D4AEC"/>
    <w:rPr>
      <w:b/>
      <w:bCs/>
      <w:i/>
      <w:iCs/>
      <w:color w:val="auto"/>
    </w:rPr>
  </w:style>
  <w:style w:type="paragraph" w:styleId="IntenseQuote">
    <w:name w:val="Intense Quote"/>
    <w:basedOn w:val="Normal"/>
    <w:next w:val="Normal"/>
    <w:link w:val="IntenseQuoteChar"/>
    <w:uiPriority w:val="30"/>
    <w:qFormat/>
    <w:rsid w:val="003D4AE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D4AEC"/>
    <w:rPr>
      <w:rFonts w:ascii="Courier New" w:eastAsia="Times New Roman" w:hAnsi="Courier New" w:cs="Times New Roman"/>
      <w:b/>
      <w:bCs/>
      <w:i/>
      <w:iCs/>
      <w:szCs w:val="20"/>
      <w:lang w:val="en-US" w:eastAsia="en-US"/>
    </w:rPr>
  </w:style>
  <w:style w:type="character" w:styleId="SubtleReference">
    <w:name w:val="Subtle Reference"/>
    <w:uiPriority w:val="31"/>
    <w:qFormat/>
    <w:rsid w:val="003D4AEC"/>
    <w:rPr>
      <w:smallCaps/>
      <w:color w:val="auto"/>
      <w:u w:val="single"/>
    </w:rPr>
  </w:style>
  <w:style w:type="character" w:styleId="IntenseReference">
    <w:name w:val="Intense Reference"/>
    <w:uiPriority w:val="32"/>
    <w:qFormat/>
    <w:rsid w:val="003D4AEC"/>
    <w:rPr>
      <w:b/>
      <w:bCs/>
      <w:smallCaps/>
      <w:color w:val="auto"/>
      <w:spacing w:val="5"/>
      <w:u w:val="single"/>
    </w:rPr>
  </w:style>
  <w:style w:type="paragraph" w:customStyle="1" w:styleId="2ColumnHeading">
    <w:name w:val="2Column Heading"/>
    <w:basedOn w:val="BodyText"/>
    <w:qFormat/>
    <w:rsid w:val="003D4AEC"/>
    <w:pPr>
      <w:spacing w:after="60"/>
      <w:ind w:left="-2268"/>
    </w:pPr>
    <w:rPr>
      <w:b/>
    </w:rPr>
  </w:style>
  <w:style w:type="paragraph" w:customStyle="1" w:styleId="Heading1TOC">
    <w:name w:val="Heading1 TOC"/>
    <w:basedOn w:val="Normal"/>
    <w:qFormat/>
    <w:rsid w:val="003D4AEC"/>
    <w:pPr>
      <w:spacing w:before="240" w:after="120"/>
    </w:pPr>
    <w:rPr>
      <w:rFonts w:ascii="Times New Roman" w:hAnsi="Times New Roman"/>
      <w:b/>
      <w:sz w:val="32"/>
    </w:rPr>
  </w:style>
  <w:style w:type="paragraph" w:customStyle="1" w:styleId="Heading2TOC">
    <w:name w:val="Heading2 TOC"/>
    <w:basedOn w:val="Normal"/>
    <w:qFormat/>
    <w:rsid w:val="003D4AEC"/>
    <w:pPr>
      <w:spacing w:before="240" w:after="60"/>
    </w:pPr>
    <w:rPr>
      <w:rFonts w:ascii="Times New Roman" w:hAnsi="Times New Roman"/>
      <w:b/>
      <w:sz w:val="28"/>
    </w:rPr>
  </w:style>
  <w:style w:type="character" w:customStyle="1" w:styleId="Underline">
    <w:name w:val="Underline"/>
    <w:qFormat/>
    <w:rsid w:val="003D4AEC"/>
    <w:rPr>
      <w:u w:val="single"/>
    </w:rPr>
  </w:style>
  <w:style w:type="paragraph" w:styleId="BalloonText">
    <w:name w:val="Balloon Text"/>
    <w:basedOn w:val="Normal"/>
    <w:link w:val="BalloonTextChar"/>
    <w:rsid w:val="003D4AEC"/>
    <w:rPr>
      <w:rFonts w:ascii="Tahoma" w:hAnsi="Tahoma" w:cs="Tahoma"/>
      <w:sz w:val="16"/>
      <w:szCs w:val="16"/>
    </w:rPr>
  </w:style>
  <w:style w:type="character" w:customStyle="1" w:styleId="BalloonTextChar">
    <w:name w:val="Balloon Text Char"/>
    <w:link w:val="BalloonText"/>
    <w:rsid w:val="003D4A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4AE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D4AE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1528</Words>
  <Characters>9572</Characters>
  <Application>Microsoft Office Word</Application>
  <DocSecurity>0</DocSecurity>
  <Lines>367</Lines>
  <Paragraphs>198</Paragraphs>
  <ScaleCrop>false</ScaleCrop>
  <Company>Author-it Software Corporation Ltd.</Company>
  <LinksUpToDate>false</LinksUpToDate>
  <CharactersWithSpaces>11039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SFIPROC203C Shuck molluscs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2012-05-26T08:38:00Z</dcterms:created>
  <dcterms:modified xsi:type="dcterms:W3CDTF">2012-05-26T08:38:00Z</dcterms:modified>
</cp:coreProperties>
</file>