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902" w:rsidP="00C24902">
      <w:pPr>
        <w:pStyle w:val="Title"/>
      </w:pPr>
      <w:r>
        <w:fldChar w:fldCharType="begin"/>
      </w:r>
      <w:r>
        <w:instrText xml:space="preserve"> TITLE   \* MERGEFORMAT </w:instrText>
      </w:r>
      <w:r>
        <w:fldChar w:fldCharType="separate"/>
      </w:r>
      <w:r>
        <w:t>SFIPROC202C Process squid, cuttlefish and octopus</w:t>
      </w:r>
      <w:r>
        <w:fldChar w:fldCharType="end"/>
      </w:r>
    </w:p>
    <w:p w:rsidR="00C24902" w:rsidP="00C24902">
      <w:pPr>
        <w:pStyle w:val="Version"/>
        <w:sectPr w:rsidSect="00C638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8DC" w:rsidP="00C638DC">
      <w:pPr>
        <w:pStyle w:val="SuperHeading"/>
      </w:pPr>
      <w:r w:rsidRPr="00C638DC">
        <w:t>SFIPROC202C Process squid, cuttlefish and octopus</w:t>
      </w:r>
    </w:p>
    <w:p w:rsidR="00000000" w:rsidRPr="00C638DC" w:rsidP="00C638DC">
      <w:pPr>
        <w:pStyle w:val="Heading1"/>
      </w:pPr>
      <w:bookmarkStart w:id="1" w:name="O_273287"/>
      <w:bookmarkEnd w:id="1"/>
      <w:r w:rsidRPr="00C638DC">
        <w:t>Modification History</w:t>
      </w:r>
    </w:p>
    <w:p w:rsidR="00000000" w:rsidRPr="00C638DC" w:rsidP="00C638DC">
      <w:pPr>
        <w:pStyle w:val="BodyText"/>
      </w:pPr>
      <w:r w:rsidRPr="00C638DC">
        <w:t>Not Applicable</w:t>
      </w:r>
    </w:p>
    <w:p w:rsidR="00000000" w:rsidRPr="00C638DC" w:rsidP="00C638DC">
      <w:pPr>
        <w:pStyle w:val="AllowPageBreak"/>
      </w:pPr>
    </w:p>
    <w:p w:rsidR="00000000" w:rsidRPr="00C638DC" w:rsidP="00C638DC">
      <w:pPr>
        <w:pStyle w:val="Heading1"/>
      </w:pPr>
      <w:bookmarkStart w:id="2" w:name="O_218500"/>
      <w:bookmarkEnd w:id="2"/>
      <w:r w:rsidRPr="00C638DC">
        <w:t>Unit Descriptor</w:t>
      </w:r>
    </w:p>
    <w:tbl>
      <w:tblPr>
        <w:tblW w:w="0" w:type="auto"/>
        <w:tblLayout w:type="fixed"/>
        <w:tblCellMar>
          <w:left w:w="62" w:type="dxa"/>
          <w:right w:w="62" w:type="dxa"/>
        </w:tblCellMar>
        <w:tblLook w:val="0000"/>
      </w:tblPr>
      <w:tblGrid>
        <w:gridCol w:w="2627"/>
        <w:gridCol w:w="5895"/>
      </w:tblGrid>
      <w:tr w:rsidTr="00C24902">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Unit descriptor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BodyText"/>
            </w:pPr>
            <w:r w:rsidRPr="00C638DC">
              <w:t>This unit of competency involves cleaning squid, cuttlefish or octopus, removing all the internal org</w:t>
            </w:r>
            <w:r w:rsidRPr="00C638DC">
              <w:t>ans, skeleton/beak and skin to produce cleaned tubes and/or bodies.</w:t>
            </w:r>
          </w:p>
          <w:p w:rsidR="00000000" w:rsidRPr="00C638DC" w:rsidP="00C638DC">
            <w:pPr>
              <w:pStyle w:val="BodyText"/>
            </w:pPr>
            <w:r w:rsidRPr="00C638DC">
              <w:t>Licensing, legislative, regulatory or certification requirements may apply to this unit. Therefore it will be necessary to check with the relevant state or territory regulators for current</w:t>
            </w:r>
            <w:r w:rsidRPr="00C638DC">
              <w:t xml:space="preserve"> licensing, legislative or regulatory requirements before undertaking this unit.</w:t>
            </w:r>
          </w:p>
        </w:tc>
      </w:tr>
    </w:tbl>
    <w:p w:rsidR="00C24902" w:rsidP="00C638DC">
      <w:pPr>
        <w:pStyle w:val="BodyText"/>
      </w:pPr>
    </w:p>
    <w:p w:rsidR="00C24902" w:rsidP="00C638DC">
      <w:pPr>
        <w:pStyle w:val="BodyText"/>
      </w:pPr>
    </w:p>
    <w:p w:rsidR="00000000" w:rsidRPr="00C638DC" w:rsidP="00C638DC">
      <w:pPr>
        <w:pStyle w:val="Heading1"/>
      </w:pPr>
      <w:bookmarkStart w:id="3" w:name="O_218504"/>
      <w:bookmarkEnd w:id="3"/>
      <w:r w:rsidRPr="00C638DC">
        <w:t>Application of the Unit</w:t>
      </w:r>
    </w:p>
    <w:tbl>
      <w:tblPr>
        <w:tblW w:w="0" w:type="auto"/>
        <w:tblLayout w:type="fixed"/>
        <w:tblCellMar>
          <w:left w:w="62" w:type="dxa"/>
          <w:right w:w="62" w:type="dxa"/>
        </w:tblCellMar>
        <w:tblLook w:val="0000"/>
      </w:tblPr>
      <w:tblGrid>
        <w:gridCol w:w="2706"/>
        <w:gridCol w:w="5816"/>
      </w:tblGrid>
      <w:tr w:rsidTr="00C2490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Application of the unit</w:t>
            </w:r>
          </w:p>
        </w:tc>
        <w:tc>
          <w:tcPr>
            <w:tcW w:w="58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BodyText"/>
            </w:pPr>
            <w:r w:rsidRPr="00C638DC">
              <w:t xml:space="preserve">This unit has application for fish processing facilities, and wholesale and retail outlets that process squid, cuttlefish and octopus (cephalopod molluscs). It extends to cleaning and preparing product to customer or enterprise specifications. </w:t>
            </w:r>
          </w:p>
          <w:p w:rsidR="00000000" w:rsidRPr="00C638DC" w:rsidP="00C638DC">
            <w:pPr>
              <w:pStyle w:val="BodyText"/>
            </w:pPr>
            <w:r w:rsidRPr="00C638DC">
              <w:t>All enterpr</w:t>
            </w:r>
            <w:r w:rsidRPr="00C638DC">
              <w:t xml:space="preserve">ise or workplace procedures and activities are carried out according to </w:t>
            </w:r>
            <w:r w:rsidRPr="00C638DC">
              <w:rPr>
                <w:rStyle w:val="BoldandItalics"/>
              </w:rPr>
              <w:t>relevant government regulations</w:t>
            </w:r>
            <w:r w:rsidRPr="00C638DC">
              <w:t xml:space="preserve">, </w:t>
            </w:r>
            <w:r w:rsidRPr="00C638DC">
              <w:rPr>
                <w:rStyle w:val="BoldandItalics"/>
              </w:rPr>
              <w:t>licensing and other compliance requirements</w:t>
            </w:r>
            <w:r w:rsidRPr="00C638DC">
              <w:t xml:space="preserve">, including </w:t>
            </w:r>
            <w:r w:rsidRPr="00C638DC">
              <w:rPr>
                <w:rStyle w:val="BoldandItalics"/>
              </w:rPr>
              <w:t>occupational health and safety</w:t>
            </w:r>
            <w:r w:rsidRPr="00C638DC">
              <w:t xml:space="preserve"> (</w:t>
            </w:r>
            <w:r w:rsidRPr="00C638DC">
              <w:rPr>
                <w:rStyle w:val="BoldandItalics"/>
              </w:rPr>
              <w:t>OHS</w:t>
            </w:r>
            <w:r w:rsidRPr="00C638DC">
              <w:t xml:space="preserve">) </w:t>
            </w:r>
            <w:r w:rsidRPr="00C638DC">
              <w:rPr>
                <w:rStyle w:val="BoldandItalics"/>
              </w:rPr>
              <w:t>guidelines</w:t>
            </w:r>
            <w:r w:rsidRPr="00C638DC">
              <w:t xml:space="preserve">, </w:t>
            </w:r>
            <w:r w:rsidRPr="00C638DC">
              <w:rPr>
                <w:rStyle w:val="BoldandItalics"/>
              </w:rPr>
              <w:t>food safety and hygiene regulations and procedures</w:t>
            </w:r>
            <w:r w:rsidRPr="00C638DC">
              <w:t xml:space="preserve"> and </w:t>
            </w:r>
            <w:r w:rsidRPr="00C638DC">
              <w:rPr>
                <w:rStyle w:val="BoldandItalics"/>
              </w:rPr>
              <w:t>ecologically sustainable development</w:t>
            </w:r>
            <w:r w:rsidRPr="00C638DC">
              <w:t xml:space="preserve"> (</w:t>
            </w:r>
            <w:r w:rsidRPr="00C638DC">
              <w:rPr>
                <w:rStyle w:val="BoldandItalics"/>
              </w:rPr>
              <w:t>ESD</w:t>
            </w:r>
            <w:r w:rsidRPr="00C638DC">
              <w:t xml:space="preserve">) </w:t>
            </w:r>
            <w:r w:rsidRPr="00C638DC">
              <w:rPr>
                <w:rStyle w:val="BoldandItalics"/>
              </w:rPr>
              <w:t>principles</w:t>
            </w:r>
            <w:r w:rsidRPr="00C638DC">
              <w:t xml:space="preserve">. </w:t>
            </w:r>
          </w:p>
          <w:p w:rsidR="00000000" w:rsidRPr="00C638DC" w:rsidP="00C638DC">
            <w:pPr>
              <w:pStyle w:val="BodyText"/>
            </w:pPr>
            <w:r w:rsidRPr="00C638DC">
              <w:t>Equipment operation, maintenance, repairs and calibrations are undertaken in a safe manner that conforms to manufacturer instructions. Appropriat</w:t>
            </w:r>
            <w:r w:rsidRPr="00C638DC">
              <w:t xml:space="preserve">e </w:t>
            </w:r>
            <w:r w:rsidRPr="00C638DC">
              <w:rPr>
                <w:rStyle w:val="BoldandItalics"/>
              </w:rPr>
              <w:t>personal protective equipment</w:t>
            </w:r>
            <w:r w:rsidRPr="00C638DC">
              <w:t xml:space="preserve"> (</w:t>
            </w:r>
            <w:r w:rsidRPr="00C638DC">
              <w:rPr>
                <w:rStyle w:val="BoldandItalics"/>
              </w:rPr>
              <w:t>PPE</w:t>
            </w:r>
            <w:r w:rsidRPr="00C638DC">
              <w:t>) is selected, checked, used and maintained.</w:t>
            </w:r>
          </w:p>
        </w:tc>
      </w:tr>
    </w:tbl>
    <w:p w:rsidR="00C24902" w:rsidP="00C638DC">
      <w:pPr>
        <w:pStyle w:val="BodyText"/>
      </w:pPr>
    </w:p>
    <w:p w:rsidR="00C24902" w:rsidP="00C638DC">
      <w:pPr>
        <w:pStyle w:val="BodyText"/>
      </w:pPr>
    </w:p>
    <w:p w:rsidR="00000000" w:rsidRPr="00C638DC" w:rsidP="00C638DC">
      <w:pPr>
        <w:pStyle w:val="Heading1"/>
      </w:pPr>
      <w:bookmarkStart w:id="4" w:name="O_281547"/>
      <w:bookmarkEnd w:id="4"/>
      <w:r w:rsidRPr="00C638DC">
        <w:t>Licensing/Regulatory Information</w:t>
      </w:r>
    </w:p>
    <w:p w:rsidR="00000000" w:rsidRPr="00C638DC" w:rsidP="00C638DC">
      <w:pPr>
        <w:pStyle w:val="BodyText"/>
      </w:pPr>
      <w:r w:rsidRPr="00C638DC">
        <w:t>Refer to Unit Descriptor</w:t>
      </w:r>
    </w:p>
    <w:p w:rsidR="00000000" w:rsidRPr="00C638DC" w:rsidP="00C638DC">
      <w:pPr>
        <w:pStyle w:val="AllowPageBreak"/>
      </w:pPr>
    </w:p>
    <w:p w:rsidR="00000000" w:rsidRPr="00C638DC" w:rsidP="00C638DC">
      <w:pPr>
        <w:pStyle w:val="Heading1"/>
      </w:pPr>
      <w:bookmarkStart w:id="5" w:name="O_218502"/>
      <w:bookmarkEnd w:id="5"/>
      <w:r w:rsidRPr="00C638DC">
        <w:t>Pre-Requisites</w:t>
      </w:r>
    </w:p>
    <w:tbl>
      <w:tblPr>
        <w:tblW w:w="0" w:type="auto"/>
        <w:tblLayout w:type="fixed"/>
        <w:tblCellMar>
          <w:left w:w="62" w:type="dxa"/>
          <w:right w:w="62" w:type="dxa"/>
        </w:tblCellMar>
        <w:tblLook w:val="0000"/>
      </w:tblPr>
      <w:tblGrid>
        <w:gridCol w:w="2743"/>
        <w:gridCol w:w="1469"/>
        <w:gridCol w:w="4310"/>
      </w:tblGrid>
      <w:tr w:rsidTr="00C24902">
        <w:tblPrEx>
          <w:tblW w:w="0" w:type="auto"/>
          <w:tblLayout w:type="fixed"/>
          <w:tblCellMar>
            <w:left w:w="62" w:type="dxa"/>
            <w:right w:w="62" w:type="dxa"/>
          </w:tblCellMar>
          <w:tblLook w:val="0000"/>
        </w:tblPrEx>
        <w:trPr>
          <w:tblHeader/>
        </w:trPr>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Prerequisite units</w:t>
            </w:r>
          </w:p>
        </w:tc>
        <w:tc>
          <w:tcPr>
            <w:tcW w:w="577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p>
        </w:tc>
      </w:tr>
      <w:tr w:rsidTr="00C24902">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p>
        </w:tc>
      </w:tr>
      <w:tr w:rsidTr="00C24902">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BodyText"/>
            </w:pPr>
          </w:p>
        </w:tc>
      </w:tr>
    </w:tbl>
    <w:p w:rsidR="00C24902" w:rsidP="00C638DC">
      <w:pPr>
        <w:pStyle w:val="BodyText"/>
      </w:pPr>
    </w:p>
    <w:p w:rsidR="00C24902" w:rsidP="00C638DC">
      <w:pPr>
        <w:pStyle w:val="BodyText"/>
      </w:pPr>
    </w:p>
    <w:p w:rsidR="00000000" w:rsidRPr="00C638DC" w:rsidP="00C638DC">
      <w:pPr>
        <w:pStyle w:val="Heading1"/>
      </w:pPr>
      <w:bookmarkStart w:id="6" w:name="O_218501"/>
      <w:bookmarkEnd w:id="6"/>
      <w:r w:rsidRPr="00C638DC">
        <w:t>Employability Skills Information</w:t>
      </w:r>
    </w:p>
    <w:tbl>
      <w:tblPr>
        <w:tblW w:w="0" w:type="auto"/>
        <w:tblLayout w:type="fixed"/>
        <w:tblCellMar>
          <w:left w:w="62" w:type="dxa"/>
          <w:right w:w="62" w:type="dxa"/>
        </w:tblCellMar>
        <w:tblLook w:val="0000"/>
      </w:tblPr>
      <w:tblGrid>
        <w:gridCol w:w="2777"/>
        <w:gridCol w:w="5745"/>
      </w:tblGrid>
      <w:tr w:rsidTr="00C2490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BodyText"/>
            </w:pPr>
            <w:r w:rsidRPr="00C638DC">
              <w:t>This unit contains employability skills.</w:t>
            </w:r>
          </w:p>
        </w:tc>
      </w:tr>
    </w:tbl>
    <w:p w:rsidR="00C24902" w:rsidP="00C638DC">
      <w:pPr>
        <w:pStyle w:val="BodyText"/>
      </w:pPr>
    </w:p>
    <w:p w:rsidR="00C24902" w:rsidP="00C638DC">
      <w:pPr>
        <w:pStyle w:val="BodyText"/>
      </w:pPr>
    </w:p>
    <w:p w:rsidR="00000000" w:rsidRPr="00C638DC" w:rsidP="00C638DC">
      <w:pPr>
        <w:pStyle w:val="Heading1"/>
      </w:pPr>
      <w:bookmarkStart w:id="7" w:name="O_291333"/>
      <w:bookmarkEnd w:id="7"/>
      <w:r w:rsidRPr="00C638DC">
        <w:t>Elements and Performance Criteria Pre-Content</w:t>
      </w:r>
    </w:p>
    <w:tbl>
      <w:tblPr>
        <w:tblW w:w="0" w:type="auto"/>
        <w:tblLayout w:type="fixed"/>
        <w:tblCellMar>
          <w:left w:w="62" w:type="dxa"/>
          <w:right w:w="62" w:type="dxa"/>
        </w:tblCellMar>
        <w:tblLook w:val="0000"/>
      </w:tblPr>
      <w:tblGrid>
        <w:gridCol w:w="2542"/>
        <w:gridCol w:w="5980"/>
      </w:tblGrid>
      <w:tr w:rsidTr="00C2490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BodyText"/>
            </w:pPr>
            <w:r w:rsidRPr="00C638DC">
              <w:t>Performance criteria describe</w:t>
            </w:r>
            <w:r w:rsidRPr="00C638DC">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C638DC">
              <w:t>the evidence guide.</w:t>
            </w:r>
          </w:p>
        </w:tc>
      </w:tr>
    </w:tbl>
    <w:p w:rsidR="00000000" w:rsidRPr="00C638DC" w:rsidP="00C638DC">
      <w:pPr>
        <w:pStyle w:val="BodyText"/>
      </w:pPr>
    </w:p>
    <w:p w:rsidR="00000000" w:rsidRPr="00C638DC" w:rsidP="00C638DC">
      <w:pPr>
        <w:pStyle w:val="AllowPageBreak"/>
      </w:pPr>
    </w:p>
    <w:p w:rsidR="00000000" w:rsidRPr="00C638DC" w:rsidP="00C638DC">
      <w:pPr>
        <w:pStyle w:val="Heading1"/>
      </w:pPr>
      <w:bookmarkStart w:id="8" w:name="O_238001"/>
      <w:bookmarkEnd w:id="8"/>
      <w:r w:rsidRPr="00C638DC">
        <w:t>Elements and Performance Criteria</w:t>
      </w:r>
    </w:p>
    <w:tbl>
      <w:tblPr>
        <w:tblW w:w="0" w:type="auto"/>
        <w:tblLayout w:type="fixed"/>
        <w:tblCellMar>
          <w:left w:w="62" w:type="dxa"/>
          <w:right w:w="62" w:type="dxa"/>
        </w:tblCellMar>
        <w:tblLook w:val="0000"/>
      </w:tblPr>
      <w:tblGrid>
        <w:gridCol w:w="2542"/>
        <w:gridCol w:w="5980"/>
      </w:tblGrid>
      <w:tr w:rsidTr="00C24902">
        <w:tblPrEx>
          <w:tblW w:w="0" w:type="auto"/>
          <w:tblLayout w:type="fixed"/>
          <w:tblCellMar>
            <w:left w:w="62" w:type="dxa"/>
            <w:right w:w="62" w:type="dxa"/>
          </w:tblCellMar>
          <w:tblLook w:val="0000"/>
        </w:tblPrEx>
        <w:trPr>
          <w:tblHeader/>
        </w:trPr>
        <w:tc>
          <w:tcPr>
            <w:tcW w:w="2542" w:type="dxa"/>
            <w:tcBorders>
              <w:top w:val="nil"/>
              <w:left w:val="nil"/>
              <w:bottom w:val="single" w:sz="6" w:space="0" w:color="auto"/>
              <w:right w:val="nil"/>
            </w:tcBorders>
            <w:tcMar>
              <w:top w:w="0" w:type="dxa"/>
              <w:left w:w="62" w:type="dxa"/>
              <w:bottom w:w="0" w:type="dxa"/>
              <w:right w:w="62" w:type="dxa"/>
            </w:tcMar>
          </w:tcPr>
          <w:p w:rsidR="00000000" w:rsidRPr="00C638DC" w:rsidP="00C638DC">
            <w:pPr>
              <w:pStyle w:val="BodyText"/>
            </w:pPr>
            <w:r w:rsidRPr="00C638DC">
              <w:rPr>
                <w:rStyle w:val="SpecialBold"/>
              </w:rPr>
              <w:t>ELEMENT</w:t>
            </w:r>
          </w:p>
        </w:tc>
        <w:tc>
          <w:tcPr>
            <w:tcW w:w="5980" w:type="dxa"/>
            <w:tcBorders>
              <w:top w:val="nil"/>
              <w:left w:val="nil"/>
              <w:bottom w:val="single" w:sz="6" w:space="0" w:color="auto"/>
              <w:right w:val="nil"/>
            </w:tcBorders>
            <w:tcMar>
              <w:top w:w="0" w:type="dxa"/>
              <w:left w:w="62" w:type="dxa"/>
              <w:bottom w:w="0" w:type="dxa"/>
              <w:right w:w="62" w:type="dxa"/>
            </w:tcMar>
          </w:tcPr>
          <w:p w:rsidR="00000000" w:rsidP="00C638DC">
            <w:pPr>
              <w:pStyle w:val="BodyText"/>
              <w:rPr>
                <w:lang w:val="en-NZ"/>
              </w:rPr>
            </w:pPr>
            <w:r w:rsidRPr="00C638DC">
              <w:rPr>
                <w:rStyle w:val="SpecialBold"/>
              </w:rPr>
              <w:t>PERFORMANCE CRITERIA</w:t>
            </w:r>
          </w:p>
        </w:tc>
      </w:tr>
      <w:tr w:rsidTr="00C2490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List"/>
              <w:rPr>
                <w:lang w:val="en-NZ"/>
              </w:rPr>
            </w:pPr>
            <w:r w:rsidRPr="00C638DC">
              <w:t>1.</w:t>
            </w:r>
            <w:r w:rsidRPr="00C638DC">
              <w:tab/>
              <w:t>Prepare work area</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2"/>
            </w:pPr>
            <w:r w:rsidRPr="00C638DC">
              <w:t>1.1.</w:t>
            </w:r>
            <w:r w:rsidRPr="00C638DC">
              <w:tab/>
              <w:t>Work instructions are confirmed with supervisor.</w:t>
            </w:r>
          </w:p>
          <w:p w:rsidR="00000000" w:rsidRPr="00C638DC" w:rsidP="00C638DC">
            <w:pPr>
              <w:pStyle w:val="List2"/>
            </w:pPr>
            <w:r w:rsidRPr="00C638DC">
              <w:t>1.2.</w:t>
            </w:r>
            <w:r w:rsidRPr="00C638DC">
              <w:tab/>
            </w:r>
            <w:r w:rsidRPr="00C638DC">
              <w:t>Work area is cleaned before start and hygienic conditions maintained throughout.</w:t>
            </w:r>
          </w:p>
          <w:p w:rsidR="00000000" w:rsidRPr="00C638DC" w:rsidP="00C638DC">
            <w:pPr>
              <w:pStyle w:val="List2"/>
            </w:pPr>
            <w:r w:rsidRPr="00C638DC">
              <w:t>1.3.</w:t>
            </w:r>
            <w:r w:rsidRPr="00C638DC">
              <w:tab/>
            </w:r>
            <w:r w:rsidRPr="00C638DC">
              <w:rPr>
                <w:rStyle w:val="BoldandItalics"/>
              </w:rPr>
              <w:t>Equipment</w:t>
            </w:r>
            <w:r w:rsidRPr="00C638DC">
              <w:t xml:space="preserve"> for washing and/or grading product is clean and in full working order. </w:t>
            </w:r>
          </w:p>
          <w:p w:rsidR="00000000" w:rsidRPr="00C638DC" w:rsidP="00C638DC">
            <w:pPr>
              <w:pStyle w:val="List2"/>
            </w:pPr>
            <w:r w:rsidRPr="00C638DC">
              <w:t>1.4.</w:t>
            </w:r>
            <w:r w:rsidRPr="00C638DC">
              <w:tab/>
              <w:t>Sufficient potable ice, clean baskets and cold potable water are available.</w:t>
            </w:r>
          </w:p>
          <w:p w:rsidR="00000000" w:rsidP="00C638DC">
            <w:pPr>
              <w:pStyle w:val="List2"/>
              <w:rPr>
                <w:lang w:val="en-NZ"/>
              </w:rPr>
            </w:pPr>
            <w:r w:rsidRPr="00C638DC">
              <w:t>1.5.</w:t>
            </w:r>
            <w:r w:rsidRPr="00C638DC">
              <w:tab/>
              <w:t>Id</w:t>
            </w:r>
            <w:r w:rsidRPr="00C638DC">
              <w:t>entification and traceability of product is maintained throughout, according to enterprise food safety program.</w:t>
            </w:r>
          </w:p>
        </w:tc>
      </w:tr>
      <w:tr w:rsidTr="00C2490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List"/>
              <w:rPr>
                <w:lang w:val="en-NZ"/>
              </w:rPr>
            </w:pPr>
            <w:r w:rsidRPr="00C638DC">
              <w:t>2.</w:t>
            </w:r>
            <w:r w:rsidRPr="00C638DC">
              <w:tab/>
              <w:t>Remove head and fins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2"/>
            </w:pPr>
            <w:r w:rsidRPr="00C638DC">
              <w:t>2.1.</w:t>
            </w:r>
            <w:r w:rsidRPr="00C638DC">
              <w:tab/>
              <w:t>Whole animals are visually assessed for signs of spoilage and defects and defective animals set aside for use else</w:t>
            </w:r>
            <w:r w:rsidRPr="00C638DC">
              <w:t>where or discarded.</w:t>
            </w:r>
          </w:p>
          <w:p w:rsidR="00000000" w:rsidRPr="00C638DC" w:rsidP="00C638DC">
            <w:pPr>
              <w:pStyle w:val="List2"/>
            </w:pPr>
            <w:r w:rsidRPr="00C638DC">
              <w:t>2.2.</w:t>
            </w:r>
            <w:r w:rsidRPr="00C638DC">
              <w:tab/>
              <w:t xml:space="preserve">Whole animal is trimmed safely and hygienically according to the </w:t>
            </w:r>
            <w:r w:rsidRPr="00C638DC">
              <w:rPr>
                <w:rStyle w:val="BoldandItalics"/>
              </w:rPr>
              <w:t>specifications</w:t>
            </w:r>
            <w:r w:rsidRPr="00C638DC">
              <w:t xml:space="preserve"> for the </w:t>
            </w:r>
            <w:r w:rsidRPr="00C638DC">
              <w:rPr>
                <w:rStyle w:val="BoldandItalics"/>
              </w:rPr>
              <w:t>species</w:t>
            </w:r>
            <w:r w:rsidRPr="00C638DC">
              <w:t xml:space="preserve"> and edible waste material is placed into the correct container. </w:t>
            </w:r>
          </w:p>
          <w:p w:rsidR="00000000" w:rsidRPr="00C638DC" w:rsidP="00C638DC">
            <w:pPr>
              <w:pStyle w:val="List2"/>
            </w:pPr>
            <w:r w:rsidRPr="00C638DC">
              <w:t>2.3.</w:t>
            </w:r>
            <w:r w:rsidRPr="00C638DC">
              <w:tab/>
            </w:r>
            <w:r w:rsidRPr="00C638DC">
              <w:t>Equipment is checked for cleanliness prior to use, and used safely.</w:t>
            </w:r>
          </w:p>
          <w:p w:rsidR="00000000" w:rsidP="00C638DC">
            <w:pPr>
              <w:pStyle w:val="List2"/>
              <w:rPr>
                <w:lang w:val="en-NZ"/>
              </w:rPr>
            </w:pPr>
            <w:r w:rsidRPr="00C638DC">
              <w:t>2.4.</w:t>
            </w:r>
            <w:r w:rsidRPr="00C638DC">
              <w:tab/>
              <w:t>Cleaned flesh is rinsed free of all loose material.</w:t>
            </w:r>
          </w:p>
        </w:tc>
      </w:tr>
      <w:tr w:rsidTr="00C2490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List"/>
              <w:rPr>
                <w:lang w:val="en-NZ"/>
              </w:rPr>
            </w:pPr>
            <w:r w:rsidRPr="00C638DC">
              <w:t>3.</w:t>
            </w:r>
            <w:r w:rsidRPr="00C638DC">
              <w:tab/>
              <w:t>Clean product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2"/>
            </w:pPr>
            <w:r w:rsidRPr="00C638DC">
              <w:t>3.1.</w:t>
            </w:r>
            <w:r w:rsidRPr="00C638DC">
              <w:tab/>
              <w:t>Skin and internal organs are removed to produce cleaned product that meets enterprise cleaning rates and yie</w:t>
            </w:r>
            <w:r w:rsidRPr="00C638DC">
              <w:t xml:space="preserve">ld requirements. </w:t>
            </w:r>
          </w:p>
          <w:p w:rsidR="00000000" w:rsidRPr="00C638DC" w:rsidP="00C638DC">
            <w:pPr>
              <w:pStyle w:val="List2"/>
            </w:pPr>
            <w:r w:rsidRPr="00C638DC">
              <w:t>3.2.</w:t>
            </w:r>
            <w:r w:rsidRPr="00C638DC">
              <w:tab/>
              <w:t>Insides of cleaned product are assessed for signs of spoilage and other defects and defective product set aside for use elsewhere or discarded.</w:t>
            </w:r>
          </w:p>
          <w:p w:rsidR="00000000" w:rsidP="00C638DC">
            <w:pPr>
              <w:pStyle w:val="List2"/>
              <w:rPr>
                <w:lang w:val="en-NZ"/>
              </w:rPr>
            </w:pPr>
            <w:r w:rsidRPr="00C638DC">
              <w:t>3.3.</w:t>
            </w:r>
            <w:r w:rsidRPr="00C638DC">
              <w:tab/>
              <w:t>Cleaned product is rinsed in potable water, chilled and stored according to food saf</w:t>
            </w:r>
            <w:r w:rsidRPr="00C638DC">
              <w:t>ety program, pending further processing.</w:t>
            </w:r>
          </w:p>
        </w:tc>
      </w:tr>
      <w:tr w:rsidTr="00C2490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List"/>
              <w:rPr>
                <w:lang w:val="en-NZ"/>
              </w:rPr>
            </w:pPr>
            <w:r w:rsidRPr="00C638DC">
              <w:t>4.</w:t>
            </w:r>
            <w:r w:rsidRPr="00C638DC">
              <w:tab/>
              <w:t>Wash and pack</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2"/>
            </w:pPr>
            <w:r w:rsidRPr="00C638DC">
              <w:t>4.1.</w:t>
            </w:r>
            <w:r w:rsidRPr="00C638DC">
              <w:tab/>
              <w:t>Chilled clean product is size graded and packed or further processed</w:t>
            </w:r>
          </w:p>
          <w:p w:rsidR="00000000" w:rsidRPr="00C638DC" w:rsidP="00C638DC">
            <w:pPr>
              <w:pStyle w:val="List2"/>
            </w:pPr>
            <w:r w:rsidRPr="00C638DC">
              <w:t>4.2.</w:t>
            </w:r>
            <w:r w:rsidRPr="00C638DC">
              <w:tab/>
              <w:t>Identification and traceability of product is maintained.</w:t>
            </w:r>
          </w:p>
        </w:tc>
      </w:tr>
    </w:tbl>
    <w:p w:rsidR="00C24902" w:rsidP="00C638DC">
      <w:pPr>
        <w:pStyle w:val="BodyText"/>
      </w:pPr>
    </w:p>
    <w:p w:rsidR="00C24902" w:rsidP="00C638DC">
      <w:pPr>
        <w:pStyle w:val="BodyText"/>
      </w:pPr>
    </w:p>
    <w:p w:rsidR="00000000" w:rsidRPr="00C638DC" w:rsidP="00C638DC">
      <w:pPr>
        <w:pStyle w:val="Heading1"/>
      </w:pPr>
      <w:bookmarkStart w:id="9" w:name="O_261792"/>
      <w:bookmarkEnd w:id="9"/>
      <w:r w:rsidRPr="00C638DC">
        <w:t>Required Skills and Knowledge</w:t>
      </w:r>
    </w:p>
    <w:tbl>
      <w:tblPr>
        <w:tblW w:w="0" w:type="auto"/>
        <w:tblLayout w:type="fixed"/>
        <w:tblCellMar>
          <w:left w:w="62" w:type="dxa"/>
          <w:right w:w="62" w:type="dxa"/>
        </w:tblCellMar>
        <w:tblLook w:val="0000"/>
      </w:tblPr>
      <w:tblGrid>
        <w:gridCol w:w="8556"/>
      </w:tblGrid>
      <w:tr w:rsidTr="00C24902">
        <w:tblPrEx>
          <w:tblW w:w="0" w:type="auto"/>
          <w:tblLayout w:type="fixed"/>
          <w:tblCellMar>
            <w:left w:w="62" w:type="dxa"/>
            <w:right w:w="62" w:type="dxa"/>
          </w:tblCellMar>
          <w:tblLook w:val="0000"/>
        </w:tblPrEx>
        <w:trPr>
          <w:tblHeader/>
        </w:trPr>
        <w:tc>
          <w:tcPr>
            <w:tcW w:w="8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REQUIRED SKILLS AND KNOWLEDGE</w:t>
            </w:r>
          </w:p>
        </w:tc>
      </w:tr>
      <w:tr w:rsidTr="00C24902">
        <w:tblPrEx>
          <w:tblW w:w="0" w:type="auto"/>
          <w:tblLayout w:type="fixed"/>
          <w:tblCellMar>
            <w:left w:w="62" w:type="dxa"/>
            <w:right w:w="62" w:type="dxa"/>
          </w:tblCellMar>
          <w:tblLook w:val="0000"/>
        </w:tblPrEx>
        <w:tc>
          <w:tcPr>
            <w:tcW w:w="8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t>This section describes the skills and knowledge required for this unit.</w:t>
            </w:r>
          </w:p>
        </w:tc>
      </w:tr>
      <w:tr w:rsidTr="00C24902">
        <w:tblPrEx>
          <w:tblW w:w="0" w:type="auto"/>
          <w:tblLayout w:type="fixed"/>
          <w:tblCellMar>
            <w:left w:w="62" w:type="dxa"/>
            <w:right w:w="62" w:type="dxa"/>
          </w:tblCellMar>
          <w:tblLook w:val="0000"/>
        </w:tblPrEx>
        <w:tc>
          <w:tcPr>
            <w:tcW w:w="8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Required skills</w:t>
            </w:r>
          </w:p>
        </w:tc>
      </w:tr>
      <w:tr w:rsidTr="00C24902">
        <w:tblPrEx>
          <w:tblW w:w="0" w:type="auto"/>
          <w:tblLayout w:type="fixed"/>
          <w:tblCellMar>
            <w:left w:w="62" w:type="dxa"/>
            <w:right w:w="62" w:type="dxa"/>
          </w:tblCellMar>
          <w:tblLook w:val="0000"/>
        </w:tblPrEx>
        <w:tc>
          <w:tcPr>
            <w:tcW w:w="8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Bullet"/>
            </w:pPr>
            <w:r w:rsidRPr="00C638DC">
              <w:t xml:space="preserve">cleaning and maintaining a hygienic workplace </w:t>
            </w:r>
          </w:p>
          <w:p w:rsidR="00000000" w:rsidRPr="00C638DC" w:rsidP="00C638DC">
            <w:pPr>
              <w:pStyle w:val="ListBullet"/>
            </w:pPr>
            <w:r w:rsidRPr="00C638DC">
              <w:t xml:space="preserve">communicating orally to give and receive information </w:t>
            </w:r>
          </w:p>
          <w:p w:rsidR="00000000" w:rsidRPr="00C638DC" w:rsidP="00C638DC">
            <w:pPr>
              <w:pStyle w:val="ListBullet"/>
            </w:pPr>
            <w:r w:rsidRPr="00C638DC">
              <w:t>handling cephalopod molluscs safely and hygienically</w:t>
            </w:r>
          </w:p>
          <w:p w:rsidR="00000000" w:rsidRPr="00C638DC" w:rsidP="00C638DC">
            <w:pPr>
              <w:pStyle w:val="ListBullet"/>
            </w:pPr>
            <w:r w:rsidRPr="00C638DC">
              <w:t>identifying signs of spoilage and common defects, diseases and parasites for squid, cuttlefish and octopus</w:t>
            </w:r>
          </w:p>
          <w:p w:rsidR="00000000" w:rsidRPr="00C638DC" w:rsidP="00C638DC">
            <w:pPr>
              <w:pStyle w:val="ListBullet"/>
            </w:pPr>
            <w:r w:rsidRPr="00C638DC">
              <w:t>identifying species and location of body parts (e.g. gills, guts, beak, head, fins and mouth mas</w:t>
            </w:r>
            <w:r w:rsidRPr="00C638DC">
              <w:t>s)</w:t>
            </w:r>
          </w:p>
          <w:p w:rsidR="00000000" w:rsidRPr="00C638DC" w:rsidP="00C638DC">
            <w:pPr>
              <w:pStyle w:val="ListBullet"/>
            </w:pPr>
            <w:r w:rsidRPr="00C638DC">
              <w:t>safely using equipment, such as knives, tumbling machine, skinning machine and cooking equipment.</w:t>
            </w:r>
          </w:p>
          <w:p w:rsidR="00000000" w:rsidRPr="00C638DC" w:rsidP="00C638DC">
            <w:pPr>
              <w:pStyle w:val="BodyText"/>
            </w:pPr>
          </w:p>
          <w:p w:rsidR="00000000" w:rsidRPr="00C638DC" w:rsidP="00C638DC">
            <w:pPr>
              <w:pStyle w:val="BodyText"/>
            </w:pPr>
            <w:r w:rsidRPr="00C638DC">
              <w:rPr>
                <w:rStyle w:val="SpecialBold"/>
              </w:rPr>
              <w:t>Literacy skills used for</w:t>
            </w:r>
            <w:r w:rsidRPr="00C638DC">
              <w:t>:</w:t>
            </w:r>
          </w:p>
          <w:p w:rsidR="00000000" w:rsidRPr="00C638DC" w:rsidP="00C638DC">
            <w:pPr>
              <w:pStyle w:val="ListBullet"/>
            </w:pPr>
            <w:r w:rsidRPr="00C638DC">
              <w:t>interpreting enterprise procedures</w:t>
            </w:r>
          </w:p>
          <w:p w:rsidR="00000000" w:rsidRPr="00C638DC" w:rsidP="00C638DC">
            <w:pPr>
              <w:pStyle w:val="ListBullet"/>
            </w:pPr>
            <w:r w:rsidRPr="00C638DC">
              <w:t>interpreting productivity and yield specifications.</w:t>
            </w:r>
          </w:p>
          <w:p w:rsidR="00000000" w:rsidRPr="00C638DC" w:rsidP="00C638DC">
            <w:pPr>
              <w:pStyle w:val="BodyText"/>
            </w:pPr>
          </w:p>
          <w:p w:rsidR="00000000" w:rsidRPr="00C638DC" w:rsidP="00C638DC">
            <w:pPr>
              <w:pStyle w:val="BodyText"/>
            </w:pPr>
            <w:r w:rsidRPr="00C638DC">
              <w:rPr>
                <w:rStyle w:val="SpecialBold"/>
              </w:rPr>
              <w:t>Numeracy skills used for</w:t>
            </w:r>
            <w:r w:rsidRPr="00C638DC">
              <w:t xml:space="preserve">: </w:t>
            </w:r>
          </w:p>
          <w:p w:rsidR="00000000" w:rsidRPr="00C638DC" w:rsidP="00C638DC">
            <w:pPr>
              <w:pStyle w:val="ListBullet"/>
            </w:pPr>
            <w:r w:rsidRPr="00C638DC">
              <w:t>interpretin</w:t>
            </w:r>
            <w:r w:rsidRPr="00C638DC">
              <w:t>g and applying size grading</w:t>
            </w:r>
          </w:p>
          <w:p w:rsidR="00000000" w:rsidP="00C638DC">
            <w:pPr>
              <w:pStyle w:val="ListBullet"/>
              <w:rPr>
                <w:lang w:val="en-NZ"/>
              </w:rPr>
            </w:pPr>
            <w:r w:rsidRPr="00C638DC">
              <w:t>interpreting weighing scales.</w:t>
            </w:r>
          </w:p>
        </w:tc>
      </w:tr>
      <w:tr w:rsidTr="00C24902">
        <w:tblPrEx>
          <w:tblW w:w="0" w:type="auto"/>
          <w:tblLayout w:type="fixed"/>
          <w:tblCellMar>
            <w:left w:w="62" w:type="dxa"/>
            <w:right w:w="62" w:type="dxa"/>
          </w:tblCellMar>
          <w:tblLook w:val="0000"/>
        </w:tblPrEx>
        <w:tc>
          <w:tcPr>
            <w:tcW w:w="8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Required knowledge</w:t>
            </w:r>
          </w:p>
        </w:tc>
      </w:tr>
      <w:tr w:rsidTr="00C24902">
        <w:tblPrEx>
          <w:tblW w:w="0" w:type="auto"/>
          <w:tblLayout w:type="fixed"/>
          <w:tblCellMar>
            <w:left w:w="62" w:type="dxa"/>
            <w:right w:w="62" w:type="dxa"/>
          </w:tblCellMar>
          <w:tblLook w:val="0000"/>
        </w:tblPrEx>
        <w:tc>
          <w:tcPr>
            <w:tcW w:w="8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Bullet"/>
            </w:pPr>
            <w:r w:rsidRPr="00C638DC">
              <w:t>application of enterprise OHS standards in regard to cleaning squid, cuttlefish and octopus</w:t>
            </w:r>
          </w:p>
          <w:p w:rsidR="00000000" w:rsidRPr="00C638DC" w:rsidP="00C638DC">
            <w:pPr>
              <w:pStyle w:val="ListBullet"/>
            </w:pPr>
            <w:r w:rsidRPr="00C638DC">
              <w:t>food safety procedures and regulations that apply when handling and storing squid, cuttlefish and octopus</w:t>
            </w:r>
          </w:p>
          <w:p w:rsidR="00000000" w:rsidRPr="00C638DC" w:rsidP="00C638DC">
            <w:pPr>
              <w:pStyle w:val="ListBullet"/>
            </w:pPr>
            <w:r w:rsidRPr="00C638DC">
              <w:t>personal, workplace and product hygiene principles</w:t>
            </w:r>
          </w:p>
          <w:p w:rsidR="00000000" w:rsidRPr="00C638DC" w:rsidP="00C638DC">
            <w:pPr>
              <w:pStyle w:val="ListBullet"/>
            </w:pPr>
            <w:r w:rsidRPr="00C638DC">
              <w:t>enterprise quality system procedures addressing customer specifications, product identification and</w:t>
            </w:r>
            <w:r w:rsidRPr="00C638DC">
              <w:t xml:space="preserve"> traceability</w:t>
            </w:r>
          </w:p>
          <w:p w:rsidR="00000000" w:rsidRPr="00C638DC" w:rsidP="00C638DC">
            <w:pPr>
              <w:pStyle w:val="ListBullet"/>
            </w:pPr>
            <w:r w:rsidRPr="00C638DC">
              <w:t>safe storage and handling of food-grade chemicals</w:t>
            </w:r>
          </w:p>
          <w:p w:rsidR="00000000" w:rsidRPr="00C638DC" w:rsidP="00C638DC">
            <w:pPr>
              <w:pStyle w:val="ListBullet"/>
            </w:pPr>
            <w:r w:rsidRPr="00C638DC">
              <w:t>spoilage pattern and common defects, diseases and parasites for squid, cuttlefish and octopus.</w:t>
            </w:r>
          </w:p>
        </w:tc>
      </w:tr>
    </w:tbl>
    <w:p w:rsidR="00C24902" w:rsidP="00C638DC">
      <w:pPr>
        <w:pStyle w:val="BodyText"/>
      </w:pPr>
    </w:p>
    <w:p w:rsidR="00C24902" w:rsidP="00C638DC">
      <w:pPr>
        <w:pStyle w:val="BodyText"/>
      </w:pPr>
    </w:p>
    <w:p w:rsidR="00000000" w:rsidRPr="00C638DC" w:rsidP="00C638DC">
      <w:pPr>
        <w:pStyle w:val="AllowPageBreak"/>
      </w:pPr>
    </w:p>
    <w:p w:rsidR="00000000" w:rsidRPr="00C638DC" w:rsidP="00C638DC">
      <w:pPr>
        <w:pStyle w:val="Heading1"/>
      </w:pPr>
      <w:bookmarkStart w:id="10" w:name="O_245985"/>
      <w:bookmarkEnd w:id="10"/>
      <w:r w:rsidRPr="00C638DC">
        <w:t>Evidence Guide</w:t>
      </w:r>
    </w:p>
    <w:tbl>
      <w:tblPr>
        <w:tblW w:w="9570" w:type="dxa"/>
        <w:tblLayout w:type="fixed"/>
        <w:tblCellMar>
          <w:left w:w="62" w:type="dxa"/>
          <w:right w:w="62" w:type="dxa"/>
        </w:tblCellMar>
        <w:tblLook w:val="0000"/>
      </w:tblPr>
      <w:tblGrid>
        <w:gridCol w:w="3908"/>
        <w:gridCol w:w="5662"/>
      </w:tblGrid>
      <w:tr w:rsidTr="00C249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EVIDENCE GUIDE</w:t>
            </w:r>
          </w:p>
        </w:tc>
      </w:tr>
      <w:tr w:rsidTr="00C249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t>The evidence guide provides advice on assessment and must be read in conjunction with the performance criteria, required skills and knowledge, range statement and the Assessment Guidelines for the Training Package.</w:t>
            </w:r>
          </w:p>
        </w:tc>
      </w:tr>
      <w:tr w:rsidTr="00C249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p>
        </w:tc>
      </w:tr>
      <w:tr w:rsidTr="00C249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Critical aspec</w:t>
            </w:r>
            <w:r w:rsidRPr="00C638DC">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BodyText"/>
            </w:pPr>
            <w:r w:rsidRPr="00C638DC">
              <w:t xml:space="preserve">Assessment must confirm the ability to: </w:t>
            </w:r>
          </w:p>
          <w:p w:rsidR="00000000" w:rsidRPr="00C638DC" w:rsidP="00C638DC">
            <w:pPr>
              <w:pStyle w:val="ListBullet"/>
            </w:pPr>
            <w:r w:rsidRPr="00C638DC">
              <w:t>meet enterprise yield and cleaning rates consistently</w:t>
            </w:r>
          </w:p>
          <w:p w:rsidR="00000000" w:rsidRPr="00C638DC" w:rsidP="00C638DC">
            <w:pPr>
              <w:pStyle w:val="ListBullet"/>
            </w:pPr>
            <w:r w:rsidRPr="00C638DC">
              <w:t xml:space="preserve">follow the enterprise food safety program </w:t>
            </w:r>
          </w:p>
          <w:p w:rsidR="00000000" w:rsidRPr="00C638DC" w:rsidP="00C638DC">
            <w:pPr>
              <w:pStyle w:val="ListBullet"/>
            </w:pPr>
            <w:r w:rsidRPr="00C638DC">
              <w:t>hygienically clean squid, cuttlefish or octopus to enterprise specifications in readiness for further processing</w:t>
            </w:r>
          </w:p>
          <w:p w:rsidR="00000000" w:rsidRPr="00C638DC" w:rsidP="00C638DC">
            <w:pPr>
              <w:pStyle w:val="ListBullet"/>
            </w:pPr>
            <w:r w:rsidRPr="00C638DC">
              <w:t>recognise species, identify key parts of the body (e.g. gills, guts, beak, head, fins and mouth mass)</w:t>
            </w:r>
          </w:p>
          <w:p w:rsidR="00000000" w:rsidRPr="00C638DC" w:rsidP="00C638DC">
            <w:pPr>
              <w:pStyle w:val="ListBullet"/>
            </w:pPr>
            <w:r w:rsidRPr="00C638DC">
              <w:t>work safely following enterprise OHS proc</w:t>
            </w:r>
            <w:r w:rsidRPr="00C638DC">
              <w:t>edures.</w:t>
            </w:r>
          </w:p>
          <w:p w:rsidR="00000000" w:rsidRPr="00C638DC" w:rsidP="00C638DC">
            <w:pPr>
              <w:pStyle w:val="BodyText"/>
            </w:pPr>
          </w:p>
          <w:p w:rsidR="00000000" w:rsidRPr="00C638DC" w:rsidP="00C638DC">
            <w:pPr>
              <w:pStyle w:val="BodyText"/>
            </w:pPr>
            <w:r w:rsidRPr="00C638DC">
              <w:t xml:space="preserve">Assessment must confirm knowledge of: </w:t>
            </w:r>
          </w:p>
          <w:p w:rsidR="00000000" w:rsidRPr="00C638DC" w:rsidP="00C638DC">
            <w:pPr>
              <w:pStyle w:val="ListBullet"/>
            </w:pPr>
            <w:r w:rsidRPr="00C638DC">
              <w:t>common squid, cuttlefish and octopus defects, diseases and parasites</w:t>
            </w:r>
          </w:p>
          <w:p w:rsidR="00000000" w:rsidRPr="00C638DC" w:rsidP="00C638DC">
            <w:pPr>
              <w:pStyle w:val="ListBullet"/>
            </w:pPr>
            <w:r w:rsidRPr="00C638DC">
              <w:t>enterprise safe work practices, quality and food safety requirements relevant to processing squid, cuttlefish and octopus</w:t>
            </w:r>
          </w:p>
          <w:p w:rsidR="00000000" w:rsidP="00C638DC">
            <w:pPr>
              <w:pStyle w:val="ListBullet"/>
              <w:rPr>
                <w:lang w:val="en-NZ"/>
              </w:rPr>
            </w:pPr>
            <w:r w:rsidRPr="00C638DC">
              <w:t>spoilage pattern</w:t>
            </w:r>
            <w:r w:rsidRPr="00C638DC">
              <w:t xml:space="preserve"> of cephalopod molluscs.</w:t>
            </w:r>
          </w:p>
        </w:tc>
      </w:tr>
      <w:tr w:rsidTr="00C249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BodyText"/>
            </w:pPr>
            <w:r w:rsidRPr="00C638DC">
              <w:t xml:space="preserve">Assessment is to be conducted at the workplace or in a simulated work environment. </w:t>
            </w:r>
          </w:p>
          <w:p w:rsidR="00000000" w:rsidRPr="00C638DC" w:rsidP="00C638DC">
            <w:pPr>
              <w:pStyle w:val="BodyText"/>
            </w:pPr>
          </w:p>
          <w:p w:rsidR="00000000" w:rsidRPr="00C638DC" w:rsidP="00C638DC">
            <w:pPr>
              <w:pStyle w:val="BodyText"/>
            </w:pPr>
            <w:r w:rsidRPr="00C638DC">
              <w:t xml:space="preserve">Resources may include: </w:t>
            </w:r>
          </w:p>
          <w:p w:rsidR="00000000" w:rsidRPr="00C638DC" w:rsidP="00C638DC">
            <w:pPr>
              <w:pStyle w:val="ListBullet"/>
            </w:pPr>
            <w:r w:rsidRPr="00C638DC">
              <w:t>cutting knife</w:t>
            </w:r>
          </w:p>
          <w:p w:rsidR="00000000" w:rsidRPr="00C638DC" w:rsidP="00C638DC">
            <w:pPr>
              <w:pStyle w:val="ListBullet"/>
            </w:pPr>
            <w:r w:rsidRPr="00C638DC">
              <w:t>fish cleaning tubs, clean fish tubs and running potable water</w:t>
            </w:r>
          </w:p>
          <w:p w:rsidR="00000000" w:rsidRPr="00C638DC" w:rsidP="00C638DC">
            <w:pPr>
              <w:pStyle w:val="ListBullet"/>
            </w:pPr>
            <w:r w:rsidRPr="00C638DC">
              <w:t>product, including at least one (1) octopus and one (1) squid</w:t>
            </w:r>
          </w:p>
          <w:p w:rsidR="00000000" w:rsidP="00C638DC">
            <w:pPr>
              <w:pStyle w:val="ListBullet"/>
              <w:rPr>
                <w:lang w:val="en-NZ"/>
              </w:rPr>
            </w:pPr>
            <w:r w:rsidRPr="00C638DC">
              <w:t>weighing scales.</w:t>
            </w:r>
          </w:p>
        </w:tc>
      </w:tr>
      <w:tr w:rsidTr="00C249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BodyText"/>
            </w:pPr>
            <w:r w:rsidRPr="00C638DC">
              <w:t xml:space="preserve">The following assessment methods are suggested: </w:t>
            </w:r>
          </w:p>
          <w:p w:rsidR="00000000" w:rsidRPr="00C638DC" w:rsidP="00C638DC">
            <w:pPr>
              <w:pStyle w:val="ListBullet"/>
            </w:pPr>
            <w:r w:rsidRPr="00C638DC">
              <w:t>demonstration</w:t>
            </w:r>
          </w:p>
          <w:p w:rsidR="00000000" w:rsidP="00C638DC">
            <w:pPr>
              <w:pStyle w:val="ListBullet"/>
              <w:rPr>
                <w:lang w:val="en-NZ"/>
              </w:rPr>
            </w:pPr>
            <w:r w:rsidRPr="00C638DC">
              <w:t>oral questions.</w:t>
            </w:r>
          </w:p>
        </w:tc>
      </w:tr>
      <w:tr w:rsidTr="00C249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Guidance inf</w:t>
            </w:r>
            <w:r w:rsidRPr="00C638DC">
              <w:rPr>
                <w:rStyle w:val="SpecialBold"/>
              </w:rPr>
              <w:t>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BodyText"/>
            </w:pPr>
            <w:r w:rsidRPr="00C638DC">
              <w:t>This unit may be assessed holistically with other units within a qualification.</w:t>
            </w:r>
          </w:p>
        </w:tc>
      </w:tr>
    </w:tbl>
    <w:p w:rsidR="00C24902" w:rsidP="00C638DC">
      <w:pPr>
        <w:pStyle w:val="BodyText"/>
      </w:pPr>
    </w:p>
    <w:p w:rsidR="00C24902" w:rsidP="00C638DC">
      <w:pPr>
        <w:pStyle w:val="BodyText"/>
      </w:pPr>
    </w:p>
    <w:p w:rsidR="00000000" w:rsidRPr="00C638DC" w:rsidP="00C638DC">
      <w:pPr>
        <w:pStyle w:val="Heading1"/>
      </w:pPr>
      <w:bookmarkStart w:id="11" w:name="O_253968"/>
      <w:bookmarkEnd w:id="11"/>
      <w:r w:rsidRPr="00C638DC">
        <w:t>Range Statement</w:t>
      </w:r>
    </w:p>
    <w:tbl>
      <w:tblPr>
        <w:tblW w:w="0" w:type="auto"/>
        <w:tblLayout w:type="fixed"/>
        <w:tblCellMar>
          <w:left w:w="62" w:type="dxa"/>
          <w:right w:w="62" w:type="dxa"/>
        </w:tblCellMar>
        <w:tblLook w:val="0000"/>
      </w:tblPr>
      <w:tblGrid>
        <w:gridCol w:w="3517"/>
        <w:gridCol w:w="5005"/>
      </w:tblGrid>
      <w:tr w:rsidTr="00C249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RANGE STATEMENT</w:t>
            </w:r>
          </w:p>
        </w:tc>
      </w:tr>
      <w:tr w:rsidTr="00C249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t>The range stateme</w:t>
            </w:r>
            <w:r w:rsidRPr="00C638DC">
              <w:t xml:space="preserve">nt relates to the unit of competency as a whole. It allows for different work environments and situations that may affect performance. Bold italicised wording, if used in the performance criteria, is detailed below. Essential operating conditions that may </w:t>
            </w:r>
            <w:r w:rsidRPr="00C638DC">
              <w:t>be present with training and assessment (depending on the work situation, needs of the candidate, accessibility of the item, and local industry and regional contexts) may also be included.</w:t>
            </w:r>
          </w:p>
        </w:tc>
      </w:tr>
      <w:tr w:rsidTr="00C2490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BoldandItalics"/>
              </w:rPr>
              <w:t>Relevant government regulations</w:t>
            </w:r>
            <w:r w:rsidRPr="00C638DC">
              <w:t xml:space="preserve">, </w:t>
            </w:r>
            <w:r w:rsidRPr="00C638DC">
              <w:rPr>
                <w:rStyle w:val="BoldandItalics"/>
              </w:rPr>
              <w:t>licensing and other compliance r</w:t>
            </w:r>
            <w:r w:rsidRPr="00C638DC">
              <w:rPr>
                <w:rStyle w:val="BoldandItalics"/>
              </w:rPr>
              <w:t>equirements</w:t>
            </w:r>
            <w:r w:rsidRPr="00C638DC">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Bullet"/>
            </w:pPr>
            <w:r w:rsidRPr="00C638DC">
              <w:t>business or workplace operations, policies and practices</w:t>
            </w:r>
          </w:p>
          <w:p w:rsidR="00000000" w:rsidRPr="00C638DC" w:rsidP="00C638DC">
            <w:pPr>
              <w:pStyle w:val="ListBullet"/>
            </w:pPr>
            <w:r w:rsidRPr="00C638DC">
              <w:t>correct marketing names and labelling</w:t>
            </w:r>
          </w:p>
          <w:p w:rsidR="00000000" w:rsidRPr="00C638DC" w:rsidP="00C638DC">
            <w:pPr>
              <w:pStyle w:val="ListBullet"/>
            </w:pPr>
            <w:r w:rsidRPr="00C638DC">
              <w:t>environmental hazard identification, risk assessment and control</w:t>
            </w:r>
          </w:p>
          <w:p w:rsidR="00000000" w:rsidRPr="00C638DC" w:rsidP="00C638DC">
            <w:pPr>
              <w:pStyle w:val="ListBullet"/>
            </w:pPr>
            <w:r w:rsidRPr="00C638DC">
              <w:t>food safety/Hazard Analysis Critical Control Point (HACCP), hygiene and temperature control along chain of custody and Australian Quarantine Inspection Service (AQIS) Export Control (Fish) orders</w:t>
            </w:r>
          </w:p>
          <w:p w:rsidR="00000000" w:rsidP="00C638DC">
            <w:pPr>
              <w:pStyle w:val="ListBullet"/>
              <w:rPr>
                <w:lang w:val="en-NZ"/>
              </w:rPr>
            </w:pPr>
            <w:r w:rsidRPr="00C638DC">
              <w:t>OHS hazard identification, risk assessment and control.</w:t>
            </w:r>
          </w:p>
        </w:tc>
      </w:tr>
      <w:tr w:rsidTr="00C2490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BoldandItalics"/>
              </w:rPr>
              <w:t>OHS</w:t>
            </w:r>
            <w:r w:rsidRPr="00C638DC">
              <w:rPr>
                <w:rStyle w:val="BoldandItalics"/>
              </w:rPr>
              <w:t xml:space="preserve"> guidelines</w:t>
            </w:r>
            <w:r w:rsidRPr="00C638DC">
              <w:t xml:space="preserve"> may include: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Bullet"/>
            </w:pPr>
            <w:r w:rsidRPr="00C638DC">
              <w:t>appropriate workplace provision of first aid kits and fire extinguishers</w:t>
            </w:r>
          </w:p>
          <w:p w:rsidR="00000000" w:rsidRPr="00C638DC" w:rsidP="00C638DC">
            <w:pPr>
              <w:pStyle w:val="ListBullet"/>
            </w:pPr>
            <w:r w:rsidRPr="00C638DC">
              <w:t>clean, uncluttered, hygienic workplace</w:t>
            </w:r>
          </w:p>
          <w:p w:rsidR="00000000" w:rsidRPr="00C638DC" w:rsidP="00C638DC">
            <w:pPr>
              <w:pStyle w:val="ListBullet"/>
            </w:pPr>
            <w:r w:rsidRPr="00C638DC">
              <w:t>codes of practice, regulations and/or guidance notes which may apply in a jurisdiction or industry sector</w:t>
            </w:r>
          </w:p>
          <w:p w:rsidR="00000000" w:rsidRPr="00C638DC" w:rsidP="00C638DC">
            <w:pPr>
              <w:pStyle w:val="ListBullet"/>
            </w:pPr>
            <w:r w:rsidRPr="00C638DC">
              <w:t>enterprise-</w:t>
            </w:r>
            <w:r w:rsidRPr="00C638DC">
              <w:t>specific OHS safety procedures, policies or standards</w:t>
            </w:r>
          </w:p>
          <w:p w:rsidR="00000000" w:rsidRPr="00C638DC" w:rsidP="00C638DC">
            <w:pPr>
              <w:pStyle w:val="ListBullet"/>
            </w:pPr>
            <w:r w:rsidRPr="00C638DC">
              <w:t>hazard and risk assessment of workplace, maintenance activities and control measures</w:t>
            </w:r>
          </w:p>
          <w:p w:rsidR="00000000" w:rsidRPr="00C638DC" w:rsidP="00C638DC">
            <w:pPr>
              <w:pStyle w:val="ListBullet"/>
            </w:pPr>
            <w:r w:rsidRPr="00C638DC">
              <w:t>induction or training of staff, contractors and visitors in relevant OHS procedures and/or requirements to allow them</w:t>
            </w:r>
            <w:r w:rsidRPr="00C638DC">
              <w:t xml:space="preserve"> to carry out their duties in a safe manner </w:t>
            </w:r>
          </w:p>
          <w:p w:rsidR="00000000" w:rsidRPr="00C638DC" w:rsidP="00C638DC">
            <w:pPr>
              <w:pStyle w:val="ListBullet"/>
            </w:pPr>
            <w:r w:rsidRPr="00C638DC">
              <w:t>OHS training register</w:t>
            </w:r>
          </w:p>
          <w:p w:rsidR="00000000" w:rsidRPr="00C638DC" w:rsidP="00C638DC">
            <w:pPr>
              <w:pStyle w:val="ListBullet"/>
            </w:pPr>
            <w:r w:rsidRPr="00C638DC">
              <w:t>safe lifting, carrying and handling techniques, including manual handling, and the handling and storage of hazardous substances</w:t>
            </w:r>
          </w:p>
          <w:p w:rsidR="00000000" w:rsidRPr="00C638DC" w:rsidP="00C638DC">
            <w:pPr>
              <w:pStyle w:val="ListBullet"/>
            </w:pPr>
            <w:r w:rsidRPr="00C638DC">
              <w:t>safe systems and procedures for the protection of people in t</w:t>
            </w:r>
            <w:r w:rsidRPr="00C638DC">
              <w:t>he workplace</w:t>
            </w:r>
          </w:p>
          <w:p w:rsidR="00000000" w:rsidP="00C638DC">
            <w:pPr>
              <w:pStyle w:val="ListBullet"/>
              <w:rPr>
                <w:lang w:val="en-NZ"/>
              </w:rPr>
            </w:pPr>
            <w:r w:rsidRPr="00C638DC">
              <w:t>the appropriate use, maintenance and storage of PPE.</w:t>
            </w:r>
          </w:p>
        </w:tc>
      </w:tr>
      <w:tr w:rsidTr="00C2490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BoldandItalics"/>
              </w:rPr>
              <w:t>Food safety and hygiene regulations and procedures</w:t>
            </w:r>
            <w:r w:rsidRPr="00C638DC">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Bullet"/>
            </w:pPr>
            <w:r w:rsidRPr="00C638DC">
              <w:t>AQIS Export Control (Fish) orders</w:t>
            </w:r>
          </w:p>
          <w:p w:rsidR="00000000" w:rsidRPr="00C638DC" w:rsidP="00C638DC">
            <w:pPr>
              <w:pStyle w:val="ListBullet"/>
            </w:pPr>
            <w:r w:rsidRPr="00C638DC">
              <w:t>Australian Shellfish Sanitation program</w:t>
            </w:r>
          </w:p>
          <w:p w:rsidR="00000000" w:rsidRPr="00C638DC" w:rsidP="00C638DC">
            <w:pPr>
              <w:pStyle w:val="ListBullet"/>
            </w:pPr>
            <w:r w:rsidRPr="00C638DC">
              <w:t>chain of custody (temperature and contamination control)</w:t>
            </w:r>
          </w:p>
          <w:p w:rsidR="00000000" w:rsidRPr="00C638DC" w:rsidP="00C638DC">
            <w:pPr>
              <w:pStyle w:val="ListBullet"/>
            </w:pPr>
            <w:r w:rsidRPr="00C638DC">
              <w:t xml:space="preserve">equipment design, use and maintenance </w:t>
            </w:r>
          </w:p>
          <w:p w:rsidR="00000000" w:rsidRPr="00C638DC" w:rsidP="00C638DC">
            <w:pPr>
              <w:pStyle w:val="ListBullet"/>
            </w:pPr>
            <w:r w:rsidRPr="00C638DC">
              <w:t>HACCP</w:t>
            </w:r>
          </w:p>
          <w:p w:rsidR="00000000" w:rsidRPr="00C638DC" w:rsidP="00C638DC">
            <w:pPr>
              <w:pStyle w:val="ListBullet"/>
            </w:pPr>
            <w:r w:rsidRPr="00C638DC">
              <w:t>hygiene and sanitation requirements</w:t>
            </w:r>
          </w:p>
          <w:p w:rsidR="00000000" w:rsidRPr="00C638DC" w:rsidP="00C638DC">
            <w:pPr>
              <w:pStyle w:val="ListBullet"/>
            </w:pPr>
            <w:r w:rsidRPr="00C638DC">
              <w:t xml:space="preserve">location, construction and servicing of seafood premises </w:t>
            </w:r>
          </w:p>
          <w:p w:rsidR="00000000" w:rsidRPr="00C638DC" w:rsidP="00C638DC">
            <w:pPr>
              <w:pStyle w:val="ListBullet"/>
            </w:pPr>
            <w:r w:rsidRPr="00C638DC">
              <w:t>Primary Products Standard and the Australian Seafood Standar</w:t>
            </w:r>
            <w:r w:rsidRPr="00C638DC">
              <w:t xml:space="preserve">d (voluntary) </w:t>
            </w:r>
          </w:p>
          <w:p w:rsidR="00000000" w:rsidP="00C638DC">
            <w:pPr>
              <w:pStyle w:val="ListBullet"/>
              <w:rPr>
                <w:lang w:val="en-NZ"/>
              </w:rPr>
            </w:pPr>
            <w:r w:rsidRPr="00C638DC">
              <w:t>requirements set out in Australian and New Zealand Food Authority (ANZFA) Food Standards Code.</w:t>
            </w:r>
          </w:p>
        </w:tc>
      </w:tr>
      <w:tr w:rsidTr="00C2490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BoldandItalics"/>
              </w:rPr>
              <w:t>ESD principles</w:t>
            </w:r>
            <w:r w:rsidRPr="00C638DC">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Bullet"/>
            </w:pPr>
            <w:r w:rsidRPr="00C638DC">
              <w:t xml:space="preserve">controlling effluents, chemical residues, contaminants, wastes and pollution </w:t>
            </w:r>
          </w:p>
          <w:p w:rsidR="00000000" w:rsidRPr="00C638DC" w:rsidP="00C638DC">
            <w:pPr>
              <w:pStyle w:val="ListBullet"/>
            </w:pPr>
            <w:r w:rsidRPr="00C638DC">
              <w:t>improving energy efficiency</w:t>
            </w:r>
          </w:p>
          <w:p w:rsidR="00000000" w:rsidRPr="00C638DC" w:rsidP="00C638DC">
            <w:pPr>
              <w:pStyle w:val="ListBullet"/>
            </w:pPr>
            <w:r w:rsidRPr="00C638DC">
              <w:t>increasing use of renewable, recyclable and recoverable resources</w:t>
            </w:r>
          </w:p>
          <w:p w:rsidR="00000000" w:rsidRPr="00C638DC" w:rsidP="00C638DC">
            <w:pPr>
              <w:pStyle w:val="ListBullet"/>
            </w:pPr>
            <w:r w:rsidRPr="00C638DC">
              <w:t>minimising noise or odour emissions</w:t>
            </w:r>
          </w:p>
          <w:p w:rsidR="00000000" w:rsidRPr="00C638DC" w:rsidP="00C638DC">
            <w:pPr>
              <w:pStyle w:val="ListBullet"/>
            </w:pPr>
            <w:r w:rsidRPr="00C638DC">
              <w:t>reducing emissions of greenhouse gases</w:t>
            </w:r>
          </w:p>
          <w:p w:rsidR="00000000" w:rsidRPr="00C638DC" w:rsidP="00C638DC">
            <w:pPr>
              <w:pStyle w:val="ListBullet"/>
            </w:pPr>
            <w:r w:rsidRPr="00C638DC">
              <w:t>reducing energy use</w:t>
            </w:r>
          </w:p>
          <w:p w:rsidR="00000000" w:rsidRPr="00C638DC" w:rsidP="00C638DC">
            <w:pPr>
              <w:pStyle w:val="ListBullet"/>
            </w:pPr>
            <w:r w:rsidRPr="00C638DC">
              <w:t>reducing use of non-renewable resources</w:t>
            </w:r>
          </w:p>
          <w:p w:rsidR="00000000" w:rsidRPr="00C638DC" w:rsidP="00C638DC">
            <w:pPr>
              <w:pStyle w:val="ListBullet"/>
            </w:pPr>
            <w:r w:rsidRPr="00C638DC">
              <w:t>undertaking environmental hazard identification, risk a</w:t>
            </w:r>
            <w:r w:rsidRPr="00C638DC">
              <w:t xml:space="preserve">ssessment and control </w:t>
            </w:r>
          </w:p>
          <w:p w:rsidR="00000000" w:rsidP="00C638DC">
            <w:pPr>
              <w:pStyle w:val="ListBullet"/>
              <w:rPr>
                <w:lang w:val="en-NZ"/>
              </w:rPr>
            </w:pPr>
            <w:r w:rsidRPr="00C638DC">
              <w:t>using and recycling of water, and maintaining water quality.</w:t>
            </w:r>
          </w:p>
        </w:tc>
      </w:tr>
      <w:tr w:rsidTr="00C2490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BoldandItalics"/>
              </w:rPr>
              <w:t>PPE</w:t>
            </w:r>
            <w:r w:rsidRPr="00C638DC">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Bullet"/>
            </w:pPr>
            <w:r w:rsidRPr="00C638DC">
              <w:t>gloves, mitts or gauntlets, and protective hand and arm covering</w:t>
            </w:r>
          </w:p>
          <w:p w:rsidR="00000000" w:rsidRPr="00C638DC" w:rsidP="00C638DC">
            <w:pPr>
              <w:pStyle w:val="ListBullet"/>
            </w:pPr>
            <w:r w:rsidRPr="00C638DC">
              <w:t>insulated protective clothing for freezers or chillers and refrigeration units</w:t>
            </w:r>
          </w:p>
          <w:p w:rsidR="00000000" w:rsidRPr="00C638DC" w:rsidP="00C638DC">
            <w:pPr>
              <w:pStyle w:val="ListBullet"/>
            </w:pPr>
            <w:r w:rsidRPr="00C638DC">
              <w:t xml:space="preserve">non-slip </w:t>
            </w:r>
            <w:r w:rsidRPr="00C638DC">
              <w:t>and waterproof boots (gumboots) or other safety footwear</w:t>
            </w:r>
          </w:p>
          <w:p w:rsidR="00000000" w:rsidRPr="00C638DC" w:rsidP="00C638DC">
            <w:pPr>
              <w:pStyle w:val="ListBullet"/>
            </w:pPr>
            <w:r w:rsidRPr="00C638DC">
              <w:t>protective hair, beard and boot covers</w:t>
            </w:r>
          </w:p>
          <w:p w:rsidR="00000000" w:rsidP="00C638DC">
            <w:pPr>
              <w:pStyle w:val="ListBullet"/>
              <w:rPr>
                <w:lang w:val="en-NZ"/>
              </w:rPr>
            </w:pPr>
            <w:r w:rsidRPr="00C638DC">
              <w:t>uniforms, overalls or protective clothing (e.g. mesh and waterproof aprons).</w:t>
            </w:r>
          </w:p>
        </w:tc>
      </w:tr>
      <w:tr w:rsidTr="00C2490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BoldandItalics"/>
              </w:rPr>
              <w:t>Equipment</w:t>
            </w:r>
            <w:r w:rsidRPr="00C638DC">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Bullet"/>
            </w:pPr>
            <w:r w:rsidRPr="00C638DC">
              <w:t xml:space="preserve">cutting bench </w:t>
            </w:r>
          </w:p>
          <w:p w:rsidR="00000000" w:rsidRPr="00C638DC" w:rsidP="00C638DC">
            <w:pPr>
              <w:pStyle w:val="ListBullet"/>
            </w:pPr>
            <w:r w:rsidRPr="00C638DC">
              <w:t>knives</w:t>
            </w:r>
          </w:p>
          <w:p w:rsidR="00000000" w:rsidRPr="00C638DC" w:rsidP="00C638DC">
            <w:pPr>
              <w:pStyle w:val="ListBullet"/>
            </w:pPr>
            <w:r w:rsidRPr="00C638DC">
              <w:t xml:space="preserve">skinning machine </w:t>
            </w:r>
          </w:p>
          <w:p w:rsidR="00000000" w:rsidP="00C638DC">
            <w:pPr>
              <w:pStyle w:val="ListBullet"/>
              <w:rPr>
                <w:lang w:val="en-NZ"/>
              </w:rPr>
            </w:pPr>
            <w:r w:rsidRPr="00C638DC">
              <w:t>tumble machine or box.</w:t>
            </w:r>
          </w:p>
        </w:tc>
      </w:tr>
      <w:tr w:rsidTr="00C2490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BoldandItalics"/>
              </w:rPr>
              <w:t>Specifications</w:t>
            </w:r>
            <w:r w:rsidRPr="00C638DC">
              <w:t xml:space="preserve"> may relate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Bullet"/>
            </w:pPr>
            <w:r w:rsidRPr="00C638DC">
              <w:t>boiled</w:t>
            </w:r>
          </w:p>
          <w:p w:rsidR="00000000" w:rsidRPr="00C638DC" w:rsidP="00C638DC">
            <w:pPr>
              <w:pStyle w:val="ListBullet"/>
            </w:pPr>
            <w:r w:rsidRPr="00C638DC">
              <w:t>eyes, skeleton, beak, mouth muscle mass</w:t>
            </w:r>
          </w:p>
          <w:p w:rsidR="00000000" w:rsidRPr="00C638DC" w:rsidP="00C638DC">
            <w:pPr>
              <w:pStyle w:val="ListBullet"/>
            </w:pPr>
            <w:r w:rsidRPr="00C638DC">
              <w:t>finger pack</w:t>
            </w:r>
          </w:p>
          <w:p w:rsidR="00000000" w:rsidRPr="00C638DC" w:rsidP="00C638DC">
            <w:pPr>
              <w:pStyle w:val="ListBullet"/>
            </w:pPr>
            <w:r w:rsidRPr="00C638DC">
              <w:t>fresh</w:t>
            </w:r>
          </w:p>
          <w:p w:rsidR="00000000" w:rsidRPr="00C638DC" w:rsidP="00C638DC">
            <w:pPr>
              <w:pStyle w:val="ListBullet"/>
            </w:pPr>
            <w:r w:rsidRPr="00C638DC">
              <w:t>frozen</w:t>
            </w:r>
          </w:p>
          <w:p w:rsidR="00000000" w:rsidRPr="00C638DC" w:rsidP="00C638DC">
            <w:pPr>
              <w:pStyle w:val="ListBullet"/>
            </w:pPr>
            <w:r w:rsidRPr="00C638DC">
              <w:t>ink sac</w:t>
            </w:r>
          </w:p>
          <w:p w:rsidR="00000000" w:rsidRPr="00C638DC" w:rsidP="00C638DC">
            <w:pPr>
              <w:pStyle w:val="ListBullet"/>
            </w:pPr>
            <w:r w:rsidRPr="00C638DC">
              <w:t>pack size (e.g. 5 kg, 10 kg)</w:t>
            </w:r>
          </w:p>
          <w:p w:rsidR="00000000" w:rsidRPr="00C638DC" w:rsidP="00C638DC">
            <w:pPr>
              <w:pStyle w:val="ListBullet"/>
            </w:pPr>
            <w:r w:rsidRPr="00C638DC">
              <w:t>pickled</w:t>
            </w:r>
          </w:p>
          <w:p w:rsidR="00000000" w:rsidRPr="00C638DC" w:rsidP="00C638DC">
            <w:pPr>
              <w:pStyle w:val="ListBullet"/>
            </w:pPr>
            <w:r w:rsidRPr="00C638DC">
              <w:t>size grade</w:t>
            </w:r>
          </w:p>
          <w:p w:rsidR="00000000" w:rsidP="00C638DC">
            <w:pPr>
              <w:pStyle w:val="ListBullet"/>
              <w:rPr>
                <w:lang w:val="en-NZ"/>
              </w:rPr>
            </w:pPr>
            <w:r w:rsidRPr="00C638DC">
              <w:t>tubes, tentacles and fins.</w:t>
            </w:r>
          </w:p>
        </w:tc>
      </w:tr>
      <w:tr w:rsidTr="00C24902">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BoldandItalics"/>
              </w:rPr>
              <w:t>Species</w:t>
            </w:r>
            <w:r w:rsidRPr="00C638DC">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ListBullet"/>
            </w:pPr>
            <w:r w:rsidRPr="00C638DC">
              <w:t>cuttlefish species</w:t>
            </w:r>
          </w:p>
          <w:p w:rsidR="00000000" w:rsidRPr="00C638DC" w:rsidP="00C638DC">
            <w:pPr>
              <w:pStyle w:val="ListBullet"/>
            </w:pPr>
            <w:r w:rsidRPr="00C638DC">
              <w:t>octopus species</w:t>
            </w:r>
          </w:p>
          <w:p w:rsidR="00000000" w:rsidRPr="00C638DC" w:rsidP="00C638DC">
            <w:pPr>
              <w:pStyle w:val="ListBullet"/>
            </w:pPr>
            <w:r w:rsidRPr="00C638DC">
              <w:t>squid species.</w:t>
            </w:r>
          </w:p>
        </w:tc>
      </w:tr>
    </w:tbl>
    <w:p w:rsidR="00C24902" w:rsidP="00C638DC">
      <w:pPr>
        <w:pStyle w:val="BodyText"/>
      </w:pPr>
    </w:p>
    <w:p w:rsidR="00C24902" w:rsidP="00C638DC">
      <w:pPr>
        <w:pStyle w:val="BodyText"/>
      </w:pPr>
    </w:p>
    <w:p w:rsidR="00000000" w:rsidRPr="00C638DC" w:rsidP="00C638DC">
      <w:pPr>
        <w:pStyle w:val="Heading1"/>
      </w:pPr>
      <w:bookmarkStart w:id="12" w:name="O_218506"/>
      <w:bookmarkEnd w:id="12"/>
      <w:r w:rsidRPr="00C638DC">
        <w:t>Unit Sector(s)</w:t>
      </w:r>
    </w:p>
    <w:tbl>
      <w:tblPr>
        <w:tblW w:w="0" w:type="auto"/>
        <w:tblLayout w:type="fixed"/>
        <w:tblCellMar>
          <w:left w:w="62" w:type="dxa"/>
          <w:right w:w="62" w:type="dxa"/>
        </w:tblCellMar>
        <w:tblLook w:val="0000"/>
      </w:tblPr>
      <w:tblGrid>
        <w:gridCol w:w="2584"/>
        <w:gridCol w:w="5938"/>
      </w:tblGrid>
      <w:tr w:rsidTr="00C24902">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Unit sector</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BodyText"/>
            </w:pPr>
            <w:r w:rsidRPr="00C638DC">
              <w:t>Seafood processing</w:t>
            </w:r>
          </w:p>
        </w:tc>
      </w:tr>
    </w:tbl>
    <w:p w:rsidR="00C24902" w:rsidP="00C638DC">
      <w:pPr>
        <w:pStyle w:val="BodyText"/>
      </w:pPr>
    </w:p>
    <w:p w:rsidR="00C24902" w:rsidP="00C638DC">
      <w:pPr>
        <w:pStyle w:val="BodyText"/>
      </w:pPr>
    </w:p>
    <w:p w:rsidR="00000000" w:rsidRPr="00C638DC" w:rsidP="00C638DC">
      <w:pPr>
        <w:pStyle w:val="Heading1"/>
      </w:pPr>
      <w:bookmarkStart w:id="13" w:name="O_218503"/>
      <w:bookmarkEnd w:id="13"/>
      <w:r w:rsidRPr="00C638DC">
        <w:t>Co-requisite units</w:t>
      </w:r>
    </w:p>
    <w:tbl>
      <w:tblPr>
        <w:tblW w:w="0" w:type="auto"/>
        <w:tblLayout w:type="fixed"/>
        <w:tblCellMar>
          <w:left w:w="62" w:type="dxa"/>
          <w:right w:w="62" w:type="dxa"/>
        </w:tblCellMar>
        <w:tblLook w:val="0000"/>
      </w:tblPr>
      <w:tblGrid>
        <w:gridCol w:w="2608"/>
        <w:gridCol w:w="1501"/>
        <w:gridCol w:w="4413"/>
      </w:tblGrid>
      <w:tr w:rsidTr="00C24902">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Co-requisite units</w:t>
            </w:r>
          </w:p>
        </w:tc>
        <w:tc>
          <w:tcPr>
            <w:tcW w:w="59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p>
        </w:tc>
      </w:tr>
      <w:tr w:rsidTr="00C24902">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p>
        </w:tc>
      </w:tr>
      <w:tr w:rsidTr="00C24902">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BodyText"/>
            </w:pPr>
          </w:p>
        </w:tc>
      </w:tr>
    </w:tbl>
    <w:p w:rsidR="00C24902" w:rsidP="00C638DC">
      <w:pPr>
        <w:pStyle w:val="BodyText"/>
      </w:pPr>
    </w:p>
    <w:p w:rsidR="00C24902" w:rsidP="00C638DC">
      <w:pPr>
        <w:pStyle w:val="BodyText"/>
      </w:pPr>
    </w:p>
    <w:p w:rsidR="00000000" w:rsidRPr="00C638DC" w:rsidP="00C638DC">
      <w:pPr>
        <w:pStyle w:val="Heading1"/>
      </w:pPr>
      <w:bookmarkStart w:id="14" w:name="O_218505"/>
      <w:bookmarkEnd w:id="14"/>
      <w:r w:rsidRPr="00C638DC">
        <w:t>Competency field</w:t>
      </w:r>
    </w:p>
    <w:tbl>
      <w:tblPr>
        <w:tblW w:w="0" w:type="auto"/>
        <w:tblLayout w:type="fixed"/>
        <w:tblCellMar>
          <w:left w:w="62" w:type="dxa"/>
          <w:right w:w="62" w:type="dxa"/>
        </w:tblCellMar>
        <w:tblLook w:val="0000"/>
      </w:tblPr>
      <w:tblGrid>
        <w:gridCol w:w="2751"/>
        <w:gridCol w:w="5771"/>
      </w:tblGrid>
      <w:tr w:rsidTr="00C24902">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8DC">
            <w:pPr>
              <w:pStyle w:val="BodyText"/>
              <w:rPr>
                <w:lang w:val="en-NZ"/>
              </w:rPr>
            </w:pPr>
            <w:r w:rsidRPr="00C638DC">
              <w:rPr>
                <w:rStyle w:val="SpecialBold"/>
              </w:rPr>
              <w:t>Competency field</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8DC" w:rsidP="00C638DC">
            <w:pPr>
              <w:pStyle w:val="BodyText"/>
            </w:pPr>
          </w:p>
        </w:tc>
      </w:tr>
    </w:tbl>
    <w:p w:rsidR="00C24902" w:rsidP="00C638DC">
      <w:pPr>
        <w:pStyle w:val="BodyText"/>
      </w:pPr>
    </w:p>
    <w:p w:rsidR="00C24902" w:rsidP="00C638DC">
      <w:pPr>
        <w:pStyle w:val="BodyText"/>
      </w:pPr>
    </w:p>
    <w:p w:rsidR="00000000" w:rsidRPr="00C638DC" w:rsidP="00C638DC"/>
    <w:sectPr w:rsidSect="00C638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902" w:rsidP="00C24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02" w:rsidP="00C63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24902" w:rsidP="00C638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24902" w:rsidP="00C638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902" w:rsidP="00C249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02" w:rsidP="00C638DC">
    <w:pPr>
      <w:pStyle w:val="Header"/>
      <w:framePr w:wrap="around"/>
    </w:pPr>
    <w:r>
      <w:fldChar w:fldCharType="begin"/>
    </w:r>
    <w:r>
      <w:instrText xml:space="preserve"> TITLE   \* MERGEFORMAT </w:instrText>
    </w:r>
    <w:r>
      <w:fldChar w:fldCharType="separate"/>
    </w:r>
    <w:r>
      <w:t>SFIPROC202C Process squid, cuttlefish and octopus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4902" w:rsidP="00C638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6062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264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8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38DC"/>
    <w:pPr>
      <w:spacing w:before="360" w:after="60"/>
      <w:outlineLvl w:val="0"/>
    </w:pPr>
    <w:rPr>
      <w:sz w:val="32"/>
    </w:rPr>
  </w:style>
  <w:style w:type="paragraph" w:styleId="Heading2">
    <w:name w:val="heading 2"/>
    <w:basedOn w:val="HeadingBase"/>
    <w:next w:val="BodyText"/>
    <w:link w:val="Heading2Char"/>
    <w:qFormat/>
    <w:rsid w:val="00C638DC"/>
    <w:pPr>
      <w:keepLines/>
      <w:spacing w:before="240" w:after="120"/>
      <w:outlineLvl w:val="1"/>
    </w:pPr>
    <w:rPr>
      <w:sz w:val="28"/>
      <w:szCs w:val="40"/>
    </w:rPr>
  </w:style>
  <w:style w:type="paragraph" w:styleId="Heading3">
    <w:name w:val="heading 3"/>
    <w:basedOn w:val="HeadingBase"/>
    <w:next w:val="BodyText"/>
    <w:link w:val="Heading3Char"/>
    <w:qFormat/>
    <w:rsid w:val="00C638DC"/>
    <w:pPr>
      <w:spacing w:before="180" w:after="120"/>
      <w:outlineLvl w:val="2"/>
    </w:pPr>
    <w:rPr>
      <w:spacing w:val="-10"/>
      <w:kern w:val="32"/>
    </w:rPr>
  </w:style>
  <w:style w:type="paragraph" w:styleId="Heading4">
    <w:name w:val="heading 4"/>
    <w:basedOn w:val="HeadingBase"/>
    <w:next w:val="BodyText"/>
    <w:link w:val="Heading4Char"/>
    <w:qFormat/>
    <w:rsid w:val="00C638DC"/>
    <w:pPr>
      <w:spacing w:before="160" w:after="120"/>
      <w:outlineLvl w:val="3"/>
    </w:pPr>
    <w:rPr>
      <w:sz w:val="22"/>
    </w:rPr>
  </w:style>
  <w:style w:type="paragraph" w:styleId="Heading5">
    <w:name w:val="heading 5"/>
    <w:basedOn w:val="HeadingBase"/>
    <w:next w:val="Normal"/>
    <w:link w:val="Heading5Char"/>
    <w:qFormat/>
    <w:rsid w:val="00C638DC"/>
    <w:pPr>
      <w:spacing w:before="80"/>
      <w:outlineLvl w:val="4"/>
    </w:pPr>
    <w:rPr>
      <w:color w:val="918585"/>
      <w:sz w:val="20"/>
    </w:rPr>
  </w:style>
  <w:style w:type="paragraph" w:styleId="Heading6">
    <w:name w:val="heading 6"/>
    <w:basedOn w:val="HeadingBase"/>
    <w:next w:val="Normal"/>
    <w:link w:val="Heading6Char"/>
    <w:qFormat/>
    <w:rsid w:val="00C638DC"/>
    <w:pPr>
      <w:spacing w:before="60"/>
      <w:outlineLvl w:val="5"/>
    </w:pPr>
    <w:rPr>
      <w:color w:val="918585"/>
      <w:sz w:val="20"/>
    </w:rPr>
  </w:style>
  <w:style w:type="paragraph" w:styleId="Heading7">
    <w:name w:val="heading 7"/>
    <w:basedOn w:val="Normal"/>
    <w:next w:val="Normal"/>
    <w:link w:val="Heading7Char"/>
    <w:qFormat/>
    <w:rsid w:val="00C638DC"/>
    <w:pPr>
      <w:ind w:left="720"/>
      <w:outlineLvl w:val="6"/>
    </w:pPr>
    <w:rPr>
      <w:i/>
    </w:rPr>
  </w:style>
  <w:style w:type="paragraph" w:styleId="Heading8">
    <w:name w:val="heading 8"/>
    <w:basedOn w:val="Normal"/>
    <w:next w:val="Normal"/>
    <w:link w:val="Heading8Char"/>
    <w:qFormat/>
    <w:rsid w:val="00C638DC"/>
    <w:pPr>
      <w:ind w:left="720"/>
      <w:outlineLvl w:val="7"/>
    </w:pPr>
    <w:rPr>
      <w:i/>
    </w:rPr>
  </w:style>
  <w:style w:type="paragraph" w:styleId="Heading9">
    <w:name w:val="heading 9"/>
    <w:basedOn w:val="Normal"/>
    <w:next w:val="Normal"/>
    <w:link w:val="Heading9Char"/>
    <w:qFormat/>
    <w:rsid w:val="00C638DC"/>
    <w:pPr>
      <w:ind w:left="720"/>
      <w:outlineLvl w:val="8"/>
    </w:pPr>
    <w:rPr>
      <w:i/>
    </w:rPr>
  </w:style>
  <w:style w:type="character" w:default="1" w:styleId="DefaultParagraphFont">
    <w:name w:val="Default Paragraph Font"/>
    <w:uiPriority w:val="1"/>
    <w:unhideWhenUsed/>
    <w:rsid w:val="00C63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8DC"/>
  </w:style>
  <w:style w:type="character" w:customStyle="1" w:styleId="Heading1Char">
    <w:name w:val="Heading 1 Char"/>
    <w:basedOn w:val="DefaultParagraphFont"/>
    <w:link w:val="Heading1"/>
    <w:rsid w:val="00C638DC"/>
    <w:rPr>
      <w:rFonts w:ascii="Times New Roman" w:eastAsia="Times New Roman" w:hAnsi="Times New Roman" w:cs="Times New Roman"/>
      <w:b/>
      <w:sz w:val="32"/>
      <w:szCs w:val="20"/>
      <w:lang w:eastAsia="en-US"/>
    </w:rPr>
  </w:style>
  <w:style w:type="paragraph" w:styleId="BodyText">
    <w:name w:val="Body Text"/>
    <w:basedOn w:val="Normal"/>
    <w:link w:val="BodyTextChar"/>
    <w:rsid w:val="00C638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38DC"/>
    <w:rPr>
      <w:rFonts w:ascii="Times New Roman" w:eastAsia="Times New Roman" w:hAnsi="Times New Roman" w:cs="Times New Roman"/>
      <w:sz w:val="24"/>
      <w:lang w:val="en-US" w:eastAsia="en-US"/>
    </w:rPr>
  </w:style>
  <w:style w:type="paragraph" w:styleId="Footer">
    <w:name w:val="footer"/>
    <w:basedOn w:val="Normal"/>
    <w:link w:val="FooterChar"/>
    <w:rsid w:val="00C63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8DC"/>
    <w:rPr>
      <w:rFonts w:ascii="Times New Roman" w:eastAsia="Times New Roman" w:hAnsi="Times New Roman" w:cs="Times New Roman"/>
      <w:sz w:val="16"/>
      <w:lang w:val="en-US" w:eastAsia="en-US"/>
    </w:rPr>
  </w:style>
  <w:style w:type="paragraph" w:styleId="List">
    <w:name w:val="List"/>
    <w:basedOn w:val="BodyText"/>
    <w:next w:val="BodyText"/>
    <w:rsid w:val="00C638DC"/>
    <w:pPr>
      <w:tabs>
        <w:tab w:val="left" w:pos="340"/>
      </w:tabs>
      <w:spacing w:before="60" w:after="60"/>
      <w:ind w:left="340" w:hanging="340"/>
    </w:pPr>
  </w:style>
  <w:style w:type="paragraph" w:styleId="ListBullet">
    <w:name w:val="List Bullet"/>
    <w:basedOn w:val="List"/>
    <w:rsid w:val="00C638DC"/>
    <w:pPr>
      <w:numPr>
        <w:numId w:val="12"/>
      </w:numPr>
      <w:tabs>
        <w:tab w:val="clear" w:pos="340"/>
      </w:tabs>
      <w:spacing w:before="40" w:after="40"/>
    </w:pPr>
  </w:style>
  <w:style w:type="character" w:customStyle="1" w:styleId="SpecialBold">
    <w:name w:val="Special Bold"/>
    <w:basedOn w:val="DefaultParagraphFont"/>
    <w:rsid w:val="00C638DC"/>
    <w:rPr>
      <w:b/>
      <w:spacing w:val="0"/>
    </w:rPr>
  </w:style>
  <w:style w:type="paragraph" w:styleId="Header">
    <w:name w:val="header"/>
    <w:basedOn w:val="Normal"/>
    <w:link w:val="HeaderChar"/>
    <w:rsid w:val="00C63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8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38DC"/>
    <w:pPr>
      <w:spacing w:before="240" w:after="120"/>
      <w:outlineLvl w:val="0"/>
    </w:pPr>
    <w:rPr>
      <w:rFonts w:ascii="Times New Roman" w:hAnsi="Times New Roman"/>
      <w:b/>
      <w:sz w:val="28"/>
    </w:rPr>
  </w:style>
  <w:style w:type="paragraph" w:customStyle="1" w:styleId="AllowPageBreak">
    <w:name w:val="AllowPageBreak"/>
    <w:rsid w:val="00C638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38DC"/>
    <w:pPr>
      <w:tabs>
        <w:tab w:val="left" w:pos="680"/>
      </w:tabs>
      <w:spacing w:before="60" w:after="60"/>
      <w:ind w:left="680" w:hanging="340"/>
    </w:pPr>
  </w:style>
  <w:style w:type="character" w:customStyle="1" w:styleId="BoldandItalics">
    <w:name w:val="Bold and Italics"/>
    <w:qFormat/>
    <w:rsid w:val="00C638DC"/>
    <w:rPr>
      <w:b/>
      <w:i/>
      <w:u w:val="none"/>
    </w:rPr>
  </w:style>
  <w:style w:type="character" w:customStyle="1" w:styleId="Heading2Char">
    <w:name w:val="Heading 2 Char"/>
    <w:basedOn w:val="DefaultParagraphFont"/>
    <w:link w:val="Heading2"/>
    <w:rsid w:val="00C63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8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38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38DC"/>
    <w:rPr>
      <w:rFonts w:ascii="Courier New" w:eastAsia="Times New Roman" w:hAnsi="Courier New" w:cs="Times New Roman"/>
      <w:i/>
      <w:szCs w:val="20"/>
      <w:lang w:val="en-US" w:eastAsia="en-US"/>
    </w:rPr>
  </w:style>
  <w:style w:type="paragraph" w:customStyle="1" w:styleId="HeadingBase">
    <w:name w:val="Heading Base"/>
    <w:rsid w:val="00C63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8DC"/>
    <w:pPr>
      <w:tabs>
        <w:tab w:val="right" w:leader="dot" w:pos="9072"/>
      </w:tabs>
      <w:ind w:left="567"/>
    </w:pPr>
    <w:rPr>
      <w:szCs w:val="22"/>
    </w:rPr>
  </w:style>
  <w:style w:type="paragraph" w:customStyle="1" w:styleId="TOCBase">
    <w:name w:val="TOC Base"/>
    <w:rsid w:val="00C63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8DC"/>
    <w:pPr>
      <w:tabs>
        <w:tab w:val="right" w:leader="dot" w:pos="9072"/>
      </w:tabs>
      <w:spacing w:before="40" w:after="40"/>
      <w:ind w:left="284"/>
    </w:pPr>
    <w:rPr>
      <w:rFonts w:ascii="Times New Roman" w:hAnsi="Times New Roman"/>
    </w:rPr>
  </w:style>
  <w:style w:type="paragraph" w:styleId="TOC1">
    <w:name w:val="toc 1"/>
    <w:basedOn w:val="TOCBase"/>
    <w:next w:val="Normal"/>
    <w:rsid w:val="00C638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38DC"/>
    <w:pPr>
      <w:spacing w:before="5040"/>
      <w:jc w:val="center"/>
    </w:pPr>
    <w:rPr>
      <w:sz w:val="48"/>
      <w:szCs w:val="72"/>
      <w:lang w:val="en-US"/>
    </w:rPr>
  </w:style>
  <w:style w:type="character" w:customStyle="1" w:styleId="TitleChar">
    <w:name w:val="Title Char"/>
    <w:basedOn w:val="DefaultParagraphFont"/>
    <w:link w:val="Title"/>
    <w:rsid w:val="00C63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8DC"/>
    <w:pPr>
      <w:tabs>
        <w:tab w:val="left" w:pos="3600"/>
        <w:tab w:val="left" w:pos="3958"/>
      </w:tabs>
    </w:pPr>
  </w:style>
  <w:style w:type="paragraph" w:customStyle="1" w:styleId="Note">
    <w:name w:val="Note"/>
    <w:basedOn w:val="BodyText"/>
    <w:rsid w:val="00C63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8DC"/>
    <w:pPr>
      <w:framePr w:wrap="auto" w:hAnchor="text" w:y="6049"/>
    </w:pPr>
    <w:rPr>
      <w:color w:val="000000"/>
      <w:sz w:val="40"/>
    </w:rPr>
  </w:style>
  <w:style w:type="paragraph" w:customStyle="1" w:styleId="TOCTitle">
    <w:name w:val="TOCTitle"/>
    <w:basedOn w:val="Heading1"/>
    <w:rsid w:val="00C638DC"/>
    <w:pPr>
      <w:spacing w:after="240"/>
      <w:jc w:val="center"/>
      <w:outlineLvl w:val="9"/>
    </w:pPr>
    <w:rPr>
      <w:caps/>
    </w:rPr>
  </w:style>
  <w:style w:type="paragraph" w:customStyle="1" w:styleId="Version">
    <w:name w:val="Version"/>
    <w:rsid w:val="00C638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38DC"/>
    <w:pPr>
      <w:numPr>
        <w:numId w:val="13"/>
      </w:numPr>
      <w:tabs>
        <w:tab w:val="clear" w:pos="680"/>
      </w:tabs>
    </w:pPr>
  </w:style>
  <w:style w:type="paragraph" w:styleId="Index1">
    <w:name w:val="index 1"/>
    <w:basedOn w:val="Normal"/>
    <w:next w:val="Normal"/>
    <w:semiHidden/>
    <w:rsid w:val="00C638DC"/>
    <w:pPr>
      <w:keepNext w:val="0"/>
      <w:tabs>
        <w:tab w:val="right" w:pos="4176"/>
      </w:tabs>
      <w:ind w:left="198" w:hanging="198"/>
    </w:pPr>
    <w:rPr>
      <w:rFonts w:ascii="Garamond" w:hAnsi="Garamond"/>
    </w:rPr>
  </w:style>
  <w:style w:type="paragraph" w:styleId="IndexHeading">
    <w:name w:val="index heading"/>
    <w:basedOn w:val="Normal"/>
    <w:next w:val="Index1"/>
    <w:semiHidden/>
    <w:rsid w:val="00C638DC"/>
    <w:pPr>
      <w:spacing w:before="120" w:after="120"/>
    </w:pPr>
    <w:rPr>
      <w:rFonts w:ascii="Arial" w:hAnsi="Arial"/>
      <w:b/>
      <w:color w:val="918585"/>
      <w:sz w:val="24"/>
    </w:rPr>
  </w:style>
  <w:style w:type="paragraph" w:customStyle="1" w:styleId="Chapter">
    <w:name w:val="Chapter"/>
    <w:basedOn w:val="Normal"/>
    <w:rsid w:val="00C638DC"/>
    <w:pPr>
      <w:spacing w:before="240"/>
    </w:pPr>
    <w:rPr>
      <w:rFonts w:ascii="Times New Roman" w:hAnsi="Times New Roman"/>
      <w:smallCaps/>
      <w:spacing w:val="80"/>
      <w:sz w:val="28"/>
    </w:rPr>
  </w:style>
  <w:style w:type="paragraph" w:customStyle="1" w:styleId="InChapter">
    <w:name w:val="InChapter"/>
    <w:basedOn w:val="Heading3"/>
    <w:rsid w:val="00C638DC"/>
    <w:pPr>
      <w:spacing w:after="240"/>
      <w:outlineLvl w:val="9"/>
    </w:pPr>
    <w:rPr>
      <w:noProof/>
    </w:rPr>
  </w:style>
  <w:style w:type="paragraph" w:styleId="Index2">
    <w:name w:val="index 2"/>
    <w:basedOn w:val="Normal"/>
    <w:next w:val="Normal"/>
    <w:semiHidden/>
    <w:rsid w:val="00C638DC"/>
    <w:pPr>
      <w:tabs>
        <w:tab w:val="right" w:pos="4176"/>
      </w:tabs>
      <w:ind w:left="568" w:hanging="284"/>
    </w:pPr>
    <w:rPr>
      <w:rFonts w:ascii="Garamond" w:hAnsi="Garamond"/>
    </w:rPr>
  </w:style>
  <w:style w:type="paragraph" w:customStyle="1" w:styleId="Byline">
    <w:name w:val="Byline"/>
    <w:rsid w:val="00C63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8DC"/>
    <w:pPr>
      <w:tabs>
        <w:tab w:val="clear" w:pos="3600"/>
        <w:tab w:val="clear" w:pos="3958"/>
      </w:tabs>
      <w:jc w:val="right"/>
    </w:pPr>
  </w:style>
  <w:style w:type="character" w:styleId="Emphasis">
    <w:name w:val="Emphasis"/>
    <w:basedOn w:val="DefaultParagraphFont"/>
    <w:qFormat/>
    <w:rsid w:val="00C638DC"/>
    <w:rPr>
      <w:i/>
    </w:rPr>
  </w:style>
  <w:style w:type="paragraph" w:styleId="Caption">
    <w:name w:val="caption"/>
    <w:basedOn w:val="BodyText"/>
    <w:next w:val="Normal"/>
    <w:qFormat/>
    <w:rsid w:val="00C638DC"/>
    <w:pPr>
      <w:framePr w:w="2268" w:hSpace="181" w:vSpace="181" w:wrap="around" w:vAnchor="text" w:hAnchor="page" w:x="1135" w:y="285" w:anchorLock="1"/>
    </w:pPr>
    <w:rPr>
      <w:i/>
    </w:rPr>
  </w:style>
  <w:style w:type="paragraph" w:customStyle="1" w:styleId="MiniTOCTitle">
    <w:name w:val="MiniTOCTitle"/>
    <w:basedOn w:val="Heading4"/>
    <w:rsid w:val="00C638DC"/>
    <w:pPr>
      <w:spacing w:before="240"/>
      <w:outlineLvl w:val="9"/>
    </w:pPr>
    <w:rPr>
      <w:noProof/>
      <w:sz w:val="24"/>
    </w:rPr>
  </w:style>
  <w:style w:type="paragraph" w:customStyle="1" w:styleId="MiniTOCItem">
    <w:name w:val="MiniTOCItem"/>
    <w:basedOn w:val="ListBullet"/>
    <w:rsid w:val="00C638DC"/>
    <w:pPr>
      <w:numPr>
        <w:numId w:val="0"/>
      </w:numPr>
      <w:tabs>
        <w:tab w:val="right" w:leader="dot" w:pos="6521"/>
      </w:tabs>
      <w:spacing w:before="0" w:after="0"/>
    </w:pPr>
  </w:style>
  <w:style w:type="paragraph" w:customStyle="1" w:styleId="TOFTitle">
    <w:name w:val="TOFTitle"/>
    <w:basedOn w:val="TOCTitle"/>
    <w:rsid w:val="00C638DC"/>
  </w:style>
  <w:style w:type="paragraph" w:styleId="TableofFigures">
    <w:name w:val="table of figures"/>
    <w:basedOn w:val="Normal"/>
    <w:next w:val="Normal"/>
    <w:semiHidden/>
    <w:rsid w:val="00C638DC"/>
    <w:pPr>
      <w:tabs>
        <w:tab w:val="right" w:leader="dot" w:pos="9072"/>
      </w:tabs>
      <w:ind w:left="970" w:hanging="403"/>
    </w:pPr>
    <w:rPr>
      <w:rFonts w:ascii="Times New Roman" w:hAnsi="Times New Roman"/>
      <w:b/>
    </w:rPr>
  </w:style>
  <w:style w:type="paragraph" w:styleId="ListNumber">
    <w:name w:val="List Number"/>
    <w:basedOn w:val="List"/>
    <w:rsid w:val="00C638DC"/>
    <w:pPr>
      <w:numPr>
        <w:numId w:val="10"/>
      </w:numPr>
    </w:pPr>
  </w:style>
  <w:style w:type="character" w:customStyle="1" w:styleId="WingdingSymbols">
    <w:name w:val="Wingding Symbols"/>
    <w:rsid w:val="00C638DC"/>
    <w:rPr>
      <w:rFonts w:ascii="Wingdings" w:hAnsi="Wingdings"/>
    </w:rPr>
  </w:style>
  <w:style w:type="paragraph" w:customStyle="1" w:styleId="TableHeading">
    <w:name w:val="Table Heading"/>
    <w:basedOn w:val="HeadingBase"/>
    <w:rsid w:val="00C638DC"/>
    <w:pPr>
      <w:keepLines/>
      <w:pBdr>
        <w:bottom w:val="single" w:sz="6" w:space="1" w:color="918585"/>
      </w:pBdr>
      <w:spacing w:before="240"/>
    </w:pPr>
  </w:style>
  <w:style w:type="character" w:customStyle="1" w:styleId="HotSpot">
    <w:name w:val="HotSpot"/>
    <w:rsid w:val="00C638DC"/>
    <w:rPr>
      <w:color w:val="0033CC"/>
      <w:u w:val="none"/>
    </w:rPr>
  </w:style>
  <w:style w:type="paragraph" w:customStyle="1" w:styleId="BodyTextRight">
    <w:name w:val="Body Text Right"/>
    <w:basedOn w:val="BodyText"/>
    <w:rsid w:val="00C638DC"/>
    <w:pPr>
      <w:spacing w:before="0" w:after="0"/>
      <w:jc w:val="right"/>
    </w:pPr>
  </w:style>
  <w:style w:type="paragraph" w:styleId="Index3">
    <w:name w:val="index 3"/>
    <w:basedOn w:val="ListNumber2"/>
    <w:next w:val="Normal"/>
    <w:semiHidden/>
    <w:rsid w:val="00C638DC"/>
    <w:pPr>
      <w:numPr>
        <w:numId w:val="0"/>
      </w:numPr>
      <w:tabs>
        <w:tab w:val="right" w:leader="dot" w:pos="4176"/>
      </w:tabs>
    </w:pPr>
  </w:style>
  <w:style w:type="paragraph" w:styleId="ListNumber2">
    <w:name w:val="List Number 2"/>
    <w:basedOn w:val="List2"/>
    <w:rsid w:val="00C638DC"/>
    <w:pPr>
      <w:numPr>
        <w:numId w:val="9"/>
      </w:numPr>
      <w:tabs>
        <w:tab w:val="clear" w:pos="1060"/>
      </w:tabs>
    </w:pPr>
  </w:style>
  <w:style w:type="paragraph" w:customStyle="1" w:styleId="MarginNote">
    <w:name w:val="Margin Note"/>
    <w:basedOn w:val="BodyText"/>
    <w:rsid w:val="00C63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8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38DC"/>
    <w:rPr>
      <w:sz w:val="32"/>
    </w:rPr>
  </w:style>
  <w:style w:type="paragraph" w:customStyle="1" w:styleId="HeadingProcedure">
    <w:name w:val="Heading Procedure"/>
    <w:basedOn w:val="HeadingBase"/>
    <w:next w:val="Normal"/>
    <w:rsid w:val="00C638DC"/>
    <w:pPr>
      <w:tabs>
        <w:tab w:val="left" w:pos="0"/>
      </w:tabs>
      <w:spacing w:before="120" w:after="60"/>
    </w:pPr>
    <w:rPr>
      <w:i/>
      <w:color w:val="918585"/>
      <w:sz w:val="22"/>
    </w:rPr>
  </w:style>
  <w:style w:type="paragraph" w:customStyle="1" w:styleId="TableBodyText">
    <w:name w:val="Table Body Text"/>
    <w:basedOn w:val="BodyText"/>
    <w:rsid w:val="00C638DC"/>
    <w:pPr>
      <w:spacing w:before="60" w:after="60"/>
    </w:pPr>
  </w:style>
  <w:style w:type="paragraph" w:styleId="ListContinue">
    <w:name w:val="List Continue"/>
    <w:basedOn w:val="List"/>
    <w:rsid w:val="00C638DC"/>
    <w:pPr>
      <w:ind w:firstLine="0"/>
    </w:pPr>
  </w:style>
  <w:style w:type="paragraph" w:customStyle="1" w:styleId="ListNote">
    <w:name w:val="List Note"/>
    <w:basedOn w:val="List"/>
    <w:rsid w:val="00C638DC"/>
    <w:pPr>
      <w:pBdr>
        <w:top w:val="single" w:sz="6" w:space="2" w:color="918585"/>
        <w:bottom w:val="single" w:sz="6" w:space="2" w:color="918585"/>
      </w:pBdr>
      <w:tabs>
        <w:tab w:val="left" w:pos="1021"/>
      </w:tabs>
      <w:ind w:firstLine="0"/>
    </w:pPr>
  </w:style>
  <w:style w:type="paragraph" w:customStyle="1" w:styleId="Warning">
    <w:name w:val="Warning"/>
    <w:basedOn w:val="BodyText"/>
    <w:rsid w:val="00C638DC"/>
    <w:pPr>
      <w:shd w:val="clear" w:color="auto" w:fill="D9D9D9"/>
      <w:tabs>
        <w:tab w:val="left" w:pos="992"/>
      </w:tabs>
      <w:ind w:left="119" w:right="119"/>
    </w:pPr>
    <w:rPr>
      <w:sz w:val="20"/>
    </w:rPr>
  </w:style>
  <w:style w:type="paragraph" w:customStyle="1" w:styleId="MarginIcons">
    <w:name w:val="Margin Icons"/>
    <w:basedOn w:val="BodyText"/>
    <w:rsid w:val="00C63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8DC"/>
    <w:rPr>
      <w:rFonts w:ascii="Courier New" w:hAnsi="Courier New"/>
    </w:rPr>
  </w:style>
  <w:style w:type="paragraph" w:customStyle="1" w:styleId="NoteBullet">
    <w:name w:val="Note Bullet"/>
    <w:basedOn w:val="Note"/>
    <w:rsid w:val="00C638DC"/>
    <w:pPr>
      <w:tabs>
        <w:tab w:val="clear" w:pos="680"/>
      </w:tabs>
      <w:spacing w:before="60" w:after="60"/>
    </w:pPr>
  </w:style>
  <w:style w:type="paragraph" w:customStyle="1" w:styleId="SubHeading2">
    <w:name w:val="SubHeading2"/>
    <w:basedOn w:val="HeadingBase"/>
    <w:rsid w:val="00C638DC"/>
    <w:pPr>
      <w:spacing w:before="240" w:after="60"/>
    </w:pPr>
    <w:rPr>
      <w:sz w:val="20"/>
    </w:rPr>
  </w:style>
  <w:style w:type="paragraph" w:customStyle="1" w:styleId="SubHeading1">
    <w:name w:val="SubHeading1"/>
    <w:basedOn w:val="HeadingBase"/>
    <w:rsid w:val="00C638DC"/>
    <w:pPr>
      <w:spacing w:before="240" w:after="60"/>
    </w:pPr>
    <w:rPr>
      <w:color w:val="918585"/>
      <w:sz w:val="22"/>
    </w:rPr>
  </w:style>
  <w:style w:type="paragraph" w:customStyle="1" w:styleId="SideHeading">
    <w:name w:val="Side Heading"/>
    <w:basedOn w:val="HeadingBase"/>
    <w:rsid w:val="00C63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8DC"/>
    <w:pPr>
      <w:tabs>
        <w:tab w:val="num" w:pos="360"/>
      </w:tabs>
    </w:pPr>
  </w:style>
  <w:style w:type="paragraph" w:styleId="PlainText">
    <w:name w:val="Plain Text"/>
    <w:basedOn w:val="Normal"/>
    <w:link w:val="PlainTextChar"/>
    <w:rsid w:val="00C638DC"/>
    <w:rPr>
      <w:sz w:val="20"/>
    </w:rPr>
  </w:style>
  <w:style w:type="character" w:customStyle="1" w:styleId="PlainTextChar">
    <w:name w:val="Plain Text Char"/>
    <w:basedOn w:val="DefaultParagraphFont"/>
    <w:link w:val="PlainText"/>
    <w:rsid w:val="00C638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38DC"/>
    <w:rPr>
      <w:b/>
      <w:smallCaps/>
    </w:rPr>
  </w:style>
  <w:style w:type="paragraph" w:customStyle="1" w:styleId="TableListNumber">
    <w:name w:val="Table List Number"/>
    <w:basedOn w:val="ListNumber"/>
    <w:rsid w:val="00C638DC"/>
    <w:pPr>
      <w:numPr>
        <w:numId w:val="0"/>
      </w:numPr>
    </w:pPr>
  </w:style>
  <w:style w:type="paragraph" w:styleId="TOC4">
    <w:name w:val="toc 4"/>
    <w:basedOn w:val="TOCBase"/>
    <w:next w:val="Normal"/>
    <w:semiHidden/>
    <w:rsid w:val="00C638DC"/>
    <w:pPr>
      <w:tabs>
        <w:tab w:val="right" w:leader="dot" w:pos="9071"/>
      </w:tabs>
      <w:ind w:left="1701"/>
    </w:pPr>
  </w:style>
  <w:style w:type="paragraph" w:customStyle="1" w:styleId="ListAlpha">
    <w:name w:val="List Alpha"/>
    <w:basedOn w:val="List"/>
    <w:rsid w:val="00C638DC"/>
    <w:pPr>
      <w:numPr>
        <w:numId w:val="8"/>
      </w:numPr>
    </w:pPr>
  </w:style>
  <w:style w:type="paragraph" w:customStyle="1" w:styleId="ListAlpha2">
    <w:name w:val="List Alpha 2"/>
    <w:basedOn w:val="List2"/>
    <w:rsid w:val="00C638DC"/>
    <w:pPr>
      <w:numPr>
        <w:numId w:val="7"/>
      </w:numPr>
    </w:pPr>
  </w:style>
  <w:style w:type="paragraph" w:styleId="List3">
    <w:name w:val="List 3"/>
    <w:basedOn w:val="BodyText"/>
    <w:rsid w:val="00C638DC"/>
    <w:pPr>
      <w:tabs>
        <w:tab w:val="left" w:pos="1021"/>
      </w:tabs>
      <w:spacing w:before="60" w:after="60"/>
      <w:ind w:left="1020" w:hanging="340"/>
    </w:pPr>
  </w:style>
  <w:style w:type="paragraph" w:styleId="List4">
    <w:name w:val="List 4"/>
    <w:basedOn w:val="BodyText"/>
    <w:rsid w:val="00C638DC"/>
    <w:pPr>
      <w:tabs>
        <w:tab w:val="left" w:pos="1361"/>
      </w:tabs>
      <w:spacing w:before="60" w:after="60"/>
      <w:ind w:left="1361" w:hanging="340"/>
    </w:pPr>
  </w:style>
  <w:style w:type="paragraph" w:styleId="List5">
    <w:name w:val="List 5"/>
    <w:basedOn w:val="BodyText"/>
    <w:rsid w:val="00C638DC"/>
    <w:pPr>
      <w:tabs>
        <w:tab w:val="left" w:pos="1701"/>
      </w:tabs>
      <w:spacing w:before="60" w:after="60"/>
      <w:ind w:left="1701" w:hanging="340"/>
    </w:pPr>
  </w:style>
  <w:style w:type="paragraph" w:styleId="ListBullet3">
    <w:name w:val="List Bullet 3"/>
    <w:basedOn w:val="List3"/>
    <w:rsid w:val="00C638DC"/>
    <w:pPr>
      <w:numPr>
        <w:numId w:val="14"/>
      </w:numPr>
      <w:tabs>
        <w:tab w:val="clear" w:pos="1021"/>
      </w:tabs>
      <w:ind w:left="1037" w:hanging="357"/>
    </w:pPr>
  </w:style>
  <w:style w:type="paragraph" w:styleId="ListBullet4">
    <w:name w:val="List Bullet 4"/>
    <w:basedOn w:val="List4"/>
    <w:rsid w:val="00C638DC"/>
    <w:pPr>
      <w:numPr>
        <w:numId w:val="2"/>
      </w:numPr>
    </w:pPr>
  </w:style>
  <w:style w:type="paragraph" w:styleId="ListBullet5">
    <w:name w:val="List Bullet 5"/>
    <w:basedOn w:val="List5"/>
    <w:rsid w:val="00C638DC"/>
    <w:pPr>
      <w:numPr>
        <w:numId w:val="3"/>
      </w:numPr>
    </w:pPr>
  </w:style>
  <w:style w:type="paragraph" w:styleId="ListContinue2">
    <w:name w:val="List Continue 2"/>
    <w:basedOn w:val="List2"/>
    <w:rsid w:val="00C638DC"/>
    <w:pPr>
      <w:ind w:firstLine="0"/>
    </w:pPr>
  </w:style>
  <w:style w:type="paragraph" w:styleId="ListContinue3">
    <w:name w:val="List Continue 3"/>
    <w:basedOn w:val="List3"/>
    <w:rsid w:val="00C638DC"/>
    <w:pPr>
      <w:ind w:left="1021" w:firstLine="0"/>
    </w:pPr>
  </w:style>
  <w:style w:type="paragraph" w:styleId="ListContinue4">
    <w:name w:val="List Continue 4"/>
    <w:basedOn w:val="List4"/>
    <w:rsid w:val="00C638DC"/>
    <w:pPr>
      <w:ind w:firstLine="0"/>
    </w:pPr>
  </w:style>
  <w:style w:type="paragraph" w:styleId="ListContinue5">
    <w:name w:val="List Continue 5"/>
    <w:basedOn w:val="List5"/>
    <w:rsid w:val="00C638DC"/>
    <w:pPr>
      <w:ind w:firstLine="0"/>
    </w:pPr>
  </w:style>
  <w:style w:type="paragraph" w:styleId="ListNumber3">
    <w:name w:val="List Number 3"/>
    <w:basedOn w:val="List3"/>
    <w:rsid w:val="00C638DC"/>
    <w:pPr>
      <w:numPr>
        <w:numId w:val="4"/>
      </w:numPr>
    </w:pPr>
  </w:style>
  <w:style w:type="paragraph" w:styleId="ListNumber4">
    <w:name w:val="List Number 4"/>
    <w:basedOn w:val="List4"/>
    <w:rsid w:val="00C638DC"/>
    <w:pPr>
      <w:numPr>
        <w:numId w:val="5"/>
      </w:numPr>
    </w:pPr>
  </w:style>
  <w:style w:type="paragraph" w:styleId="ListNumber5">
    <w:name w:val="List Number 5"/>
    <w:basedOn w:val="List5"/>
    <w:rsid w:val="00C638DC"/>
    <w:pPr>
      <w:numPr>
        <w:numId w:val="6"/>
      </w:numPr>
    </w:pPr>
  </w:style>
  <w:style w:type="paragraph" w:styleId="BlockText">
    <w:name w:val="Block Text"/>
    <w:basedOn w:val="Normal"/>
    <w:rsid w:val="00C638DC"/>
    <w:pPr>
      <w:spacing w:after="120"/>
      <w:ind w:left="1440" w:right="1440"/>
    </w:pPr>
  </w:style>
  <w:style w:type="character" w:customStyle="1" w:styleId="Subscript">
    <w:name w:val="Subscript"/>
    <w:basedOn w:val="DefaultParagraphFont"/>
    <w:rsid w:val="00C638DC"/>
    <w:rPr>
      <w:sz w:val="16"/>
      <w:vertAlign w:val="subscript"/>
    </w:rPr>
  </w:style>
  <w:style w:type="character" w:customStyle="1" w:styleId="Superscript">
    <w:name w:val="Superscript"/>
    <w:basedOn w:val="DefaultParagraphFont"/>
    <w:rsid w:val="00C638DC"/>
    <w:rPr>
      <w:sz w:val="16"/>
      <w:vertAlign w:val="superscript"/>
    </w:rPr>
  </w:style>
  <w:style w:type="character" w:customStyle="1" w:styleId="Symbols">
    <w:name w:val="Symbols"/>
    <w:basedOn w:val="DefaultParagraphFont"/>
    <w:rsid w:val="00C638DC"/>
    <w:rPr>
      <w:rFonts w:ascii="Symbol" w:hAnsi="Symbol"/>
    </w:rPr>
  </w:style>
  <w:style w:type="character" w:customStyle="1" w:styleId="MenuOptions">
    <w:name w:val="Menu Options"/>
    <w:basedOn w:val="DefaultParagraphFont"/>
    <w:rsid w:val="00C638DC"/>
    <w:rPr>
      <w:rFonts w:ascii="Arial Narrow" w:hAnsi="Arial Narrow"/>
      <w:smallCaps/>
    </w:rPr>
  </w:style>
  <w:style w:type="character" w:customStyle="1" w:styleId="Buttons">
    <w:name w:val="Buttons"/>
    <w:basedOn w:val="DefaultParagraphFont"/>
    <w:rsid w:val="00C638DC"/>
    <w:rPr>
      <w:b/>
    </w:rPr>
  </w:style>
  <w:style w:type="character" w:customStyle="1" w:styleId="Underlined">
    <w:name w:val="Underlined"/>
    <w:basedOn w:val="DefaultParagraphFont"/>
    <w:rsid w:val="00C638DC"/>
    <w:rPr>
      <w:u w:val="single"/>
    </w:rPr>
  </w:style>
  <w:style w:type="paragraph" w:customStyle="1" w:styleId="TableBodyTextRight">
    <w:name w:val="Table Body Text Right"/>
    <w:basedOn w:val="TableBodyText"/>
    <w:rsid w:val="00C638DC"/>
    <w:pPr>
      <w:widowControl w:val="0"/>
      <w:autoSpaceDE w:val="0"/>
      <w:autoSpaceDN w:val="0"/>
      <w:adjustRightInd w:val="0"/>
      <w:jc w:val="right"/>
    </w:pPr>
    <w:rPr>
      <w:rFonts w:cs="Arial"/>
      <w:szCs w:val="18"/>
    </w:rPr>
  </w:style>
  <w:style w:type="paragraph" w:customStyle="1" w:styleId="CopyrightText">
    <w:name w:val="Copyright Text"/>
    <w:basedOn w:val="BodyText"/>
    <w:rsid w:val="00C638DC"/>
    <w:rPr>
      <w:sz w:val="18"/>
    </w:rPr>
  </w:style>
  <w:style w:type="paragraph" w:customStyle="1" w:styleId="BodySmallRight">
    <w:name w:val="Body Small Right"/>
    <w:basedOn w:val="BodyTextRight"/>
    <w:rsid w:val="00C638DC"/>
    <w:rPr>
      <w:sz w:val="18"/>
      <w:szCs w:val="18"/>
    </w:rPr>
  </w:style>
  <w:style w:type="paragraph" w:customStyle="1" w:styleId="MarginEdition">
    <w:name w:val="Margin Edition"/>
    <w:basedOn w:val="MarginNote"/>
    <w:rsid w:val="00C638DC"/>
    <w:pPr>
      <w:spacing w:before="0" w:after="0"/>
    </w:pPr>
    <w:rPr>
      <w:rFonts w:ascii="Times New Roman" w:hAnsi="Times New Roman"/>
      <w:color w:val="999999"/>
    </w:rPr>
  </w:style>
  <w:style w:type="paragraph" w:customStyle="1" w:styleId="Spacer">
    <w:name w:val="Spacer"/>
    <w:basedOn w:val="Normal"/>
    <w:rsid w:val="00C638DC"/>
    <w:rPr>
      <w:sz w:val="2"/>
      <w:szCs w:val="2"/>
    </w:rPr>
  </w:style>
  <w:style w:type="character" w:customStyle="1" w:styleId="Small">
    <w:name w:val="Small"/>
    <w:basedOn w:val="DefaultParagraphFont"/>
    <w:rsid w:val="00C638DC"/>
    <w:rPr>
      <w:sz w:val="16"/>
    </w:rPr>
  </w:style>
  <w:style w:type="paragraph" w:customStyle="1" w:styleId="WideTable">
    <w:name w:val="Wide Table"/>
    <w:basedOn w:val="Normal"/>
    <w:rsid w:val="00C638DC"/>
    <w:pPr>
      <w:ind w:left="-1418"/>
    </w:pPr>
    <w:rPr>
      <w:sz w:val="2"/>
      <w:szCs w:val="2"/>
    </w:rPr>
  </w:style>
  <w:style w:type="character" w:styleId="PageNumber">
    <w:name w:val="page number"/>
    <w:basedOn w:val="DefaultParagraphFont"/>
    <w:rsid w:val="00C638DC"/>
  </w:style>
  <w:style w:type="paragraph" w:styleId="Quote">
    <w:name w:val="Quote"/>
    <w:basedOn w:val="Heading1"/>
    <w:link w:val="QuoteChar"/>
    <w:qFormat/>
    <w:rsid w:val="00C638DC"/>
    <w:rPr>
      <w:b w:val="0"/>
      <w:sz w:val="72"/>
      <w:szCs w:val="72"/>
      <w:lang w:val="en-NZ"/>
    </w:rPr>
  </w:style>
  <w:style w:type="character" w:customStyle="1" w:styleId="QuoteChar">
    <w:name w:val="Quote Char"/>
    <w:basedOn w:val="DefaultParagraphFont"/>
    <w:link w:val="Quote"/>
    <w:rsid w:val="00C63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8DC"/>
    <w:pPr>
      <w:pageBreakBefore/>
    </w:pPr>
  </w:style>
  <w:style w:type="paragraph" w:customStyle="1" w:styleId="Border">
    <w:name w:val="Border"/>
    <w:basedOn w:val="Normal"/>
    <w:qFormat/>
    <w:rsid w:val="00C63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8DC"/>
    <w:rPr>
      <w:b/>
      <w:bCs/>
      <w:i/>
      <w:iCs/>
      <w:color w:val="auto"/>
    </w:rPr>
  </w:style>
  <w:style w:type="paragraph" w:styleId="IntenseQuote">
    <w:name w:val="Intense Quote"/>
    <w:basedOn w:val="Normal"/>
    <w:next w:val="Normal"/>
    <w:link w:val="IntenseQuoteChar"/>
    <w:uiPriority w:val="30"/>
    <w:qFormat/>
    <w:rsid w:val="00C63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8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38DC"/>
    <w:rPr>
      <w:smallCaps/>
      <w:color w:val="auto"/>
      <w:u w:val="single"/>
    </w:rPr>
  </w:style>
  <w:style w:type="character" w:styleId="IntenseReference">
    <w:name w:val="Intense Reference"/>
    <w:basedOn w:val="DefaultParagraphFont"/>
    <w:uiPriority w:val="32"/>
    <w:qFormat/>
    <w:rsid w:val="00C638DC"/>
    <w:rPr>
      <w:b/>
      <w:bCs/>
      <w:smallCaps/>
      <w:color w:val="auto"/>
      <w:spacing w:val="5"/>
      <w:u w:val="single"/>
    </w:rPr>
  </w:style>
  <w:style w:type="paragraph" w:customStyle="1" w:styleId="2ColumnHeading">
    <w:name w:val="2Column Heading"/>
    <w:basedOn w:val="BodyText"/>
    <w:qFormat/>
    <w:rsid w:val="00C638DC"/>
    <w:pPr>
      <w:spacing w:after="60"/>
      <w:ind w:left="-2268"/>
    </w:pPr>
    <w:rPr>
      <w:b/>
    </w:rPr>
  </w:style>
  <w:style w:type="paragraph" w:customStyle="1" w:styleId="Heading1TOC">
    <w:name w:val="Heading1 TOC"/>
    <w:basedOn w:val="Normal"/>
    <w:qFormat/>
    <w:rsid w:val="00C638DC"/>
    <w:pPr>
      <w:spacing w:before="240" w:after="120"/>
    </w:pPr>
    <w:rPr>
      <w:rFonts w:ascii="Times New Roman" w:hAnsi="Times New Roman"/>
      <w:b/>
      <w:sz w:val="32"/>
    </w:rPr>
  </w:style>
  <w:style w:type="paragraph" w:customStyle="1" w:styleId="Heading2TOC">
    <w:name w:val="Heading2 TOC"/>
    <w:basedOn w:val="Normal"/>
    <w:qFormat/>
    <w:rsid w:val="00C638DC"/>
    <w:pPr>
      <w:spacing w:before="240" w:after="60"/>
    </w:pPr>
    <w:rPr>
      <w:rFonts w:ascii="Times New Roman" w:hAnsi="Times New Roman"/>
      <w:b/>
      <w:sz w:val="28"/>
    </w:rPr>
  </w:style>
  <w:style w:type="character" w:customStyle="1" w:styleId="Underline">
    <w:name w:val="Underline"/>
    <w:basedOn w:val="DefaultParagraphFont"/>
    <w:qFormat/>
    <w:rsid w:val="00C638DC"/>
    <w:rPr>
      <w:u w:val="single"/>
    </w:rPr>
  </w:style>
  <w:style w:type="paragraph" w:styleId="BalloonText">
    <w:name w:val="Balloon Text"/>
    <w:basedOn w:val="Normal"/>
    <w:link w:val="BalloonTextChar"/>
    <w:rsid w:val="00C638DC"/>
    <w:rPr>
      <w:rFonts w:ascii="Tahoma" w:hAnsi="Tahoma" w:cs="Tahoma"/>
      <w:sz w:val="16"/>
      <w:szCs w:val="16"/>
    </w:rPr>
  </w:style>
  <w:style w:type="character" w:customStyle="1" w:styleId="BalloonTextChar">
    <w:name w:val="Balloon Text Char"/>
    <w:basedOn w:val="DefaultParagraphFont"/>
    <w:link w:val="BalloonText"/>
    <w:rsid w:val="00C638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38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38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1386</Words>
  <Characters>8810</Characters>
  <Application>Microsoft Office Word</Application>
  <DocSecurity>0</DocSecurity>
  <Lines>328</Lines>
  <Paragraphs>169</Paragraphs>
  <ScaleCrop>false</ScaleCrop>
  <Company>Author-it Software Corporation Ltd.</Company>
  <LinksUpToDate>false</LinksUpToDate>
  <CharactersWithSpaces>10134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SFIPROC202C Process squid, cuttlefish and octopus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2012-05-26T08:38:00Z</dcterms:created>
  <dcterms:modified xsi:type="dcterms:W3CDTF">2012-05-26T08:38:00Z</dcterms:modified>
</cp:coreProperties>
</file>