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C06" w:rsidP="00983C06">
      <w:pPr>
        <w:pStyle w:val="Title"/>
      </w:pPr>
      <w:r>
        <w:fldChar w:fldCharType="begin"/>
      </w:r>
      <w:r>
        <w:instrText xml:space="preserve"> TITLE   \* MERGEFORMAT </w:instrText>
      </w:r>
      <w:r>
        <w:fldChar w:fldCharType="separate"/>
      </w:r>
      <w:r>
        <w:t>SFILEAD501C Develop and promote industry knowledge</w:t>
      </w:r>
      <w:r>
        <w:fldChar w:fldCharType="end"/>
      </w:r>
    </w:p>
    <w:p w:rsidR="00983C06" w:rsidP="00983C06">
      <w:pPr>
        <w:pStyle w:val="Version"/>
        <w:sectPr w:rsidSect="000C63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38B" w:rsidP="000C638B">
      <w:pPr>
        <w:pStyle w:val="SuperHeading"/>
      </w:pPr>
      <w:r w:rsidRPr="000C638B">
        <w:t>SFILEAD501C Develop and promote industry knowledge</w:t>
      </w:r>
    </w:p>
    <w:p w:rsidR="00000000" w:rsidRPr="000C638B" w:rsidP="000C638B">
      <w:pPr>
        <w:pStyle w:val="Heading1"/>
      </w:pPr>
      <w:bookmarkStart w:id="1" w:name="O_273269"/>
      <w:bookmarkEnd w:id="1"/>
      <w:r w:rsidRPr="000C638B">
        <w:t>Modification History</w:t>
      </w:r>
    </w:p>
    <w:p w:rsidR="00000000" w:rsidRPr="000C638B" w:rsidP="000C638B">
      <w:pPr>
        <w:pStyle w:val="BodyText"/>
      </w:pPr>
      <w:r w:rsidRPr="000C638B">
        <w:t>Not Applicable</w:t>
      </w:r>
    </w:p>
    <w:p w:rsidR="00000000" w:rsidRPr="000C638B" w:rsidP="000C638B">
      <w:pPr>
        <w:pStyle w:val="AllowPageBreak"/>
      </w:pPr>
    </w:p>
    <w:p w:rsidR="00000000" w:rsidRPr="000C638B" w:rsidP="000C638B">
      <w:pPr>
        <w:pStyle w:val="Heading1"/>
      </w:pPr>
      <w:bookmarkStart w:id="2" w:name="O_218374"/>
      <w:bookmarkEnd w:id="2"/>
      <w:r w:rsidRPr="000C638B">
        <w:t>Unit Descriptor</w:t>
      </w:r>
    </w:p>
    <w:tbl>
      <w:tblPr>
        <w:tblW w:w="0" w:type="auto"/>
        <w:tblLayout w:type="fixed"/>
        <w:tblCellMar>
          <w:left w:w="62" w:type="dxa"/>
          <w:right w:w="62" w:type="dxa"/>
        </w:tblCellMar>
        <w:tblLook w:val="0000"/>
      </w:tblPr>
      <w:tblGrid>
        <w:gridCol w:w="2667"/>
        <w:gridCol w:w="5855"/>
      </w:tblGrid>
      <w:tr w:rsidTr="00983C0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r w:rsidRPr="000C638B">
              <w:t xml:space="preserve">This unit of competency deals with the capability of a strategic industry leader to keep up-to-date </w:t>
            </w:r>
            <w:r w:rsidRPr="000C638B">
              <w:t>with a broad range of industry knowledge and assess the significance of issues and new developments for the continued growth and wellbeing of the industry as a whole.</w:t>
            </w:r>
          </w:p>
          <w:p w:rsidR="00000000" w:rsidRPr="000C638B" w:rsidP="000C638B">
            <w:pPr>
              <w:pStyle w:val="BodyText"/>
            </w:pPr>
            <w:r w:rsidRPr="000C638B">
              <w:t>No licensing, legislative, regulatory or certification requirements apply to this unit at</w:t>
            </w:r>
            <w:r w:rsidRPr="000C638B">
              <w:t xml:space="preserve"> the time of publication.</w:t>
            </w:r>
          </w:p>
        </w:tc>
      </w:tr>
    </w:tbl>
    <w:p w:rsidR="00983C06" w:rsidP="000C638B">
      <w:pPr>
        <w:pStyle w:val="BodyText"/>
      </w:pPr>
    </w:p>
    <w:p w:rsidR="00983C06" w:rsidP="000C638B">
      <w:pPr>
        <w:pStyle w:val="BodyText"/>
      </w:pPr>
    </w:p>
    <w:p w:rsidR="00000000" w:rsidRPr="000C638B" w:rsidP="000C638B">
      <w:pPr>
        <w:pStyle w:val="Heading1"/>
      </w:pPr>
      <w:bookmarkStart w:id="3" w:name="O_218378"/>
      <w:bookmarkEnd w:id="3"/>
      <w:r w:rsidRPr="000C638B">
        <w:t>Application of the Unit</w:t>
      </w:r>
    </w:p>
    <w:tbl>
      <w:tblPr>
        <w:tblW w:w="0" w:type="auto"/>
        <w:tblLayout w:type="fixed"/>
        <w:tblCellMar>
          <w:left w:w="62" w:type="dxa"/>
          <w:right w:w="62" w:type="dxa"/>
        </w:tblCellMar>
        <w:tblLook w:val="0000"/>
      </w:tblPr>
      <w:tblGrid>
        <w:gridCol w:w="2755"/>
        <w:gridCol w:w="5767"/>
      </w:tblGrid>
      <w:tr w:rsidTr="00983C06">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r w:rsidRPr="000C638B">
              <w:t xml:space="preserve">This unit has application for the development of industry leaders involved in strategic management of the seafood industry. This unit is one </w:t>
            </w:r>
            <w:r w:rsidRPr="000C638B">
              <w:t>of seven strategic leadership units at Diploma level. The strategic leadership units are undertaken as a group and are listed as a Skill Set in the SFI10 Seafood Industry Training Package.</w:t>
            </w:r>
          </w:p>
        </w:tc>
      </w:tr>
    </w:tbl>
    <w:p w:rsidR="00983C06" w:rsidP="000C638B">
      <w:pPr>
        <w:pStyle w:val="BodyText"/>
      </w:pPr>
    </w:p>
    <w:p w:rsidR="00983C06" w:rsidP="000C638B">
      <w:pPr>
        <w:pStyle w:val="BodyText"/>
      </w:pPr>
    </w:p>
    <w:p w:rsidR="00000000" w:rsidRPr="000C638B" w:rsidP="000C638B">
      <w:pPr>
        <w:pStyle w:val="Heading1"/>
      </w:pPr>
      <w:bookmarkStart w:id="4" w:name="O_281529"/>
      <w:bookmarkEnd w:id="4"/>
      <w:r w:rsidRPr="000C638B">
        <w:t>Licensing/Regulatory Information</w:t>
      </w:r>
    </w:p>
    <w:p w:rsidR="00000000" w:rsidRPr="000C638B" w:rsidP="000C638B">
      <w:pPr>
        <w:pStyle w:val="BodyText"/>
      </w:pPr>
      <w:r w:rsidRPr="000C638B">
        <w:t xml:space="preserve">Refer to Unit </w:t>
      </w:r>
      <w:r w:rsidRPr="000C638B">
        <w:t>Descriptor</w:t>
      </w:r>
    </w:p>
    <w:p w:rsidR="00000000" w:rsidRPr="000C638B" w:rsidP="000C638B">
      <w:pPr>
        <w:pStyle w:val="AllowPageBreak"/>
      </w:pPr>
    </w:p>
    <w:p w:rsidR="00000000" w:rsidRPr="000C638B" w:rsidP="000C638B">
      <w:pPr>
        <w:pStyle w:val="Heading1"/>
      </w:pPr>
      <w:bookmarkStart w:id="5" w:name="O_218376"/>
      <w:bookmarkEnd w:id="5"/>
      <w:r w:rsidRPr="000C638B">
        <w:t>Pre-Requisites</w:t>
      </w:r>
    </w:p>
    <w:tbl>
      <w:tblPr>
        <w:tblW w:w="0" w:type="auto"/>
        <w:tblLayout w:type="fixed"/>
        <w:tblCellMar>
          <w:left w:w="62" w:type="dxa"/>
          <w:right w:w="62" w:type="dxa"/>
        </w:tblCellMar>
        <w:tblLook w:val="0000"/>
      </w:tblPr>
      <w:tblGrid>
        <w:gridCol w:w="2775"/>
        <w:gridCol w:w="1295"/>
        <w:gridCol w:w="4452"/>
      </w:tblGrid>
      <w:tr w:rsidTr="00983C0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p>
        </w:tc>
      </w:tr>
      <w:tr w:rsidTr="00983C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p>
        </w:tc>
      </w:tr>
      <w:tr w:rsidTr="00983C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p>
        </w:tc>
      </w:tr>
    </w:tbl>
    <w:p w:rsidR="00983C06" w:rsidP="000C638B">
      <w:pPr>
        <w:pStyle w:val="BodyText"/>
      </w:pPr>
    </w:p>
    <w:p w:rsidR="00983C06" w:rsidP="000C638B">
      <w:pPr>
        <w:pStyle w:val="BodyText"/>
      </w:pPr>
    </w:p>
    <w:p w:rsidR="00000000" w:rsidRPr="000C638B" w:rsidP="000C638B">
      <w:pPr>
        <w:pStyle w:val="Heading1"/>
      </w:pPr>
      <w:bookmarkStart w:id="6" w:name="O_218375"/>
      <w:bookmarkEnd w:id="6"/>
      <w:r w:rsidRPr="000C638B">
        <w:t>Employability Skills Information</w:t>
      </w:r>
    </w:p>
    <w:tbl>
      <w:tblPr>
        <w:tblW w:w="0" w:type="auto"/>
        <w:tblLayout w:type="fixed"/>
        <w:tblCellMar>
          <w:left w:w="62" w:type="dxa"/>
          <w:right w:w="62" w:type="dxa"/>
        </w:tblCellMar>
        <w:tblLook w:val="0000"/>
      </w:tblPr>
      <w:tblGrid>
        <w:gridCol w:w="2802"/>
        <w:gridCol w:w="5720"/>
      </w:tblGrid>
      <w:tr w:rsidTr="00983C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r w:rsidRPr="000C638B">
              <w:t xml:space="preserve">This unit contains employability skills. </w:t>
            </w:r>
          </w:p>
        </w:tc>
      </w:tr>
    </w:tbl>
    <w:p w:rsidR="00983C06" w:rsidP="000C638B">
      <w:pPr>
        <w:pStyle w:val="BodyText"/>
      </w:pPr>
    </w:p>
    <w:p w:rsidR="00983C06" w:rsidP="000C638B">
      <w:pPr>
        <w:pStyle w:val="BodyText"/>
      </w:pPr>
    </w:p>
    <w:p w:rsidR="00000000" w:rsidRPr="000C638B" w:rsidP="000C638B">
      <w:pPr>
        <w:pStyle w:val="Heading1"/>
      </w:pPr>
      <w:bookmarkStart w:id="7" w:name="O_291315"/>
      <w:bookmarkEnd w:id="7"/>
      <w:r w:rsidRPr="000C638B">
        <w:t>Elements and Performance Criteria Pre-Content</w:t>
      </w:r>
    </w:p>
    <w:tbl>
      <w:tblPr>
        <w:tblW w:w="0" w:type="auto"/>
        <w:tblLayout w:type="fixed"/>
        <w:tblCellMar>
          <w:left w:w="62" w:type="dxa"/>
          <w:right w:w="62" w:type="dxa"/>
        </w:tblCellMar>
        <w:tblLook w:val="0000"/>
      </w:tblPr>
      <w:tblGrid>
        <w:gridCol w:w="2599"/>
        <w:gridCol w:w="5923"/>
      </w:tblGrid>
      <w:tr w:rsidTr="00983C06">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t>Elements describe the essential outcomes of a unit of competency.</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r w:rsidRPr="000C638B">
              <w:t>Performance criteria describe the performance needed to demonstrate achievement of the element. Where bold italicised text is used, further information is detailed in the required skills and</w:t>
            </w:r>
            <w:r w:rsidRPr="000C638B">
              <w:t xml:space="preserve"> knowledge section and the range statement. Assessment of performance is to be consistent with the evidence guide.</w:t>
            </w:r>
          </w:p>
        </w:tc>
      </w:tr>
    </w:tbl>
    <w:p w:rsidR="00000000" w:rsidRPr="000C638B" w:rsidP="000C638B">
      <w:pPr>
        <w:pStyle w:val="BodyText"/>
      </w:pPr>
    </w:p>
    <w:p w:rsidR="00000000" w:rsidRPr="000C638B" w:rsidP="000C638B">
      <w:pPr>
        <w:pStyle w:val="AllowPageBreak"/>
      </w:pPr>
    </w:p>
    <w:p w:rsidR="00000000" w:rsidRPr="000C638B" w:rsidP="000C638B">
      <w:pPr>
        <w:pStyle w:val="Heading1"/>
      </w:pPr>
      <w:bookmarkStart w:id="8" w:name="O_237983"/>
      <w:bookmarkEnd w:id="8"/>
      <w:r w:rsidRPr="000C638B">
        <w:t>Elements and Performance Criteria</w:t>
      </w:r>
    </w:p>
    <w:tbl>
      <w:tblPr>
        <w:tblW w:w="0" w:type="auto"/>
        <w:tblLayout w:type="fixed"/>
        <w:tblCellMar>
          <w:left w:w="62" w:type="dxa"/>
          <w:right w:w="62" w:type="dxa"/>
        </w:tblCellMar>
        <w:tblLook w:val="0000"/>
      </w:tblPr>
      <w:tblGrid>
        <w:gridCol w:w="2599"/>
        <w:gridCol w:w="5923"/>
      </w:tblGrid>
      <w:tr w:rsidTr="00983C06">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r w:rsidRPr="000C638B">
              <w:rPr>
                <w:rStyle w:val="SpecialBold"/>
              </w:rPr>
              <w:t>ELEMENT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PERFORMANCE CRITERIA</w:t>
            </w:r>
          </w:p>
        </w:tc>
      </w:tr>
      <w:tr w:rsidTr="00983C06">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List"/>
              <w:rPr>
                <w:lang w:val="en-NZ"/>
              </w:rPr>
            </w:pPr>
            <w:r w:rsidRPr="000C638B">
              <w:t>1.</w:t>
            </w:r>
            <w:r w:rsidRPr="000C638B">
              <w:tab/>
              <w:t>Build and maintain a detailed knowledge of the industry</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2"/>
            </w:pPr>
            <w:r w:rsidRPr="000C638B">
              <w:t>1.1.</w:t>
            </w:r>
            <w:r w:rsidRPr="000C638B">
              <w:tab/>
              <w:t xml:space="preserve">Knowledge of key industry sectors, </w:t>
            </w:r>
            <w:r w:rsidRPr="000C638B">
              <w:rPr>
                <w:rStyle w:val="BoldandItalics"/>
              </w:rPr>
              <w:t>products</w:t>
            </w:r>
            <w:r w:rsidRPr="000C638B">
              <w:t xml:space="preserve">, </w:t>
            </w:r>
            <w:r w:rsidRPr="000C638B">
              <w:rPr>
                <w:rStyle w:val="BoldandItalics"/>
              </w:rPr>
              <w:t>equipment</w:t>
            </w:r>
            <w:r w:rsidRPr="000C638B">
              <w:t xml:space="preserve">, </w:t>
            </w:r>
            <w:r w:rsidRPr="000C638B">
              <w:rPr>
                <w:rStyle w:val="BoldandItalics"/>
              </w:rPr>
              <w:t>supply chain</w:t>
            </w:r>
            <w:r w:rsidRPr="000C638B">
              <w:t xml:space="preserve">, </w:t>
            </w:r>
            <w:r w:rsidRPr="000C638B">
              <w:rPr>
                <w:rStyle w:val="BoldandItalics"/>
              </w:rPr>
              <w:t>stakeholder</w:t>
            </w:r>
            <w:r w:rsidRPr="000C638B">
              <w:t xml:space="preserve"> </w:t>
            </w:r>
            <w:r w:rsidRPr="000C638B">
              <w:rPr>
                <w:rStyle w:val="BoldandItalics"/>
              </w:rPr>
              <w:t>organisations</w:t>
            </w:r>
            <w:r w:rsidRPr="000C638B">
              <w:t xml:space="preserve">, people, resource management processes/policies, work practices, </w:t>
            </w:r>
            <w:r w:rsidRPr="000C638B">
              <w:rPr>
                <w:rStyle w:val="BoldandItalics"/>
              </w:rPr>
              <w:t>legislation and regulations</w:t>
            </w:r>
            <w:r w:rsidRPr="000C638B">
              <w:t xml:space="preserve"> is developed and maintained. </w:t>
            </w:r>
          </w:p>
          <w:p w:rsidR="00000000" w:rsidRPr="000C638B" w:rsidP="000C638B">
            <w:pPr>
              <w:pStyle w:val="List2"/>
            </w:pPr>
            <w:r w:rsidRPr="000C638B">
              <w:t>1.2.</w:t>
            </w:r>
            <w:r w:rsidRPr="000C638B">
              <w:tab/>
              <w:t>Likely sources of informat</w:t>
            </w:r>
            <w:r w:rsidRPr="000C638B">
              <w:t>ion are identified and accessed, as required.</w:t>
            </w:r>
          </w:p>
          <w:p w:rsidR="00000000" w:rsidRPr="000C638B" w:rsidP="000C638B">
            <w:pPr>
              <w:pStyle w:val="List2"/>
            </w:pPr>
            <w:r w:rsidRPr="000C638B">
              <w:t>1.3.</w:t>
            </w:r>
            <w:r w:rsidRPr="000C638B">
              <w:tab/>
              <w:t>Relevant historical events and the sensitivities and positions of the people involved are recalled and applied.</w:t>
            </w:r>
          </w:p>
          <w:p w:rsidR="00000000" w:rsidP="000C638B">
            <w:pPr>
              <w:pStyle w:val="List2"/>
              <w:rPr>
                <w:lang w:val="en-NZ"/>
              </w:rPr>
            </w:pPr>
            <w:r w:rsidRPr="000C638B">
              <w:t>1.4.</w:t>
            </w:r>
            <w:r w:rsidRPr="000C638B">
              <w:tab/>
              <w:t>State, territory, national and international issues and research findings are analysed f</w:t>
            </w:r>
            <w:r w:rsidRPr="000C638B">
              <w:t>or their relevance to the industry.</w:t>
            </w:r>
          </w:p>
        </w:tc>
      </w:tr>
      <w:tr w:rsidTr="00983C06">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List"/>
              <w:rPr>
                <w:lang w:val="en-NZ"/>
              </w:rPr>
            </w:pPr>
            <w:r w:rsidRPr="000C638B">
              <w:t>2.</w:t>
            </w:r>
            <w:r w:rsidRPr="000C638B">
              <w:tab/>
              <w:t>Assess new developments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2"/>
            </w:pPr>
            <w:r w:rsidRPr="000C638B">
              <w:t>2.1.</w:t>
            </w:r>
            <w:r w:rsidRPr="000C638B">
              <w:tab/>
              <w:t>Issues of actual or potential significance for the industry are identified and researched, as necessary.</w:t>
            </w:r>
          </w:p>
          <w:p w:rsidR="00000000" w:rsidRPr="000C638B" w:rsidP="000C638B">
            <w:pPr>
              <w:pStyle w:val="List2"/>
            </w:pPr>
            <w:r w:rsidRPr="000C638B">
              <w:t>2.2.</w:t>
            </w:r>
            <w:r w:rsidRPr="000C638B">
              <w:tab/>
              <w:t xml:space="preserve">The risks and opportunities of </w:t>
            </w:r>
            <w:r w:rsidRPr="000C638B">
              <w:rPr>
                <w:rStyle w:val="BoldandItalics"/>
              </w:rPr>
              <w:t>new developments</w:t>
            </w:r>
            <w:r w:rsidRPr="000C638B">
              <w:t xml:space="preserve"> in industry processes, techno</w:t>
            </w:r>
            <w:r w:rsidRPr="000C638B">
              <w:t xml:space="preserve">logy and quality/environmental requirements are considered. </w:t>
            </w:r>
          </w:p>
          <w:p w:rsidR="00000000" w:rsidRPr="000C638B" w:rsidP="000C638B">
            <w:pPr>
              <w:pStyle w:val="List2"/>
            </w:pPr>
            <w:r w:rsidRPr="000C638B">
              <w:t>2.3.</w:t>
            </w:r>
            <w:r w:rsidRPr="000C638B">
              <w:tab/>
              <w:t>Emerging stakeholders and interest groups are identified and assessed for their potential benefit or impact.</w:t>
            </w:r>
          </w:p>
          <w:p w:rsidR="00000000" w:rsidRPr="000C638B" w:rsidP="000C638B">
            <w:pPr>
              <w:pStyle w:val="List2"/>
            </w:pPr>
            <w:r w:rsidRPr="000C638B">
              <w:t>2.4.</w:t>
            </w:r>
            <w:r w:rsidRPr="000C638B">
              <w:tab/>
              <w:t>Trends in production, marketing, resource management and research are analys</w:t>
            </w:r>
            <w:r w:rsidRPr="000C638B">
              <w:t>ed.</w:t>
            </w:r>
          </w:p>
          <w:p w:rsidR="00000000" w:rsidRPr="000C638B" w:rsidP="000C638B">
            <w:pPr>
              <w:pStyle w:val="List2"/>
            </w:pPr>
            <w:r w:rsidRPr="000C638B">
              <w:t>2.5.</w:t>
            </w:r>
            <w:r w:rsidRPr="000C638B">
              <w:tab/>
              <w:t>Success and failure in other industries are assessed for their relevance.</w:t>
            </w:r>
          </w:p>
          <w:p w:rsidR="00000000" w:rsidP="000C638B">
            <w:pPr>
              <w:pStyle w:val="List2"/>
              <w:rPr>
                <w:lang w:val="en-NZ"/>
              </w:rPr>
            </w:pPr>
            <w:r w:rsidRPr="000C638B">
              <w:t>2.6.</w:t>
            </w:r>
            <w:r w:rsidRPr="000C638B">
              <w:tab/>
              <w:t>Changing community and customer beliefs, attitudes and expectations are monitored.</w:t>
            </w:r>
          </w:p>
        </w:tc>
      </w:tr>
      <w:tr w:rsidTr="00983C06">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List"/>
              <w:rPr>
                <w:lang w:val="en-NZ"/>
              </w:rPr>
            </w:pPr>
            <w:r w:rsidRPr="000C638B">
              <w:t>3.</w:t>
            </w:r>
            <w:r w:rsidRPr="000C638B">
              <w:tab/>
              <w:t>Disseminate information to best effect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2"/>
            </w:pPr>
            <w:r w:rsidRPr="000C638B">
              <w:t>3.1.</w:t>
            </w:r>
            <w:r w:rsidRPr="000C638B">
              <w:tab/>
              <w:t xml:space="preserve">Accurate and balanced </w:t>
            </w:r>
            <w:r w:rsidRPr="000C638B">
              <w:rPr>
                <w:rStyle w:val="BoldandItalics"/>
              </w:rPr>
              <w:t>information</w:t>
            </w:r>
            <w:r w:rsidRPr="000C638B">
              <w:t xml:space="preserve"> is disseminated to key target groups using a language, style and format that is readily understood. </w:t>
            </w:r>
          </w:p>
          <w:p w:rsidR="00000000" w:rsidRPr="000C638B" w:rsidP="000C638B">
            <w:pPr>
              <w:pStyle w:val="List2"/>
            </w:pPr>
            <w:r w:rsidRPr="000C638B">
              <w:t>3.2.</w:t>
            </w:r>
            <w:r w:rsidRPr="000C638B">
              <w:tab/>
              <w:t>Broad industry awareness and interest in key issues is promoted by providing regular and timely information.</w:t>
            </w:r>
          </w:p>
        </w:tc>
      </w:tr>
    </w:tbl>
    <w:p w:rsidR="00983C06" w:rsidP="000C638B">
      <w:pPr>
        <w:pStyle w:val="BodyText"/>
      </w:pPr>
    </w:p>
    <w:p w:rsidR="00983C06" w:rsidP="000C638B">
      <w:pPr>
        <w:pStyle w:val="BodyText"/>
      </w:pPr>
    </w:p>
    <w:p w:rsidR="00000000" w:rsidRPr="000C638B" w:rsidP="000C638B">
      <w:pPr>
        <w:pStyle w:val="Heading1"/>
      </w:pPr>
      <w:bookmarkStart w:id="9" w:name="O_261774"/>
      <w:bookmarkEnd w:id="9"/>
      <w:r w:rsidRPr="000C638B">
        <w:t>Required Skills and Knowledge</w:t>
      </w:r>
    </w:p>
    <w:tbl>
      <w:tblPr>
        <w:tblW w:w="0" w:type="auto"/>
        <w:tblLayout w:type="fixed"/>
        <w:tblCellMar>
          <w:left w:w="62" w:type="dxa"/>
          <w:right w:w="62" w:type="dxa"/>
        </w:tblCellMar>
        <w:tblLook w:val="0000"/>
      </w:tblPr>
      <w:tblGrid>
        <w:gridCol w:w="8522"/>
      </w:tblGrid>
      <w:tr w:rsidTr="00983C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REQUIRED SKILLS AND KNOWLEDGE</w:t>
            </w:r>
          </w:p>
        </w:tc>
      </w:tr>
      <w:tr w:rsidTr="00983C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t>This section describes the skills and knowledge required for this unit.</w:t>
            </w:r>
          </w:p>
        </w:tc>
      </w:tr>
      <w:tr w:rsidTr="00983C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Required skills</w:t>
            </w:r>
          </w:p>
        </w:tc>
      </w:tr>
      <w:tr w:rsidTr="00983C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Bullet"/>
            </w:pPr>
            <w:r w:rsidRPr="000C638B">
              <w:t>analysing the relevance, accuracy and shortcomings of information and discerning trends, issues and impl</w:t>
            </w:r>
            <w:r w:rsidRPr="000C638B">
              <w:t>ications</w:t>
            </w:r>
          </w:p>
          <w:p w:rsidR="00000000" w:rsidRPr="000C638B" w:rsidP="000C638B">
            <w:pPr>
              <w:pStyle w:val="ListBullet"/>
            </w:pPr>
            <w:r w:rsidRPr="000C638B">
              <w:t>assessing the risks and opportunities implicit in new information</w:t>
            </w:r>
          </w:p>
          <w:p w:rsidR="00000000" w:rsidRPr="000C638B" w:rsidP="000C638B">
            <w:pPr>
              <w:pStyle w:val="ListBullet"/>
            </w:pPr>
            <w:r w:rsidRPr="000C638B">
              <w:t>explaining complex ideas to a wide range of audiences</w:t>
            </w:r>
          </w:p>
          <w:p w:rsidR="00000000" w:rsidRPr="000C638B" w:rsidP="000C638B">
            <w:pPr>
              <w:pStyle w:val="ListBullet"/>
            </w:pPr>
            <w:r w:rsidRPr="000C638B">
              <w:t>identifying target groups that can use industry information to good effect</w:t>
            </w:r>
          </w:p>
          <w:p w:rsidR="00000000" w:rsidRPr="000C638B" w:rsidP="000C638B">
            <w:pPr>
              <w:pStyle w:val="ListBullet"/>
            </w:pPr>
            <w:r w:rsidRPr="000C638B">
              <w:t>presenting and distributing information to stakeholders using effective strategies</w:t>
            </w:r>
          </w:p>
          <w:p w:rsidR="00000000" w:rsidRPr="000C638B" w:rsidP="000C638B">
            <w:pPr>
              <w:pStyle w:val="ListBullet"/>
            </w:pPr>
            <w:r w:rsidRPr="000C638B">
              <w:t>researching industry information</w:t>
            </w:r>
          </w:p>
          <w:p w:rsidR="00000000" w:rsidRPr="000C638B" w:rsidP="000C638B">
            <w:pPr>
              <w:pStyle w:val="ListBullet"/>
            </w:pPr>
            <w:r w:rsidRPr="000C638B">
              <w:t>tapping a wide range of sources of information</w:t>
            </w:r>
          </w:p>
          <w:p w:rsidR="00000000" w:rsidP="000C638B">
            <w:pPr>
              <w:pStyle w:val="ListBullet"/>
              <w:rPr>
                <w:lang w:val="en-NZ"/>
              </w:rPr>
            </w:pPr>
            <w:r w:rsidRPr="000C638B">
              <w:t>writing clear, plain English summaries of industry information.</w:t>
            </w:r>
          </w:p>
        </w:tc>
      </w:tr>
      <w:tr w:rsidTr="00983C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Required knowledge</w:t>
            </w:r>
          </w:p>
        </w:tc>
      </w:tr>
      <w:tr w:rsidTr="00983C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Bullet"/>
            </w:pPr>
            <w:r w:rsidRPr="000C638B">
              <w:t>basic e</w:t>
            </w:r>
            <w:r w:rsidRPr="000C638B">
              <w:t>nvironmental and resource management procedures, regulations and codes of practice relevant to the specific sector within the seafood industry</w:t>
            </w:r>
          </w:p>
          <w:p w:rsidR="00000000" w:rsidRPr="000C638B" w:rsidP="000C638B">
            <w:pPr>
              <w:pStyle w:val="ListBullet"/>
            </w:pPr>
            <w:r w:rsidRPr="000C638B">
              <w:t>changing customer expectations and buying patterns</w:t>
            </w:r>
          </w:p>
          <w:p w:rsidR="00000000" w:rsidRPr="000C638B" w:rsidP="000C638B">
            <w:pPr>
              <w:pStyle w:val="ListBullet"/>
            </w:pPr>
            <w:r w:rsidRPr="000C638B">
              <w:t>commercial fisheries, aquaculture and other seafood sectors, s</w:t>
            </w:r>
            <w:r w:rsidRPr="000C638B">
              <w:t>pecies and correct marketing names, products, working regime, typical equipment used and unique aspects relevant to sector or geographic area</w:t>
            </w:r>
          </w:p>
          <w:p w:rsidR="00000000" w:rsidRPr="000C638B" w:rsidP="000C638B">
            <w:pPr>
              <w:pStyle w:val="ListBullet"/>
            </w:pPr>
            <w:r w:rsidRPr="000C638B">
              <w:t>ecologically sustainable development (ESD) principles and practice, such as Environment Australia protocols</w:t>
            </w:r>
          </w:p>
          <w:p w:rsidR="00000000" w:rsidRPr="000C638B" w:rsidP="000C638B">
            <w:pPr>
              <w:pStyle w:val="ListBullet"/>
            </w:pPr>
            <w:r w:rsidRPr="000C638B">
              <w:t>employ</w:t>
            </w:r>
            <w:r w:rsidRPr="000C638B">
              <w:t>ment and workplace safety legislation and regulations that impact on the seafood industry</w:t>
            </w:r>
          </w:p>
          <w:p w:rsidR="00000000" w:rsidRPr="000C638B" w:rsidP="000C638B">
            <w:pPr>
              <w:pStyle w:val="ListBullet"/>
            </w:pPr>
            <w:r w:rsidRPr="000C638B">
              <w:t>key processes or steps in the supply chain for seafood and other aquatic products</w:t>
            </w:r>
          </w:p>
          <w:p w:rsidR="00000000" w:rsidRPr="000C638B" w:rsidP="000C638B">
            <w:pPr>
              <w:pStyle w:val="ListBullet"/>
            </w:pPr>
            <w:r w:rsidRPr="000C638B">
              <w:t>key seafood industry political processes and stakeholders, including individuals, interest groups and organisations</w:t>
            </w:r>
          </w:p>
          <w:p w:rsidR="00000000" w:rsidRPr="000C638B" w:rsidP="000C638B">
            <w:pPr>
              <w:pStyle w:val="ListBullet"/>
            </w:pPr>
            <w:r w:rsidRPr="000C638B">
              <w:t>links between and interdependence of key processes in the supply chain for seafood and other aquatic products</w:t>
            </w:r>
          </w:p>
          <w:p w:rsidR="00000000" w:rsidRPr="000C638B" w:rsidP="000C638B">
            <w:pPr>
              <w:pStyle w:val="ListBullet"/>
            </w:pPr>
            <w:r w:rsidRPr="000C638B">
              <w:t>major historical events that h</w:t>
            </w:r>
            <w:r w:rsidRPr="000C638B">
              <w:t>ave shaped the industry over time</w:t>
            </w:r>
          </w:p>
          <w:p w:rsidR="00000000" w:rsidRPr="000C638B" w:rsidP="000C638B">
            <w:pPr>
              <w:pStyle w:val="ListBullet"/>
            </w:pPr>
            <w:r w:rsidRPr="000C638B">
              <w:t>methods of disseminating information to best effect</w:t>
            </w:r>
          </w:p>
          <w:p w:rsidR="00000000" w:rsidRPr="000C638B" w:rsidP="000C638B">
            <w:pPr>
              <w:pStyle w:val="ListBullet"/>
            </w:pPr>
            <w:r w:rsidRPr="000C638B">
              <w:t>national and international policy approaches to production, processing, marketing, resource management and research</w:t>
            </w:r>
          </w:p>
          <w:p w:rsidR="00000000" w:rsidRPr="000C638B" w:rsidP="000C638B">
            <w:pPr>
              <w:pStyle w:val="ListBullet"/>
            </w:pPr>
            <w:r w:rsidRPr="000C638B">
              <w:t>new and emerging processes, technology and quality/env</w:t>
            </w:r>
            <w:r w:rsidRPr="000C638B">
              <w:t>ironmental requirements</w:t>
            </w:r>
          </w:p>
          <w:p w:rsidR="00000000" w:rsidRPr="000C638B" w:rsidP="000C638B">
            <w:pPr>
              <w:pStyle w:val="ListBullet"/>
            </w:pPr>
            <w:r w:rsidRPr="000C638B">
              <w:t>processes for identifying stakeholders and opinion leaders</w:t>
            </w:r>
          </w:p>
          <w:p w:rsidR="00000000" w:rsidRPr="000C638B" w:rsidP="000C638B">
            <w:pPr>
              <w:pStyle w:val="ListBullet"/>
            </w:pPr>
            <w:r w:rsidRPr="000C638B">
              <w:t>price movements and seasonality of competing products and supplies</w:t>
            </w:r>
          </w:p>
          <w:p w:rsidR="00000000" w:rsidRPr="000C638B" w:rsidP="000C638B">
            <w:pPr>
              <w:pStyle w:val="ListBullet"/>
            </w:pPr>
            <w:r w:rsidRPr="000C638B">
              <w:t>sectors in the seafood industry and supply chain</w:t>
            </w:r>
          </w:p>
          <w:p w:rsidR="00000000" w:rsidRPr="000C638B" w:rsidP="000C638B">
            <w:pPr>
              <w:pStyle w:val="ListBullet"/>
            </w:pPr>
            <w:r w:rsidRPr="000C638B">
              <w:t>scientific and economic concepts relating to fisheries an</w:t>
            </w:r>
            <w:r w:rsidRPr="000C638B">
              <w:t>d aquaculture management, including maximum sustainable yield, maximum economic yield and technology creep</w:t>
            </w:r>
          </w:p>
          <w:p w:rsidR="00000000" w:rsidRPr="000C638B" w:rsidP="000C638B">
            <w:pPr>
              <w:pStyle w:val="ListBullet"/>
            </w:pPr>
            <w:r w:rsidRPr="000C638B">
              <w:t>sustainable energy principles and practices relevant to area of work.</w:t>
            </w:r>
          </w:p>
        </w:tc>
      </w:tr>
    </w:tbl>
    <w:p w:rsidR="00983C06" w:rsidP="000C638B">
      <w:pPr>
        <w:pStyle w:val="BodyText"/>
      </w:pPr>
    </w:p>
    <w:p w:rsidR="00983C06" w:rsidP="000C638B">
      <w:pPr>
        <w:pStyle w:val="BodyText"/>
      </w:pPr>
    </w:p>
    <w:p w:rsidR="00000000" w:rsidRPr="000C638B" w:rsidP="000C638B">
      <w:pPr>
        <w:pStyle w:val="AllowPageBreak"/>
      </w:pPr>
    </w:p>
    <w:p w:rsidR="00000000" w:rsidRPr="000C638B" w:rsidP="000C638B">
      <w:pPr>
        <w:pStyle w:val="Heading1"/>
      </w:pPr>
      <w:bookmarkStart w:id="10" w:name="O_245967"/>
      <w:bookmarkEnd w:id="10"/>
      <w:r w:rsidRPr="000C638B">
        <w:t>Evidence Guide</w:t>
      </w:r>
    </w:p>
    <w:tbl>
      <w:tblPr>
        <w:tblW w:w="9570" w:type="dxa"/>
        <w:tblLayout w:type="fixed"/>
        <w:tblCellMar>
          <w:left w:w="62" w:type="dxa"/>
          <w:right w:w="62" w:type="dxa"/>
        </w:tblCellMar>
        <w:tblLook w:val="0000"/>
      </w:tblPr>
      <w:tblGrid>
        <w:gridCol w:w="3908"/>
        <w:gridCol w:w="5662"/>
      </w:tblGrid>
      <w:tr w:rsidTr="00983C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EVIDENCE GUIDE</w:t>
            </w:r>
          </w:p>
        </w:tc>
      </w:tr>
      <w:tr w:rsidTr="00983C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t>The evidence guide provides advice on assessment and must be read in conjunction with the performance criteria, required skills and knowledge, range statement and the Assessment Guidelines for the Training Package.</w:t>
            </w:r>
          </w:p>
        </w:tc>
      </w:tr>
      <w:tr w:rsidTr="00983C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p>
        </w:tc>
      </w:tr>
      <w:tr w:rsidTr="00983C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Critical aspec</w:t>
            </w:r>
            <w:r w:rsidRPr="000C638B">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r w:rsidRPr="000C638B">
              <w:t xml:space="preserve">Assessment must confirm the ability to: </w:t>
            </w:r>
          </w:p>
          <w:p w:rsidR="00000000" w:rsidRPr="000C638B" w:rsidP="000C638B">
            <w:pPr>
              <w:pStyle w:val="ListBullet"/>
            </w:pPr>
            <w:r w:rsidRPr="000C638B">
              <w:t>analyse information for gaps, accuracy and industry significance</w:t>
            </w:r>
          </w:p>
          <w:p w:rsidR="00000000" w:rsidRPr="000C638B" w:rsidP="000C638B">
            <w:pPr>
              <w:pStyle w:val="ListBullet"/>
            </w:pPr>
            <w:r w:rsidRPr="000C638B">
              <w:t>be proactive by recognising threats and opportunities affecting the industry</w:t>
            </w:r>
          </w:p>
          <w:p w:rsidR="00000000" w:rsidRPr="000C638B" w:rsidP="000C638B">
            <w:pPr>
              <w:pStyle w:val="ListBullet"/>
            </w:pPr>
            <w:r w:rsidRPr="000C638B">
              <w:t>build knowledge by researching information from a wide range of sources on key matters relating to industry</w:t>
            </w:r>
          </w:p>
          <w:p w:rsidR="00000000" w:rsidRPr="000C638B" w:rsidP="000C638B">
            <w:pPr>
              <w:pStyle w:val="ListBullet"/>
            </w:pPr>
            <w:r w:rsidRPr="000C638B">
              <w:t>demonstrate current, working knowledge of industry sectors, organisatio</w:t>
            </w:r>
            <w:r w:rsidRPr="000C638B">
              <w:t>ns, representatives and political processes</w:t>
            </w:r>
          </w:p>
          <w:p w:rsidR="00000000" w:rsidP="000C638B">
            <w:pPr>
              <w:pStyle w:val="ListBullet"/>
              <w:rPr>
                <w:lang w:val="en-NZ"/>
              </w:rPr>
            </w:pPr>
            <w:r w:rsidRPr="000C638B">
              <w:t>provide timely and appropriate information and advice to key stakeholders.</w:t>
            </w:r>
          </w:p>
        </w:tc>
      </w:tr>
      <w:tr w:rsidTr="00983C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r w:rsidRPr="000C638B">
              <w:t xml:space="preserve">Assessment is to be conducted in the workplace and in a simulated work environment. </w:t>
            </w:r>
          </w:p>
          <w:p w:rsidR="00000000" w:rsidRPr="000C638B" w:rsidP="000C638B">
            <w:pPr>
              <w:pStyle w:val="BodyText"/>
            </w:pPr>
          </w:p>
          <w:p w:rsidR="00000000" w:rsidRPr="000C638B" w:rsidP="000C638B">
            <w:pPr>
              <w:pStyle w:val="BodyText"/>
            </w:pPr>
            <w:r w:rsidRPr="000C638B">
              <w:t>R</w:t>
            </w:r>
            <w:r w:rsidRPr="000C638B">
              <w:t xml:space="preserve">esources may include: </w:t>
            </w:r>
          </w:p>
          <w:p w:rsidR="00000000" w:rsidRPr="000C638B" w:rsidP="000C638B">
            <w:pPr>
              <w:pStyle w:val="ListBullet"/>
            </w:pPr>
            <w:r w:rsidRPr="000C638B">
              <w:t>relevant legislation and regulations</w:t>
            </w:r>
          </w:p>
          <w:p w:rsidR="00000000" w:rsidP="000C638B">
            <w:pPr>
              <w:pStyle w:val="ListBullet"/>
              <w:rPr>
                <w:lang w:val="en-NZ"/>
              </w:rPr>
            </w:pPr>
            <w:r w:rsidRPr="000C638B">
              <w:t>fisheries or aquaculture management or research reports.</w:t>
            </w:r>
          </w:p>
        </w:tc>
      </w:tr>
      <w:tr w:rsidTr="00983C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r w:rsidRPr="000C638B">
              <w:t xml:space="preserve">The following assessment methods are suggested: </w:t>
            </w:r>
          </w:p>
          <w:p w:rsidR="00000000" w:rsidRPr="000C638B" w:rsidP="000C638B">
            <w:pPr>
              <w:pStyle w:val="ListBullet"/>
            </w:pPr>
            <w:r w:rsidRPr="000C638B">
              <w:t>feedback from stakeholders regarding accuracy, timeliness and relevance of information provided by the candidate</w:t>
            </w:r>
          </w:p>
          <w:p w:rsidR="00000000" w:rsidRPr="000C638B" w:rsidP="000C638B">
            <w:pPr>
              <w:pStyle w:val="ListBullet"/>
            </w:pPr>
            <w:r w:rsidRPr="000C638B">
              <w:t>interview and oral questioning</w:t>
            </w:r>
          </w:p>
          <w:p w:rsidR="00000000" w:rsidRPr="000C638B" w:rsidP="000C638B">
            <w:pPr>
              <w:pStyle w:val="ListBullet"/>
            </w:pPr>
            <w:r w:rsidRPr="000C638B">
              <w:t>observation of an oral presentation by the candidate</w:t>
            </w:r>
          </w:p>
          <w:p w:rsidR="00000000" w:rsidRPr="000C638B" w:rsidP="000C638B">
            <w:pPr>
              <w:pStyle w:val="ListBullet"/>
            </w:pPr>
            <w:r w:rsidRPr="000C638B">
              <w:t>review of article</w:t>
            </w:r>
            <w:r w:rsidRPr="000C638B">
              <w:t>s, reports, advice and other industry information written by the candidate</w:t>
            </w:r>
          </w:p>
          <w:p w:rsidR="00000000" w:rsidP="000C638B">
            <w:pPr>
              <w:pStyle w:val="ListBullet"/>
              <w:rPr>
                <w:lang w:val="en-NZ"/>
              </w:rPr>
            </w:pPr>
            <w:r w:rsidRPr="000C638B">
              <w:t>review of a project that describes the candidate's research and analysis of a topic or issue.</w:t>
            </w:r>
          </w:p>
        </w:tc>
      </w:tr>
      <w:tr w:rsidTr="00983C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r w:rsidRPr="000C638B">
              <w:t xml:space="preserve">This unit may be assessed holistically with other </w:t>
            </w:r>
            <w:r w:rsidRPr="000C638B">
              <w:t>SFILEAD (leadership) units within a Skill Set or qualification.</w:t>
            </w:r>
          </w:p>
        </w:tc>
      </w:tr>
    </w:tbl>
    <w:p w:rsidR="00983C06" w:rsidP="000C638B">
      <w:pPr>
        <w:pStyle w:val="BodyText"/>
      </w:pPr>
    </w:p>
    <w:p w:rsidR="00983C06" w:rsidP="000C638B">
      <w:pPr>
        <w:pStyle w:val="BodyText"/>
      </w:pPr>
    </w:p>
    <w:p w:rsidR="00000000" w:rsidRPr="000C638B" w:rsidP="000C638B">
      <w:pPr>
        <w:pStyle w:val="Heading1"/>
      </w:pPr>
      <w:bookmarkStart w:id="11" w:name="O_253950"/>
      <w:bookmarkEnd w:id="11"/>
      <w:r w:rsidRPr="000C638B">
        <w:t>Range Statement</w:t>
      </w:r>
    </w:p>
    <w:tbl>
      <w:tblPr>
        <w:tblW w:w="0" w:type="auto"/>
        <w:tblLayout w:type="fixed"/>
        <w:tblCellMar>
          <w:left w:w="62" w:type="dxa"/>
          <w:right w:w="62" w:type="dxa"/>
        </w:tblCellMar>
        <w:tblLook w:val="0000"/>
      </w:tblPr>
      <w:tblGrid>
        <w:gridCol w:w="3450"/>
        <w:gridCol w:w="5072"/>
      </w:tblGrid>
      <w:tr w:rsidTr="00983C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RANGE STATEMENT</w:t>
            </w:r>
          </w:p>
        </w:tc>
      </w:tr>
      <w:tr w:rsidTr="00983C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t>The range statement relates to the unit of competency as a whole. It allows for different work environments and situations that may affect performance. Bold italicised wording, if used in the performance criteria, is detailed below. Essential operating con</w:t>
            </w:r>
            <w:r w:rsidRPr="000C638B">
              <w:t>ditions that may be present with training and assessment (depending on the work situation, needs of the candidate, accessibility of the item, and local industry and regional contexts) may also be included.</w:t>
            </w:r>
          </w:p>
        </w:tc>
      </w:tr>
      <w:tr w:rsidTr="00983C0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BoldandItalics"/>
              </w:rPr>
              <w:t>Products</w:t>
            </w:r>
            <w:r w:rsidRPr="000C638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Bullet"/>
            </w:pPr>
            <w:r w:rsidRPr="000C638B">
              <w:t>crustaceans</w:t>
            </w:r>
          </w:p>
          <w:p w:rsidR="00000000" w:rsidRPr="000C638B" w:rsidP="000C638B">
            <w:pPr>
              <w:pStyle w:val="ListBullet"/>
            </w:pPr>
            <w:r w:rsidRPr="000C638B">
              <w:t>fish and rel</w:t>
            </w:r>
            <w:r w:rsidRPr="000C638B">
              <w:t>ated products (e.g. roe)</w:t>
            </w:r>
          </w:p>
          <w:p w:rsidR="00000000" w:rsidRPr="000C638B" w:rsidP="000C638B">
            <w:pPr>
              <w:pStyle w:val="ListBullet"/>
            </w:pPr>
            <w:r w:rsidRPr="000C638B">
              <w:t>live and dead seafood</w:t>
            </w:r>
          </w:p>
          <w:p w:rsidR="00000000" w:rsidRPr="000C638B" w:rsidP="000C638B">
            <w:pPr>
              <w:pStyle w:val="ListBullet"/>
            </w:pPr>
            <w:r w:rsidRPr="000C638B">
              <w:t>manufactured foodstuffs (e.g. soups)</w:t>
            </w:r>
          </w:p>
          <w:p w:rsidR="00000000" w:rsidRPr="000C638B" w:rsidP="000C638B">
            <w:pPr>
              <w:pStyle w:val="ListBullet"/>
            </w:pPr>
            <w:r w:rsidRPr="000C638B">
              <w:t>miscellaneous invertebrates</w:t>
            </w:r>
          </w:p>
          <w:p w:rsidR="00000000" w:rsidRPr="000C638B" w:rsidP="000C638B">
            <w:pPr>
              <w:pStyle w:val="ListBullet"/>
            </w:pPr>
            <w:r w:rsidRPr="000C638B">
              <w:t>molluscs and related products (e.g. pearls)</w:t>
            </w:r>
          </w:p>
          <w:p w:rsidR="00000000" w:rsidRPr="000C638B" w:rsidP="000C638B">
            <w:pPr>
              <w:pStyle w:val="ListBullet"/>
            </w:pPr>
            <w:r w:rsidRPr="000C638B">
              <w:t>ornamental and display aquatic plants and animals</w:t>
            </w:r>
          </w:p>
          <w:p w:rsidR="00000000" w:rsidRPr="000C638B" w:rsidP="000C638B">
            <w:pPr>
              <w:pStyle w:val="ListBullet"/>
            </w:pPr>
            <w:r w:rsidRPr="000C638B">
              <w:t>reptiles and related products (e.g. skins)</w:t>
            </w:r>
          </w:p>
          <w:p w:rsidR="00000000" w:rsidP="000C638B">
            <w:pPr>
              <w:pStyle w:val="ListBullet"/>
              <w:rPr>
                <w:lang w:val="en-NZ"/>
              </w:rPr>
            </w:pPr>
            <w:r w:rsidRPr="000C638B">
              <w:t>seaweed</w:t>
            </w:r>
            <w:r w:rsidRPr="000C638B">
              <w:t>, aquatic plants and algae.</w:t>
            </w:r>
          </w:p>
        </w:tc>
      </w:tr>
      <w:tr w:rsidTr="00983C0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BoldandItalics"/>
              </w:rPr>
              <w:t>Equipment</w:t>
            </w:r>
            <w:r w:rsidRPr="000C638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Bullet"/>
            </w:pPr>
            <w:r w:rsidRPr="000C638B">
              <w:t>aquacultural ornamental or holding machinery and equipment</w:t>
            </w:r>
          </w:p>
          <w:p w:rsidR="00000000" w:rsidRPr="000C638B" w:rsidP="000C638B">
            <w:pPr>
              <w:pStyle w:val="ListBullet"/>
            </w:pPr>
            <w:r w:rsidRPr="000C638B">
              <w:t>communication equipment, including computers</w:t>
            </w:r>
          </w:p>
          <w:p w:rsidR="00000000" w:rsidRPr="000C638B" w:rsidP="000C638B">
            <w:pPr>
              <w:pStyle w:val="ListBullet"/>
            </w:pPr>
            <w:r w:rsidRPr="000C638B">
              <w:t>fishing gear</w:t>
            </w:r>
          </w:p>
          <w:p w:rsidR="00000000" w:rsidRPr="000C638B" w:rsidP="000C638B">
            <w:pPr>
              <w:pStyle w:val="ListBullet"/>
            </w:pPr>
            <w:r w:rsidRPr="000C638B">
              <w:t>manufacturing, processing, transport and refrigeration equipment</w:t>
            </w:r>
          </w:p>
          <w:p w:rsidR="00000000" w:rsidRPr="000C638B" w:rsidP="000C638B">
            <w:pPr>
              <w:pStyle w:val="ListBullet"/>
            </w:pPr>
            <w:r w:rsidRPr="000C638B">
              <w:t>packing and storage e</w:t>
            </w:r>
            <w:r w:rsidRPr="000C638B">
              <w:t>quipment and containers</w:t>
            </w:r>
          </w:p>
          <w:p w:rsidR="00000000" w:rsidRPr="000C638B" w:rsidP="000C638B">
            <w:pPr>
              <w:pStyle w:val="ListBullet"/>
            </w:pPr>
            <w:r w:rsidRPr="000C638B">
              <w:t>safety gear and personal protective equipment (PPE)</w:t>
            </w:r>
          </w:p>
          <w:p w:rsidR="00000000" w:rsidRPr="000C638B" w:rsidP="000C638B">
            <w:pPr>
              <w:pStyle w:val="ListBullet"/>
            </w:pPr>
            <w:r w:rsidRPr="000C638B">
              <w:t>vessels</w:t>
            </w:r>
          </w:p>
          <w:p w:rsidR="00000000" w:rsidP="000C638B">
            <w:pPr>
              <w:pStyle w:val="ListBullet"/>
              <w:rPr>
                <w:lang w:val="en-NZ"/>
              </w:rPr>
            </w:pPr>
            <w:r w:rsidRPr="000C638B">
              <w:t>wholesale and retail equipment.</w:t>
            </w:r>
          </w:p>
        </w:tc>
      </w:tr>
      <w:tr w:rsidTr="00983C0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BoldandItalics"/>
              </w:rPr>
              <w:t>Supply chain</w:t>
            </w:r>
            <w:r w:rsidRPr="000C638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Bullet"/>
            </w:pPr>
            <w:r w:rsidRPr="000C638B">
              <w:t>auction/wholesale and retail</w:t>
            </w:r>
          </w:p>
          <w:p w:rsidR="00000000" w:rsidRPr="000C638B" w:rsidP="000C638B">
            <w:pPr>
              <w:pStyle w:val="ListBullet"/>
            </w:pPr>
            <w:r w:rsidRPr="000C638B">
              <w:t>consumption</w:t>
            </w:r>
          </w:p>
          <w:p w:rsidR="00000000" w:rsidRPr="000C638B" w:rsidP="000C638B">
            <w:pPr>
              <w:pStyle w:val="ListBullet"/>
            </w:pPr>
            <w:r w:rsidRPr="000C638B">
              <w:t>cultivate and grow/culture</w:t>
            </w:r>
          </w:p>
          <w:p w:rsidR="00000000" w:rsidRPr="000C638B" w:rsidP="000C638B">
            <w:pPr>
              <w:pStyle w:val="ListBullet"/>
            </w:pPr>
            <w:r w:rsidRPr="000C638B">
              <w:t>harvest or catch</w:t>
            </w:r>
          </w:p>
          <w:p w:rsidR="00000000" w:rsidRPr="000C638B" w:rsidP="000C638B">
            <w:pPr>
              <w:pStyle w:val="ListBullet"/>
            </w:pPr>
            <w:r w:rsidRPr="000C638B">
              <w:t>live holding and display</w:t>
            </w:r>
          </w:p>
          <w:p w:rsidR="00000000" w:rsidRPr="000C638B" w:rsidP="000C638B">
            <w:pPr>
              <w:pStyle w:val="ListBullet"/>
            </w:pPr>
            <w:r w:rsidRPr="000C638B">
              <w:t>process</w:t>
            </w:r>
          </w:p>
          <w:p w:rsidR="00000000" w:rsidP="000C638B">
            <w:pPr>
              <w:pStyle w:val="ListBullet"/>
              <w:rPr>
                <w:lang w:val="en-NZ"/>
              </w:rPr>
            </w:pPr>
            <w:r w:rsidRPr="000C638B">
              <w:t>transport and storage.</w:t>
            </w:r>
          </w:p>
        </w:tc>
      </w:tr>
      <w:tr w:rsidTr="00983C0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BoldandItalics"/>
              </w:rPr>
              <w:t>Stakeholder organisations</w:t>
            </w:r>
            <w:r w:rsidRPr="000C638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Bullet"/>
            </w:pPr>
            <w:r w:rsidRPr="000C638B">
              <w:t>Austrade and Department of Foreign Affairs</w:t>
            </w:r>
          </w:p>
          <w:p w:rsidR="00000000" w:rsidRPr="000C638B" w:rsidP="000C638B">
            <w:pPr>
              <w:pStyle w:val="ListBullet"/>
            </w:pPr>
            <w:r w:rsidRPr="000C638B">
              <w:t>certification or accreditation bodies and third-party auditors</w:t>
            </w:r>
          </w:p>
          <w:p w:rsidR="00000000" w:rsidRPr="000C638B" w:rsidP="000C638B">
            <w:pPr>
              <w:pStyle w:val="ListBullet"/>
            </w:pPr>
            <w:r w:rsidRPr="000C638B">
              <w:t>commercial fishing or aquatic groups</w:t>
            </w:r>
          </w:p>
          <w:p w:rsidR="00000000" w:rsidRPr="000C638B" w:rsidP="000C638B">
            <w:pPr>
              <w:pStyle w:val="ListBullet"/>
            </w:pPr>
            <w:r w:rsidRPr="000C638B">
              <w:t>community representatives, local land holders and residents</w:t>
            </w:r>
          </w:p>
          <w:p w:rsidR="00000000" w:rsidRPr="000C638B" w:rsidP="000C638B">
            <w:pPr>
              <w:pStyle w:val="ListBullet"/>
            </w:pPr>
            <w:r w:rsidRPr="000C638B">
              <w:t>conservation and environmental organisations, such as the Nature Conservation Council and the World Wide Fund for Nature</w:t>
            </w:r>
          </w:p>
          <w:p w:rsidR="00000000" w:rsidRPr="000C638B" w:rsidP="000C638B">
            <w:pPr>
              <w:pStyle w:val="ListBullet"/>
            </w:pPr>
            <w:r w:rsidRPr="000C638B">
              <w:t>cooperatives, marketing bodies and associations</w:t>
            </w:r>
          </w:p>
          <w:p w:rsidR="00000000" w:rsidRPr="000C638B" w:rsidP="000C638B">
            <w:pPr>
              <w:pStyle w:val="ListBullet"/>
            </w:pPr>
            <w:r w:rsidRPr="000C638B">
              <w:t>current and potential custo</w:t>
            </w:r>
            <w:r w:rsidRPr="000C638B">
              <w:t>mers, clients and suppliers</w:t>
            </w:r>
          </w:p>
          <w:p w:rsidR="00000000" w:rsidRPr="000C638B" w:rsidP="000C638B">
            <w:pPr>
              <w:pStyle w:val="ListBullet"/>
            </w:pPr>
            <w:r w:rsidRPr="000C638B">
              <w:t xml:space="preserve">ecosystem or resource management committees or advisory groups, including Management Advisory Committees (MACs), catchment management groups, Landcare, Bushcare, Coastcare and Seacare </w:t>
            </w:r>
          </w:p>
          <w:p w:rsidR="00000000" w:rsidRPr="000C638B" w:rsidP="000C638B">
            <w:pPr>
              <w:pStyle w:val="ListBullet"/>
            </w:pPr>
            <w:r w:rsidRPr="000C638B">
              <w:t>employer, company directors and other profe</w:t>
            </w:r>
            <w:r w:rsidRPr="000C638B">
              <w:t>ssional associations</w:t>
            </w:r>
          </w:p>
          <w:p w:rsidR="00000000" w:rsidRPr="000C638B" w:rsidP="000C638B">
            <w:pPr>
              <w:pStyle w:val="ListBullet"/>
            </w:pPr>
            <w:r w:rsidRPr="000C638B">
              <w:t>export promotion agencies, such as the Exporters Club</w:t>
            </w:r>
          </w:p>
          <w:p w:rsidR="00000000" w:rsidRPr="000C638B" w:rsidP="000C638B">
            <w:pPr>
              <w:pStyle w:val="ListBullet"/>
            </w:pPr>
            <w:r w:rsidRPr="000C638B">
              <w:t>government funding providers</w:t>
            </w:r>
          </w:p>
          <w:p w:rsidR="00000000" w:rsidRPr="000C638B" w:rsidP="000C638B">
            <w:pPr>
              <w:pStyle w:val="ListBullet"/>
            </w:pPr>
            <w:r w:rsidRPr="000C638B">
              <w:t>Indigenous seafood or resource management groups and traditional fishing groups/cooperatives</w:t>
            </w:r>
          </w:p>
          <w:p w:rsidR="00000000" w:rsidRPr="000C638B" w:rsidP="000C638B">
            <w:pPr>
              <w:pStyle w:val="ListBullet"/>
            </w:pPr>
            <w:r w:rsidRPr="000C638B">
              <w:t>media</w:t>
            </w:r>
          </w:p>
          <w:p w:rsidR="00000000" w:rsidRPr="000C638B" w:rsidP="000C638B">
            <w:pPr>
              <w:pStyle w:val="ListBullet"/>
            </w:pPr>
            <w:r w:rsidRPr="000C638B">
              <w:t>ornamental, aquarium and other hobby groups</w:t>
            </w:r>
          </w:p>
          <w:p w:rsidR="00000000" w:rsidRPr="000C638B" w:rsidP="000C638B">
            <w:pPr>
              <w:pStyle w:val="ListBullet"/>
            </w:pPr>
            <w:r w:rsidRPr="000C638B">
              <w:t>political</w:t>
            </w:r>
            <w:r w:rsidRPr="000C638B">
              <w:t xml:space="preserve"> organisations, politicians and ministerial advisors</w:t>
            </w:r>
          </w:p>
          <w:p w:rsidR="00000000" w:rsidRPr="000C638B" w:rsidP="000C638B">
            <w:pPr>
              <w:pStyle w:val="ListBullet"/>
            </w:pPr>
            <w:r w:rsidRPr="000C638B">
              <w:t>professional, industry and state or territory representative bodies, including Seafood Experience Australia, National Aquaculture Council, Commonwealth Fisheries Association and Seafood Services Australi</w:t>
            </w:r>
            <w:r w:rsidRPr="000C638B">
              <w:t>a</w:t>
            </w:r>
          </w:p>
          <w:p w:rsidR="00000000" w:rsidRPr="000C638B" w:rsidP="000C638B">
            <w:pPr>
              <w:pStyle w:val="ListBullet"/>
            </w:pPr>
            <w:r w:rsidRPr="000C638B">
              <w:t>relevant ministries, government departments (federal, state or territory and local) and other regulation authorities, such as Department of Agriculture, Forestry and Fisheries, Australian Fisheries Management Authority and Australian Aquaculture Inspecti</w:t>
            </w:r>
            <w:r w:rsidRPr="000C638B">
              <w:t>on Service</w:t>
            </w:r>
          </w:p>
          <w:p w:rsidR="00000000" w:rsidRPr="000C638B" w:rsidP="000C638B">
            <w:pPr>
              <w:pStyle w:val="ListBullet"/>
            </w:pPr>
            <w:r w:rsidRPr="000C638B">
              <w:t>research organisations, such as Australian Bureau of Agricultural Resource Economics and the Bureau of Rural Sciences</w:t>
            </w:r>
          </w:p>
          <w:p w:rsidR="00000000" w:rsidRPr="000C638B" w:rsidP="000C638B">
            <w:pPr>
              <w:pStyle w:val="ListBullet"/>
            </w:pPr>
            <w:r w:rsidRPr="000C638B">
              <w:t>schools, registered training organisations (RTOs) and industry training centres, AgriFood Skills Australia Standing Committee a</w:t>
            </w:r>
            <w:r w:rsidRPr="000C638B">
              <w:t>nd industry training advisory bodies (ITABs)</w:t>
            </w:r>
          </w:p>
          <w:p w:rsidR="00000000" w:rsidRPr="000C638B" w:rsidP="000C638B">
            <w:pPr>
              <w:pStyle w:val="ListBullet"/>
            </w:pPr>
            <w:r w:rsidRPr="000C638B">
              <w:t>statutory authorities, such as the Fisheries Research and Development Corporation</w:t>
            </w:r>
          </w:p>
          <w:p w:rsidR="00000000" w:rsidRPr="000C638B" w:rsidP="000C638B">
            <w:pPr>
              <w:pStyle w:val="ListBullet"/>
            </w:pPr>
            <w:r w:rsidRPr="000C638B">
              <w:t>surfing, recreational fishing and boating groups</w:t>
            </w:r>
          </w:p>
          <w:p w:rsidR="00000000" w:rsidP="000C638B">
            <w:pPr>
              <w:pStyle w:val="ListBullet"/>
              <w:rPr>
                <w:lang w:val="en-NZ"/>
              </w:rPr>
            </w:pPr>
            <w:r w:rsidRPr="000C638B">
              <w:t>unions.</w:t>
            </w:r>
          </w:p>
        </w:tc>
      </w:tr>
      <w:tr w:rsidTr="00983C0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BoldandItalics"/>
              </w:rPr>
              <w:t>Legislation and regulations</w:t>
            </w:r>
            <w:r w:rsidRPr="000C638B">
              <w:t xml:space="preserve"> may include: </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Bullet"/>
            </w:pPr>
            <w:r w:rsidRPr="000C638B">
              <w:t>business or workplace operations, policies and practices:</w:t>
            </w:r>
          </w:p>
          <w:p w:rsidR="00000000" w:rsidRPr="000C638B" w:rsidP="000C638B">
            <w:pPr>
              <w:pStyle w:val="ListBullet2"/>
            </w:pPr>
            <w:r w:rsidRPr="000C638B">
              <w:t xml:space="preserve">commercial law, including fair trading and trade practices </w:t>
            </w:r>
          </w:p>
          <w:p w:rsidR="00000000" w:rsidRPr="000C638B" w:rsidP="000C638B">
            <w:pPr>
              <w:pStyle w:val="ListBullet2"/>
            </w:pPr>
            <w:r w:rsidRPr="000C638B">
              <w:t>consumer law</w:t>
            </w:r>
          </w:p>
          <w:p w:rsidR="00000000" w:rsidRPr="000C638B" w:rsidP="000C638B">
            <w:pPr>
              <w:pStyle w:val="ListBullet2"/>
            </w:pPr>
            <w:r w:rsidRPr="000C638B">
              <w:t xml:space="preserve">corporate law, including registration, licensing and financial reporting </w:t>
            </w:r>
          </w:p>
          <w:p w:rsidR="00000000" w:rsidRPr="000C638B" w:rsidP="000C638B">
            <w:pPr>
              <w:pStyle w:val="ListBullet2"/>
            </w:pPr>
            <w:r w:rsidRPr="000C638B">
              <w:t>disability policies and practices</w:t>
            </w:r>
          </w:p>
          <w:p w:rsidR="00000000" w:rsidRPr="000C638B" w:rsidP="000C638B">
            <w:pPr>
              <w:pStyle w:val="ListBullet2"/>
            </w:pPr>
            <w:r w:rsidRPr="000C638B">
              <w:t xml:space="preserve">equal opportunity, anti-discrimination and sexual harassment </w:t>
            </w:r>
          </w:p>
          <w:p w:rsidR="00000000" w:rsidRPr="000C638B" w:rsidP="000C638B">
            <w:pPr>
              <w:pStyle w:val="ListBullet2"/>
            </w:pPr>
            <w:r w:rsidRPr="000C638B">
              <w:t>industrial relations and awards, individual employment contracts and share of catch agreements</w:t>
            </w:r>
          </w:p>
          <w:p w:rsidR="00000000" w:rsidRPr="000C638B" w:rsidP="000C638B">
            <w:pPr>
              <w:pStyle w:val="ListBullet2"/>
            </w:pPr>
            <w:r w:rsidRPr="000C638B">
              <w:t>jurisdictional variations</w:t>
            </w:r>
          </w:p>
          <w:p w:rsidR="00000000" w:rsidRPr="000C638B" w:rsidP="000C638B">
            <w:pPr>
              <w:pStyle w:val="ListBullet2"/>
            </w:pPr>
            <w:r w:rsidRPr="000C638B">
              <w:t>superannuation</w:t>
            </w:r>
          </w:p>
          <w:p w:rsidR="00000000" w:rsidRPr="000C638B" w:rsidP="000C638B">
            <w:pPr>
              <w:pStyle w:val="ListBullet2"/>
            </w:pPr>
            <w:r w:rsidRPr="000C638B">
              <w:t>taxation</w:t>
            </w:r>
          </w:p>
          <w:p w:rsidR="00000000" w:rsidRPr="000C638B" w:rsidP="000C638B">
            <w:pPr>
              <w:pStyle w:val="ListBullet2"/>
            </w:pPr>
            <w:r w:rsidRPr="000C638B">
              <w:t xml:space="preserve">trade practices </w:t>
            </w:r>
          </w:p>
          <w:p w:rsidR="00000000" w:rsidRPr="000C638B" w:rsidP="000C638B">
            <w:pPr>
              <w:pStyle w:val="ListBullet2"/>
            </w:pPr>
            <w:r w:rsidRPr="000C638B">
              <w:t>warnings and dismissals</w:t>
            </w:r>
          </w:p>
          <w:p w:rsidR="00000000" w:rsidRPr="000C638B" w:rsidP="000C638B">
            <w:pPr>
              <w:pStyle w:val="ListBullet2"/>
            </w:pPr>
            <w:r w:rsidRPr="000C638B">
              <w:t>worker's</w:t>
            </w:r>
            <w:r w:rsidRPr="000C638B">
              <w:t xml:space="preserve"> compensation</w:t>
            </w:r>
          </w:p>
          <w:p w:rsidR="00000000" w:rsidRPr="000C638B" w:rsidP="000C638B">
            <w:pPr>
              <w:pStyle w:val="ListBullet"/>
            </w:pPr>
            <w:r w:rsidRPr="000C638B">
              <w:t>ESD principles, environmental hazard identification, risk assessment and control</w:t>
            </w:r>
          </w:p>
          <w:p w:rsidR="00000000" w:rsidRPr="000C638B" w:rsidP="000C638B">
            <w:pPr>
              <w:pStyle w:val="ListBullet"/>
            </w:pPr>
            <w:r w:rsidRPr="000C638B">
              <w:t>food safety, Hazard Analysis Critical Control Point (HACCP), hygiene and temperature control along chain of custody</w:t>
            </w:r>
          </w:p>
          <w:p w:rsidR="00000000" w:rsidRPr="000C638B" w:rsidP="000C638B">
            <w:pPr>
              <w:pStyle w:val="ListBullet"/>
            </w:pPr>
            <w:r w:rsidRPr="000C638B">
              <w:t>fisheries or aquaculture regulations, permit</w:t>
            </w:r>
            <w:r w:rsidRPr="000C638B">
              <w:t>s, licences, quotas, catch restrictions, and other compliance requirements, including:</w:t>
            </w:r>
          </w:p>
          <w:p w:rsidR="00000000" w:rsidRPr="000C638B" w:rsidP="000C638B">
            <w:pPr>
              <w:pStyle w:val="ListBullet2"/>
            </w:pPr>
            <w:r w:rsidRPr="000C638B">
              <w:t>Australian Exclusive Economic Zone</w:t>
            </w:r>
          </w:p>
          <w:p w:rsidR="00000000" w:rsidRPr="000C638B" w:rsidP="000C638B">
            <w:pPr>
              <w:pStyle w:val="ListBullet2"/>
            </w:pPr>
            <w:r w:rsidRPr="000C638B">
              <w:t>international treaties and agreements</w:t>
            </w:r>
          </w:p>
          <w:p w:rsidR="00000000" w:rsidRPr="000C638B" w:rsidP="000C638B">
            <w:pPr>
              <w:pStyle w:val="ListBullet"/>
            </w:pPr>
            <w:r w:rsidRPr="000C638B">
              <w:t xml:space="preserve">imports quarantine and inspection, and importing approved arrangements for Australian </w:t>
            </w:r>
            <w:r w:rsidRPr="000C638B">
              <w:t>Quarantine Inspection Service (AQIS), Australian Customs Service (ACS) and Biosecurity Australia (BA)</w:t>
            </w:r>
          </w:p>
          <w:p w:rsidR="00000000" w:rsidRPr="000C638B" w:rsidP="000C638B">
            <w:pPr>
              <w:pStyle w:val="ListBullet"/>
            </w:pPr>
            <w:r w:rsidRPr="000C638B">
              <w:t>Indigenous native title, land claims and cultural activities, including fishing by traditional methods</w:t>
            </w:r>
          </w:p>
          <w:p w:rsidR="00000000" w:rsidRPr="000C638B" w:rsidP="000C638B">
            <w:pPr>
              <w:pStyle w:val="ListBullet"/>
            </w:pPr>
            <w:r w:rsidRPr="000C638B">
              <w:t>land, buildings and vehicle operations:</w:t>
            </w:r>
          </w:p>
          <w:p w:rsidR="00000000" w:rsidRPr="000C638B" w:rsidP="000C638B">
            <w:pPr>
              <w:pStyle w:val="ListBullet2"/>
            </w:pPr>
            <w:r w:rsidRPr="000C638B">
              <w:t xml:space="preserve">buildings </w:t>
            </w:r>
            <w:r w:rsidRPr="000C638B">
              <w:t>and structures design and appearance, constructions and additions</w:t>
            </w:r>
          </w:p>
          <w:p w:rsidR="00000000" w:rsidRPr="000C638B" w:rsidP="000C638B">
            <w:pPr>
              <w:pStyle w:val="ListBullet2"/>
            </w:pPr>
            <w:r w:rsidRPr="000C638B">
              <w:t xml:space="preserve">poaching, trespass and theft </w:t>
            </w:r>
          </w:p>
          <w:p w:rsidR="00000000" w:rsidRPr="000C638B" w:rsidP="000C638B">
            <w:pPr>
              <w:pStyle w:val="ListBullet2"/>
            </w:pPr>
            <w:r w:rsidRPr="000C638B">
              <w:t>road laws for use of motor vehicles, bikes, trucks and other transport equipment</w:t>
            </w:r>
          </w:p>
          <w:p w:rsidR="00000000" w:rsidRPr="000C638B" w:rsidP="000C638B">
            <w:pPr>
              <w:pStyle w:val="ListBullet2"/>
            </w:pPr>
            <w:r w:rsidRPr="000C638B">
              <w:t xml:space="preserve">soil and water management </w:t>
            </w:r>
          </w:p>
          <w:p w:rsidR="00000000" w:rsidRPr="000C638B" w:rsidP="000C638B">
            <w:pPr>
              <w:pStyle w:val="ListBullet2"/>
            </w:pPr>
            <w:r w:rsidRPr="000C638B">
              <w:t xml:space="preserve">water or land lease, tenure or ownership and use </w:t>
            </w:r>
          </w:p>
          <w:p w:rsidR="00000000" w:rsidRPr="000C638B" w:rsidP="000C638B">
            <w:pPr>
              <w:pStyle w:val="ListBullet2"/>
            </w:pPr>
            <w:r w:rsidRPr="000C638B">
              <w:t>us</w:t>
            </w:r>
            <w:r w:rsidRPr="000C638B">
              <w:t>e of chemicals and biological agents</w:t>
            </w:r>
          </w:p>
          <w:p w:rsidR="00000000" w:rsidRPr="000C638B" w:rsidP="000C638B">
            <w:pPr>
              <w:pStyle w:val="ListBullet2"/>
            </w:pPr>
            <w:r w:rsidRPr="000C638B">
              <w:t>use of firearms and powerheads</w:t>
            </w:r>
          </w:p>
          <w:p w:rsidR="00000000" w:rsidRPr="000C638B" w:rsidP="000C638B">
            <w:pPr>
              <w:pStyle w:val="ListBullet2"/>
            </w:pPr>
            <w:r w:rsidRPr="000C638B">
              <w:t>use of utilities, including water, natural gas, electricity and sewage</w:t>
            </w:r>
          </w:p>
          <w:p w:rsidR="00000000" w:rsidRPr="000C638B" w:rsidP="000C638B">
            <w:pPr>
              <w:pStyle w:val="ListBullet"/>
            </w:pPr>
            <w:r w:rsidRPr="000C638B">
              <w:t>maritime, vessel and occupational diving operations:</w:t>
            </w:r>
          </w:p>
          <w:p w:rsidR="00000000" w:rsidRPr="000C638B" w:rsidP="000C638B">
            <w:pPr>
              <w:pStyle w:val="ListBullet2"/>
            </w:pPr>
            <w:r w:rsidRPr="000C638B">
              <w:t>Australian occupational diving standards and codes of practice</w:t>
            </w:r>
          </w:p>
          <w:p w:rsidR="00000000" w:rsidRPr="000C638B" w:rsidP="000C638B">
            <w:pPr>
              <w:pStyle w:val="ListBullet2"/>
            </w:pPr>
            <w:r w:rsidRPr="000C638B">
              <w:t>foreign and Australian legislation applying to quarantine and customs</w:t>
            </w:r>
          </w:p>
          <w:p w:rsidR="00000000" w:rsidRPr="000C638B" w:rsidP="000C638B">
            <w:pPr>
              <w:pStyle w:val="ListBullet2"/>
            </w:pPr>
            <w:r w:rsidRPr="000C638B">
              <w:t>International Convention for the Safety of Life at Sea (SOLAS)</w:t>
            </w:r>
          </w:p>
          <w:p w:rsidR="00000000" w:rsidRPr="000C638B" w:rsidP="000C638B">
            <w:pPr>
              <w:pStyle w:val="ListBullet2"/>
            </w:pPr>
            <w:r w:rsidRPr="000C638B">
              <w:t xml:space="preserve">International Convention on Standards of Training, Certification and Watchkeeping for Seafarers (STCW 1978) </w:t>
            </w:r>
          </w:p>
          <w:p w:rsidR="00000000" w:rsidRPr="000C638B" w:rsidP="000C638B">
            <w:pPr>
              <w:pStyle w:val="ListBullet2"/>
            </w:pPr>
            <w:r w:rsidRPr="000C638B">
              <w:t>Marine Emergency Response Search and Rescue (MERSAR)</w:t>
            </w:r>
          </w:p>
          <w:p w:rsidR="00000000" w:rsidRPr="000C638B" w:rsidP="000C638B">
            <w:pPr>
              <w:pStyle w:val="ListBullet2"/>
            </w:pPr>
            <w:r w:rsidRPr="000C638B">
              <w:t>National Standards for Commercial Vessels</w:t>
            </w:r>
          </w:p>
          <w:p w:rsidR="00000000" w:rsidRPr="000C638B" w:rsidP="000C638B">
            <w:pPr>
              <w:pStyle w:val="ListBullet2"/>
            </w:pPr>
            <w:r w:rsidRPr="000C638B">
              <w:t>pollution prevention - International Convention for the Prevention of Pollution from Ships (MARPOL 73/78)</w:t>
            </w:r>
          </w:p>
          <w:p w:rsidR="00000000" w:rsidRPr="000C638B" w:rsidP="000C638B">
            <w:pPr>
              <w:pStyle w:val="ListBullet2"/>
            </w:pPr>
            <w:r w:rsidRPr="000C638B">
              <w:t xml:space="preserve">Uniform Shipping Laws (USL) Code </w:t>
            </w:r>
          </w:p>
          <w:p w:rsidR="00000000" w:rsidRPr="000C638B" w:rsidP="000C638B">
            <w:pPr>
              <w:pStyle w:val="ListBullet2"/>
            </w:pPr>
            <w:r w:rsidRPr="000C638B">
              <w:t>use of vessels, right</w:t>
            </w:r>
            <w:r w:rsidRPr="000C638B">
              <w:t xml:space="preserve"> of way and other marine orders, bunkering and refuelling</w:t>
            </w:r>
          </w:p>
          <w:p w:rsidR="00000000" w:rsidRPr="000C638B" w:rsidP="000C638B">
            <w:pPr>
              <w:pStyle w:val="ListBullet"/>
            </w:pPr>
            <w:r w:rsidRPr="000C638B">
              <w:t>occupational health and safety (OHS) hazard identification, risk assessment and control</w:t>
            </w:r>
          </w:p>
          <w:p w:rsidR="00000000" w:rsidRPr="000C638B" w:rsidP="000C638B">
            <w:pPr>
              <w:pStyle w:val="ListBullet"/>
            </w:pPr>
            <w:r w:rsidRPr="000C638B">
              <w:t xml:space="preserve">product quality assurance </w:t>
            </w:r>
          </w:p>
          <w:p w:rsidR="00000000" w:rsidRPr="000C638B" w:rsidP="000C638B">
            <w:pPr>
              <w:pStyle w:val="ListBullet2"/>
            </w:pPr>
            <w:r w:rsidRPr="000C638B">
              <w:t>correct quantities, sizes and other customer requirements</w:t>
            </w:r>
          </w:p>
          <w:p w:rsidR="00000000" w:rsidRPr="000C638B" w:rsidP="000C638B">
            <w:pPr>
              <w:pStyle w:val="ListBullet2"/>
            </w:pPr>
            <w:r w:rsidRPr="000C638B">
              <w:t>correct naming and labe</w:t>
            </w:r>
            <w:r w:rsidRPr="000C638B">
              <w:t>lling (e.g. country of origin, Australian Fish Names Standard and eco-labelling)</w:t>
            </w:r>
          </w:p>
          <w:p w:rsidR="00000000" w:rsidP="000C638B">
            <w:pPr>
              <w:pStyle w:val="ListBullet2"/>
              <w:rPr>
                <w:lang w:val="en-NZ"/>
              </w:rPr>
            </w:pPr>
            <w:r w:rsidRPr="000C638B">
              <w:t>third-party certification (e.g. Australian Grown and ISO 14001:2004 Environmental management systems).</w:t>
            </w:r>
          </w:p>
        </w:tc>
      </w:tr>
      <w:tr w:rsidTr="00983C0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BoldandItalics"/>
              </w:rPr>
              <w:t>New developments</w:t>
            </w:r>
            <w:r w:rsidRPr="000C638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Bullet"/>
            </w:pPr>
            <w:r w:rsidRPr="000C638B">
              <w:t>climate change</w:t>
            </w:r>
          </w:p>
          <w:p w:rsidR="00000000" w:rsidRPr="000C638B" w:rsidP="000C638B">
            <w:pPr>
              <w:pStyle w:val="ListBullet"/>
            </w:pPr>
            <w:r w:rsidRPr="000C638B">
              <w:t>economic change</w:t>
            </w:r>
          </w:p>
          <w:p w:rsidR="00000000" w:rsidRPr="000C638B" w:rsidP="000C638B">
            <w:pPr>
              <w:pStyle w:val="ListBullet"/>
            </w:pPr>
            <w:r w:rsidRPr="000C638B">
              <w:t>legislative and resource management changes</w:t>
            </w:r>
          </w:p>
          <w:p w:rsidR="00000000" w:rsidRPr="000C638B" w:rsidP="000C638B">
            <w:pPr>
              <w:pStyle w:val="ListBullet"/>
            </w:pPr>
            <w:r w:rsidRPr="000C638B">
              <w:t>new products, markets, processing, packaging and equipment</w:t>
            </w:r>
          </w:p>
          <w:p w:rsidR="00000000" w:rsidRPr="000C638B" w:rsidP="000C638B">
            <w:pPr>
              <w:pStyle w:val="ListBullet"/>
            </w:pPr>
            <w:r w:rsidRPr="000C638B">
              <w:t>political issues</w:t>
            </w:r>
          </w:p>
          <w:p w:rsidR="00000000" w:rsidRPr="000C638B" w:rsidP="000C638B">
            <w:pPr>
              <w:pStyle w:val="ListBullet"/>
            </w:pPr>
            <w:r w:rsidRPr="000C638B">
              <w:t>proposed policy changes</w:t>
            </w:r>
          </w:p>
          <w:p w:rsidR="00000000" w:rsidRPr="000C638B" w:rsidP="000C638B">
            <w:pPr>
              <w:pStyle w:val="ListBullet"/>
            </w:pPr>
            <w:r w:rsidRPr="000C638B">
              <w:t>research findings</w:t>
            </w:r>
          </w:p>
          <w:p w:rsidR="00000000" w:rsidRPr="000C638B" w:rsidP="000C638B">
            <w:pPr>
              <w:pStyle w:val="ListBullet"/>
            </w:pPr>
            <w:r w:rsidRPr="000C638B">
              <w:t>quality and environmental requirements</w:t>
            </w:r>
          </w:p>
          <w:p w:rsidR="00000000" w:rsidRPr="000C638B" w:rsidP="000C638B">
            <w:pPr>
              <w:pStyle w:val="ListBullet"/>
            </w:pPr>
            <w:r w:rsidRPr="000C638B">
              <w:t>technological change</w:t>
            </w:r>
          </w:p>
          <w:p w:rsidR="00000000" w:rsidP="000C638B">
            <w:pPr>
              <w:pStyle w:val="ListBullet"/>
              <w:rPr>
                <w:lang w:val="en-NZ"/>
              </w:rPr>
            </w:pPr>
            <w:r w:rsidRPr="000C638B">
              <w:t>third-party accreditation or certification.</w:t>
            </w:r>
          </w:p>
        </w:tc>
      </w:tr>
      <w:tr w:rsidTr="00983C0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BoldandItalics"/>
              </w:rPr>
              <w:t>Information dissemination</w:t>
            </w:r>
            <w:r w:rsidRPr="000C638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ListBullet"/>
            </w:pPr>
            <w:r w:rsidRPr="000C638B">
              <w:t>discussion of issues:</w:t>
            </w:r>
          </w:p>
          <w:p w:rsidR="00000000" w:rsidRPr="000C638B" w:rsidP="000C638B">
            <w:pPr>
              <w:pStyle w:val="ListBullet2"/>
            </w:pPr>
            <w:r w:rsidRPr="000C638B">
              <w:t>at port, sector, cooperative and community meetings</w:t>
            </w:r>
          </w:p>
          <w:p w:rsidR="00000000" w:rsidRPr="000C638B" w:rsidP="000C638B">
            <w:pPr>
              <w:pStyle w:val="ListBullet2"/>
            </w:pPr>
            <w:r w:rsidRPr="000C638B">
              <w:t>with industry groups and government representatives</w:t>
            </w:r>
          </w:p>
          <w:p w:rsidR="00000000" w:rsidRPr="000C638B" w:rsidP="000C638B">
            <w:pPr>
              <w:pStyle w:val="ListBullet"/>
            </w:pPr>
            <w:r w:rsidRPr="000C638B">
              <w:t>verbal information (e.g. face to face and telephone)</w:t>
            </w:r>
          </w:p>
          <w:p w:rsidR="00000000" w:rsidRPr="000C638B" w:rsidP="000C638B">
            <w:pPr>
              <w:pStyle w:val="ListBullet"/>
            </w:pPr>
            <w:r w:rsidRPr="000C638B">
              <w:t>websites, Facebook, Twitter and other online networks</w:t>
            </w:r>
          </w:p>
          <w:p w:rsidR="00000000" w:rsidRPr="000C638B" w:rsidP="000C638B">
            <w:pPr>
              <w:pStyle w:val="ListBullet"/>
            </w:pPr>
            <w:r w:rsidRPr="000C638B">
              <w:t>written information (e.g. electronic, SMS, memos, reports, newsletters, surveys, media releases, posters and brochures).</w:t>
            </w:r>
          </w:p>
        </w:tc>
      </w:tr>
    </w:tbl>
    <w:p w:rsidR="00983C06" w:rsidP="000C638B">
      <w:pPr>
        <w:pStyle w:val="BodyText"/>
      </w:pPr>
    </w:p>
    <w:p w:rsidR="00983C06" w:rsidP="000C638B">
      <w:pPr>
        <w:pStyle w:val="BodyText"/>
      </w:pPr>
    </w:p>
    <w:p w:rsidR="00000000" w:rsidRPr="000C638B" w:rsidP="000C638B">
      <w:pPr>
        <w:pStyle w:val="Heading1"/>
      </w:pPr>
      <w:bookmarkStart w:id="12" w:name="O_218380"/>
      <w:bookmarkEnd w:id="12"/>
      <w:r w:rsidRPr="000C638B">
        <w:t>Unit Sector(s)</w:t>
      </w:r>
    </w:p>
    <w:tbl>
      <w:tblPr>
        <w:tblW w:w="0" w:type="auto"/>
        <w:tblLayout w:type="fixed"/>
        <w:tblCellMar>
          <w:left w:w="62" w:type="dxa"/>
          <w:right w:w="62" w:type="dxa"/>
        </w:tblCellMar>
        <w:tblLook w:val="0000"/>
      </w:tblPr>
      <w:tblGrid>
        <w:gridCol w:w="2606"/>
        <w:gridCol w:w="5916"/>
      </w:tblGrid>
      <w:tr w:rsidTr="00983C0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r w:rsidRPr="000C638B">
              <w:t>Leadership</w:t>
            </w:r>
          </w:p>
        </w:tc>
      </w:tr>
    </w:tbl>
    <w:p w:rsidR="00983C06" w:rsidP="000C638B">
      <w:pPr>
        <w:pStyle w:val="BodyText"/>
      </w:pPr>
    </w:p>
    <w:p w:rsidR="00983C06" w:rsidP="000C638B">
      <w:pPr>
        <w:pStyle w:val="BodyText"/>
      </w:pPr>
    </w:p>
    <w:p w:rsidR="00000000" w:rsidRPr="000C638B" w:rsidP="000C638B">
      <w:pPr>
        <w:pStyle w:val="Heading1"/>
      </w:pPr>
      <w:bookmarkStart w:id="13" w:name="O_218377"/>
      <w:bookmarkEnd w:id="13"/>
      <w:r w:rsidRPr="000C638B">
        <w:t>Co-requisite units</w:t>
      </w:r>
    </w:p>
    <w:tbl>
      <w:tblPr>
        <w:tblW w:w="0" w:type="auto"/>
        <w:tblLayout w:type="fixed"/>
        <w:tblCellMar>
          <w:left w:w="62" w:type="dxa"/>
          <w:right w:w="62" w:type="dxa"/>
        </w:tblCellMar>
        <w:tblLook w:val="0000"/>
      </w:tblPr>
      <w:tblGrid>
        <w:gridCol w:w="2641"/>
        <w:gridCol w:w="1322"/>
        <w:gridCol w:w="4559"/>
      </w:tblGrid>
      <w:tr w:rsidTr="00983C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p>
        </w:tc>
      </w:tr>
      <w:tr w:rsidTr="00983C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p>
        </w:tc>
      </w:tr>
      <w:tr w:rsidTr="00983C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p>
        </w:tc>
      </w:tr>
    </w:tbl>
    <w:p w:rsidR="00983C06" w:rsidP="000C638B">
      <w:pPr>
        <w:pStyle w:val="BodyText"/>
      </w:pPr>
    </w:p>
    <w:p w:rsidR="00983C06" w:rsidP="000C638B">
      <w:pPr>
        <w:pStyle w:val="BodyText"/>
      </w:pPr>
    </w:p>
    <w:p w:rsidR="00000000" w:rsidRPr="000C638B" w:rsidP="000C638B">
      <w:pPr>
        <w:pStyle w:val="Heading1"/>
      </w:pPr>
      <w:bookmarkStart w:id="14" w:name="O_218379"/>
      <w:bookmarkEnd w:id="14"/>
      <w:r w:rsidRPr="000C638B">
        <w:t>Competency field</w:t>
      </w:r>
    </w:p>
    <w:tbl>
      <w:tblPr>
        <w:tblW w:w="0" w:type="auto"/>
        <w:tblLayout w:type="fixed"/>
        <w:tblCellMar>
          <w:left w:w="62" w:type="dxa"/>
          <w:right w:w="62" w:type="dxa"/>
        </w:tblCellMar>
        <w:tblLook w:val="0000"/>
      </w:tblPr>
      <w:tblGrid>
        <w:gridCol w:w="2784"/>
        <w:gridCol w:w="5738"/>
      </w:tblGrid>
      <w:tr w:rsidTr="00983C0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38B">
            <w:pPr>
              <w:pStyle w:val="BodyText"/>
              <w:rPr>
                <w:lang w:val="en-NZ"/>
              </w:rPr>
            </w:pPr>
            <w:r w:rsidRPr="000C63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38B" w:rsidP="000C638B">
            <w:pPr>
              <w:pStyle w:val="BodyText"/>
            </w:pPr>
          </w:p>
        </w:tc>
      </w:tr>
    </w:tbl>
    <w:p w:rsidR="00983C06" w:rsidP="000C638B">
      <w:pPr>
        <w:pStyle w:val="BodyText"/>
      </w:pPr>
    </w:p>
    <w:p w:rsidR="00983C06" w:rsidP="000C638B">
      <w:pPr>
        <w:pStyle w:val="BodyText"/>
      </w:pPr>
    </w:p>
    <w:p w:rsidR="00000000" w:rsidRPr="000C638B" w:rsidP="000C638B"/>
    <w:sectPr w:rsidSect="000C63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3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C06" w:rsidP="00983C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3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06" w:rsidP="000C63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3C06" w:rsidP="000C63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83C06" w:rsidP="000C63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3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C06" w:rsidP="00983C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3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06" w:rsidP="000C638B">
    <w:pPr>
      <w:pStyle w:val="Header"/>
      <w:framePr w:wrap="around"/>
    </w:pPr>
    <w:r>
      <w:fldChar w:fldCharType="begin"/>
    </w:r>
    <w:r>
      <w:instrText xml:space="preserve"> TITLE   \* MERGEFORMAT </w:instrText>
    </w:r>
    <w:r>
      <w:fldChar w:fldCharType="separate"/>
    </w:r>
    <w:r>
      <w:t>SFILEAD501C Develop and promote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3C06" w:rsidP="000C63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4A0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30E6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5E5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3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638B"/>
    <w:pPr>
      <w:spacing w:before="360" w:after="60"/>
      <w:outlineLvl w:val="0"/>
    </w:pPr>
    <w:rPr>
      <w:sz w:val="32"/>
    </w:rPr>
  </w:style>
  <w:style w:type="paragraph" w:styleId="Heading2">
    <w:name w:val="heading 2"/>
    <w:basedOn w:val="HeadingBase"/>
    <w:next w:val="BodyText"/>
    <w:link w:val="Heading2Char"/>
    <w:qFormat/>
    <w:rsid w:val="000C638B"/>
    <w:pPr>
      <w:keepLines/>
      <w:spacing w:before="240" w:after="120"/>
      <w:outlineLvl w:val="1"/>
    </w:pPr>
    <w:rPr>
      <w:sz w:val="28"/>
      <w:szCs w:val="40"/>
    </w:rPr>
  </w:style>
  <w:style w:type="paragraph" w:styleId="Heading3">
    <w:name w:val="heading 3"/>
    <w:basedOn w:val="HeadingBase"/>
    <w:next w:val="BodyText"/>
    <w:link w:val="Heading3Char"/>
    <w:qFormat/>
    <w:rsid w:val="000C638B"/>
    <w:pPr>
      <w:spacing w:before="180" w:after="120"/>
      <w:outlineLvl w:val="2"/>
    </w:pPr>
    <w:rPr>
      <w:spacing w:val="-10"/>
      <w:kern w:val="32"/>
    </w:rPr>
  </w:style>
  <w:style w:type="paragraph" w:styleId="Heading4">
    <w:name w:val="heading 4"/>
    <w:basedOn w:val="HeadingBase"/>
    <w:next w:val="BodyText"/>
    <w:link w:val="Heading4Char"/>
    <w:qFormat/>
    <w:rsid w:val="000C638B"/>
    <w:pPr>
      <w:spacing w:before="160" w:after="120"/>
      <w:outlineLvl w:val="3"/>
    </w:pPr>
    <w:rPr>
      <w:sz w:val="22"/>
    </w:rPr>
  </w:style>
  <w:style w:type="paragraph" w:styleId="Heading5">
    <w:name w:val="heading 5"/>
    <w:basedOn w:val="HeadingBase"/>
    <w:next w:val="Normal"/>
    <w:link w:val="Heading5Char"/>
    <w:qFormat/>
    <w:rsid w:val="000C638B"/>
    <w:pPr>
      <w:spacing w:before="80"/>
      <w:outlineLvl w:val="4"/>
    </w:pPr>
    <w:rPr>
      <w:color w:val="918585"/>
      <w:sz w:val="20"/>
    </w:rPr>
  </w:style>
  <w:style w:type="paragraph" w:styleId="Heading6">
    <w:name w:val="heading 6"/>
    <w:basedOn w:val="HeadingBase"/>
    <w:next w:val="Normal"/>
    <w:link w:val="Heading6Char"/>
    <w:qFormat/>
    <w:rsid w:val="000C638B"/>
    <w:pPr>
      <w:spacing w:before="60"/>
      <w:outlineLvl w:val="5"/>
    </w:pPr>
    <w:rPr>
      <w:color w:val="918585"/>
      <w:sz w:val="20"/>
    </w:rPr>
  </w:style>
  <w:style w:type="paragraph" w:styleId="Heading7">
    <w:name w:val="heading 7"/>
    <w:basedOn w:val="Normal"/>
    <w:next w:val="Normal"/>
    <w:link w:val="Heading7Char"/>
    <w:qFormat/>
    <w:rsid w:val="000C638B"/>
    <w:pPr>
      <w:ind w:left="720"/>
      <w:outlineLvl w:val="6"/>
    </w:pPr>
    <w:rPr>
      <w:i/>
    </w:rPr>
  </w:style>
  <w:style w:type="paragraph" w:styleId="Heading8">
    <w:name w:val="heading 8"/>
    <w:basedOn w:val="Normal"/>
    <w:next w:val="Normal"/>
    <w:link w:val="Heading8Char"/>
    <w:qFormat/>
    <w:rsid w:val="000C638B"/>
    <w:pPr>
      <w:ind w:left="720"/>
      <w:outlineLvl w:val="7"/>
    </w:pPr>
    <w:rPr>
      <w:i/>
    </w:rPr>
  </w:style>
  <w:style w:type="paragraph" w:styleId="Heading9">
    <w:name w:val="heading 9"/>
    <w:basedOn w:val="Normal"/>
    <w:next w:val="Normal"/>
    <w:link w:val="Heading9Char"/>
    <w:qFormat/>
    <w:rsid w:val="000C638B"/>
    <w:pPr>
      <w:ind w:left="720"/>
      <w:outlineLvl w:val="8"/>
    </w:pPr>
    <w:rPr>
      <w:i/>
    </w:rPr>
  </w:style>
  <w:style w:type="character" w:default="1" w:styleId="DefaultParagraphFont">
    <w:name w:val="Default Paragraph Font"/>
    <w:uiPriority w:val="1"/>
    <w:unhideWhenUsed/>
    <w:rsid w:val="000C63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38B"/>
  </w:style>
  <w:style w:type="character" w:customStyle="1" w:styleId="Heading1Char">
    <w:name w:val="Heading 1 Char"/>
    <w:basedOn w:val="DefaultParagraphFont"/>
    <w:link w:val="Heading1"/>
    <w:rsid w:val="000C638B"/>
    <w:rPr>
      <w:rFonts w:ascii="Times New Roman" w:eastAsia="Times New Roman" w:hAnsi="Times New Roman" w:cs="Times New Roman"/>
      <w:b/>
      <w:sz w:val="32"/>
      <w:szCs w:val="20"/>
      <w:lang w:eastAsia="en-US"/>
    </w:rPr>
  </w:style>
  <w:style w:type="paragraph" w:styleId="BodyText">
    <w:name w:val="Body Text"/>
    <w:basedOn w:val="Normal"/>
    <w:link w:val="BodyTextChar"/>
    <w:rsid w:val="000C63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638B"/>
    <w:rPr>
      <w:rFonts w:ascii="Times New Roman" w:eastAsia="Times New Roman" w:hAnsi="Times New Roman" w:cs="Times New Roman"/>
      <w:sz w:val="24"/>
      <w:lang w:val="en-US" w:eastAsia="en-US"/>
    </w:rPr>
  </w:style>
  <w:style w:type="paragraph" w:styleId="Footer">
    <w:name w:val="footer"/>
    <w:basedOn w:val="Normal"/>
    <w:link w:val="FooterChar"/>
    <w:rsid w:val="000C63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38B"/>
    <w:rPr>
      <w:rFonts w:ascii="Times New Roman" w:eastAsia="Times New Roman" w:hAnsi="Times New Roman" w:cs="Times New Roman"/>
      <w:sz w:val="16"/>
      <w:lang w:val="en-US" w:eastAsia="en-US"/>
    </w:rPr>
  </w:style>
  <w:style w:type="paragraph" w:styleId="List">
    <w:name w:val="List"/>
    <w:basedOn w:val="BodyText"/>
    <w:next w:val="BodyText"/>
    <w:rsid w:val="000C638B"/>
    <w:pPr>
      <w:tabs>
        <w:tab w:val="left" w:pos="340"/>
      </w:tabs>
      <w:spacing w:before="60" w:after="60"/>
      <w:ind w:left="340" w:hanging="340"/>
    </w:pPr>
  </w:style>
  <w:style w:type="paragraph" w:styleId="ListBullet">
    <w:name w:val="List Bullet"/>
    <w:basedOn w:val="List"/>
    <w:rsid w:val="000C638B"/>
    <w:pPr>
      <w:numPr>
        <w:numId w:val="13"/>
      </w:numPr>
      <w:tabs>
        <w:tab w:val="clear" w:pos="340"/>
      </w:tabs>
      <w:spacing w:before="40" w:after="40"/>
    </w:pPr>
  </w:style>
  <w:style w:type="character" w:customStyle="1" w:styleId="SpecialBold">
    <w:name w:val="Special Bold"/>
    <w:basedOn w:val="DefaultParagraphFont"/>
    <w:rsid w:val="000C638B"/>
    <w:rPr>
      <w:b/>
      <w:spacing w:val="0"/>
    </w:rPr>
  </w:style>
  <w:style w:type="paragraph" w:styleId="ListBullet2">
    <w:name w:val="List Bullet 2"/>
    <w:basedOn w:val="List2"/>
    <w:rsid w:val="000C638B"/>
    <w:pPr>
      <w:numPr>
        <w:numId w:val="14"/>
      </w:numPr>
      <w:tabs>
        <w:tab w:val="clear" w:pos="680"/>
      </w:tabs>
    </w:pPr>
  </w:style>
  <w:style w:type="paragraph" w:styleId="Header">
    <w:name w:val="header"/>
    <w:basedOn w:val="Normal"/>
    <w:link w:val="HeaderChar"/>
    <w:rsid w:val="000C63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3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638B"/>
    <w:pPr>
      <w:spacing w:before="240" w:after="120"/>
      <w:outlineLvl w:val="0"/>
    </w:pPr>
    <w:rPr>
      <w:rFonts w:ascii="Times New Roman" w:hAnsi="Times New Roman"/>
      <w:b/>
      <w:sz w:val="28"/>
    </w:rPr>
  </w:style>
  <w:style w:type="paragraph" w:customStyle="1" w:styleId="AllowPageBreak">
    <w:name w:val="AllowPageBreak"/>
    <w:rsid w:val="000C63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638B"/>
    <w:pPr>
      <w:tabs>
        <w:tab w:val="left" w:pos="680"/>
      </w:tabs>
      <w:spacing w:before="60" w:after="60"/>
      <w:ind w:left="680" w:hanging="340"/>
    </w:pPr>
  </w:style>
  <w:style w:type="character" w:customStyle="1" w:styleId="BoldandItalics">
    <w:name w:val="Bold and Italics"/>
    <w:qFormat/>
    <w:rsid w:val="000C638B"/>
    <w:rPr>
      <w:b/>
      <w:i/>
      <w:u w:val="none"/>
    </w:rPr>
  </w:style>
  <w:style w:type="character" w:customStyle="1" w:styleId="Heading2Char">
    <w:name w:val="Heading 2 Char"/>
    <w:basedOn w:val="DefaultParagraphFont"/>
    <w:link w:val="Heading2"/>
    <w:rsid w:val="000C63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3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3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3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3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3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63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638B"/>
    <w:rPr>
      <w:rFonts w:ascii="Courier New" w:eastAsia="Times New Roman" w:hAnsi="Courier New" w:cs="Times New Roman"/>
      <w:i/>
      <w:szCs w:val="20"/>
      <w:lang w:val="en-US" w:eastAsia="en-US"/>
    </w:rPr>
  </w:style>
  <w:style w:type="paragraph" w:customStyle="1" w:styleId="HeadingBase">
    <w:name w:val="Heading Base"/>
    <w:rsid w:val="000C63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38B"/>
    <w:pPr>
      <w:tabs>
        <w:tab w:val="right" w:leader="dot" w:pos="9072"/>
      </w:tabs>
      <w:ind w:left="567"/>
    </w:pPr>
    <w:rPr>
      <w:szCs w:val="22"/>
    </w:rPr>
  </w:style>
  <w:style w:type="paragraph" w:customStyle="1" w:styleId="TOCBase">
    <w:name w:val="TOC Base"/>
    <w:rsid w:val="000C63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38B"/>
    <w:pPr>
      <w:tabs>
        <w:tab w:val="right" w:leader="dot" w:pos="9072"/>
      </w:tabs>
      <w:spacing w:before="40" w:after="40"/>
      <w:ind w:left="284"/>
    </w:pPr>
    <w:rPr>
      <w:rFonts w:ascii="Times New Roman" w:hAnsi="Times New Roman"/>
    </w:rPr>
  </w:style>
  <w:style w:type="paragraph" w:styleId="TOC1">
    <w:name w:val="toc 1"/>
    <w:basedOn w:val="TOCBase"/>
    <w:next w:val="Normal"/>
    <w:rsid w:val="000C63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638B"/>
    <w:pPr>
      <w:spacing w:before="5040"/>
      <w:jc w:val="center"/>
    </w:pPr>
    <w:rPr>
      <w:sz w:val="48"/>
      <w:szCs w:val="72"/>
      <w:lang w:val="en-US"/>
    </w:rPr>
  </w:style>
  <w:style w:type="character" w:customStyle="1" w:styleId="TitleChar">
    <w:name w:val="Title Char"/>
    <w:basedOn w:val="DefaultParagraphFont"/>
    <w:link w:val="Title"/>
    <w:rsid w:val="000C63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38B"/>
    <w:pPr>
      <w:tabs>
        <w:tab w:val="left" w:pos="3600"/>
        <w:tab w:val="left" w:pos="3958"/>
      </w:tabs>
    </w:pPr>
  </w:style>
  <w:style w:type="paragraph" w:customStyle="1" w:styleId="Note">
    <w:name w:val="Note"/>
    <w:basedOn w:val="BodyText"/>
    <w:rsid w:val="000C63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38B"/>
    <w:pPr>
      <w:framePr w:wrap="auto" w:hAnchor="text" w:y="6049"/>
    </w:pPr>
    <w:rPr>
      <w:color w:val="000000"/>
      <w:sz w:val="40"/>
    </w:rPr>
  </w:style>
  <w:style w:type="paragraph" w:customStyle="1" w:styleId="TOCTitle">
    <w:name w:val="TOCTitle"/>
    <w:basedOn w:val="Heading1"/>
    <w:rsid w:val="000C638B"/>
    <w:pPr>
      <w:spacing w:after="240"/>
      <w:jc w:val="center"/>
      <w:outlineLvl w:val="9"/>
    </w:pPr>
    <w:rPr>
      <w:caps/>
    </w:rPr>
  </w:style>
  <w:style w:type="paragraph" w:customStyle="1" w:styleId="Version">
    <w:name w:val="Version"/>
    <w:rsid w:val="000C63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38B"/>
    <w:pPr>
      <w:keepNext w:val="0"/>
      <w:tabs>
        <w:tab w:val="right" w:pos="4176"/>
      </w:tabs>
      <w:ind w:left="198" w:hanging="198"/>
    </w:pPr>
    <w:rPr>
      <w:rFonts w:ascii="Garamond" w:hAnsi="Garamond"/>
    </w:rPr>
  </w:style>
  <w:style w:type="paragraph" w:styleId="IndexHeading">
    <w:name w:val="index heading"/>
    <w:basedOn w:val="Normal"/>
    <w:next w:val="Index1"/>
    <w:semiHidden/>
    <w:rsid w:val="000C638B"/>
    <w:pPr>
      <w:spacing w:before="120" w:after="120"/>
    </w:pPr>
    <w:rPr>
      <w:rFonts w:ascii="Arial" w:hAnsi="Arial"/>
      <w:b/>
      <w:color w:val="918585"/>
      <w:sz w:val="24"/>
    </w:rPr>
  </w:style>
  <w:style w:type="paragraph" w:customStyle="1" w:styleId="Chapter">
    <w:name w:val="Chapter"/>
    <w:basedOn w:val="Normal"/>
    <w:rsid w:val="000C638B"/>
    <w:pPr>
      <w:spacing w:before="240"/>
    </w:pPr>
    <w:rPr>
      <w:rFonts w:ascii="Times New Roman" w:hAnsi="Times New Roman"/>
      <w:smallCaps/>
      <w:spacing w:val="80"/>
      <w:sz w:val="28"/>
    </w:rPr>
  </w:style>
  <w:style w:type="paragraph" w:customStyle="1" w:styleId="InChapter">
    <w:name w:val="InChapter"/>
    <w:basedOn w:val="Heading3"/>
    <w:rsid w:val="000C638B"/>
    <w:pPr>
      <w:spacing w:after="240"/>
      <w:outlineLvl w:val="9"/>
    </w:pPr>
    <w:rPr>
      <w:noProof/>
    </w:rPr>
  </w:style>
  <w:style w:type="paragraph" w:styleId="Index2">
    <w:name w:val="index 2"/>
    <w:basedOn w:val="Normal"/>
    <w:next w:val="Normal"/>
    <w:semiHidden/>
    <w:rsid w:val="000C638B"/>
    <w:pPr>
      <w:tabs>
        <w:tab w:val="right" w:pos="4176"/>
      </w:tabs>
      <w:ind w:left="568" w:hanging="284"/>
    </w:pPr>
    <w:rPr>
      <w:rFonts w:ascii="Garamond" w:hAnsi="Garamond"/>
    </w:rPr>
  </w:style>
  <w:style w:type="paragraph" w:customStyle="1" w:styleId="Byline">
    <w:name w:val="Byline"/>
    <w:rsid w:val="000C63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38B"/>
    <w:pPr>
      <w:tabs>
        <w:tab w:val="clear" w:pos="3600"/>
        <w:tab w:val="clear" w:pos="3958"/>
      </w:tabs>
      <w:jc w:val="right"/>
    </w:pPr>
  </w:style>
  <w:style w:type="character" w:styleId="Emphasis">
    <w:name w:val="Emphasis"/>
    <w:basedOn w:val="DefaultParagraphFont"/>
    <w:qFormat/>
    <w:rsid w:val="000C638B"/>
    <w:rPr>
      <w:i/>
    </w:rPr>
  </w:style>
  <w:style w:type="paragraph" w:styleId="Caption">
    <w:name w:val="caption"/>
    <w:basedOn w:val="BodyText"/>
    <w:next w:val="Normal"/>
    <w:qFormat/>
    <w:rsid w:val="000C638B"/>
    <w:pPr>
      <w:framePr w:w="2268" w:hSpace="181" w:vSpace="181" w:wrap="around" w:vAnchor="text" w:hAnchor="page" w:x="1135" w:y="285" w:anchorLock="1"/>
    </w:pPr>
    <w:rPr>
      <w:i/>
    </w:rPr>
  </w:style>
  <w:style w:type="paragraph" w:customStyle="1" w:styleId="MiniTOCTitle">
    <w:name w:val="MiniTOCTitle"/>
    <w:basedOn w:val="Heading4"/>
    <w:rsid w:val="000C638B"/>
    <w:pPr>
      <w:spacing w:before="240"/>
      <w:outlineLvl w:val="9"/>
    </w:pPr>
    <w:rPr>
      <w:noProof/>
      <w:sz w:val="24"/>
    </w:rPr>
  </w:style>
  <w:style w:type="paragraph" w:customStyle="1" w:styleId="MiniTOCItem">
    <w:name w:val="MiniTOCItem"/>
    <w:basedOn w:val="ListBullet"/>
    <w:rsid w:val="000C638B"/>
    <w:pPr>
      <w:numPr>
        <w:numId w:val="0"/>
      </w:numPr>
      <w:tabs>
        <w:tab w:val="right" w:leader="dot" w:pos="6521"/>
      </w:tabs>
      <w:spacing w:before="0" w:after="0"/>
    </w:pPr>
  </w:style>
  <w:style w:type="paragraph" w:customStyle="1" w:styleId="TOFTitle">
    <w:name w:val="TOFTitle"/>
    <w:basedOn w:val="TOCTitle"/>
    <w:rsid w:val="000C638B"/>
  </w:style>
  <w:style w:type="paragraph" w:styleId="TableofFigures">
    <w:name w:val="table of figures"/>
    <w:basedOn w:val="Normal"/>
    <w:next w:val="Normal"/>
    <w:semiHidden/>
    <w:rsid w:val="000C638B"/>
    <w:pPr>
      <w:tabs>
        <w:tab w:val="right" w:leader="dot" w:pos="9072"/>
      </w:tabs>
      <w:ind w:left="970" w:hanging="403"/>
    </w:pPr>
    <w:rPr>
      <w:rFonts w:ascii="Times New Roman" w:hAnsi="Times New Roman"/>
      <w:b/>
    </w:rPr>
  </w:style>
  <w:style w:type="paragraph" w:styleId="ListNumber">
    <w:name w:val="List Number"/>
    <w:basedOn w:val="List"/>
    <w:rsid w:val="000C638B"/>
    <w:pPr>
      <w:numPr>
        <w:numId w:val="11"/>
      </w:numPr>
    </w:pPr>
  </w:style>
  <w:style w:type="character" w:customStyle="1" w:styleId="WingdingSymbols">
    <w:name w:val="Wingding Symbols"/>
    <w:rsid w:val="000C638B"/>
    <w:rPr>
      <w:rFonts w:ascii="Wingdings" w:hAnsi="Wingdings"/>
    </w:rPr>
  </w:style>
  <w:style w:type="paragraph" w:customStyle="1" w:styleId="TableHeading">
    <w:name w:val="Table Heading"/>
    <w:basedOn w:val="HeadingBase"/>
    <w:rsid w:val="000C638B"/>
    <w:pPr>
      <w:keepLines/>
      <w:pBdr>
        <w:bottom w:val="single" w:sz="6" w:space="1" w:color="918585"/>
      </w:pBdr>
      <w:spacing w:before="240"/>
    </w:pPr>
  </w:style>
  <w:style w:type="character" w:customStyle="1" w:styleId="HotSpot">
    <w:name w:val="HotSpot"/>
    <w:rsid w:val="000C638B"/>
    <w:rPr>
      <w:color w:val="0033CC"/>
      <w:u w:val="none"/>
    </w:rPr>
  </w:style>
  <w:style w:type="paragraph" w:customStyle="1" w:styleId="BodyTextRight">
    <w:name w:val="Body Text Right"/>
    <w:basedOn w:val="BodyText"/>
    <w:rsid w:val="000C638B"/>
    <w:pPr>
      <w:spacing w:before="0" w:after="0"/>
      <w:jc w:val="right"/>
    </w:pPr>
  </w:style>
  <w:style w:type="paragraph" w:styleId="Index3">
    <w:name w:val="index 3"/>
    <w:basedOn w:val="ListNumber2"/>
    <w:next w:val="Normal"/>
    <w:semiHidden/>
    <w:rsid w:val="000C638B"/>
    <w:pPr>
      <w:numPr>
        <w:numId w:val="0"/>
      </w:numPr>
      <w:tabs>
        <w:tab w:val="right" w:leader="dot" w:pos="4176"/>
      </w:tabs>
    </w:pPr>
  </w:style>
  <w:style w:type="paragraph" w:styleId="ListNumber2">
    <w:name w:val="List Number 2"/>
    <w:basedOn w:val="List2"/>
    <w:rsid w:val="000C638B"/>
    <w:pPr>
      <w:numPr>
        <w:numId w:val="10"/>
      </w:numPr>
      <w:tabs>
        <w:tab w:val="clear" w:pos="1060"/>
      </w:tabs>
    </w:pPr>
  </w:style>
  <w:style w:type="paragraph" w:customStyle="1" w:styleId="MarginNote">
    <w:name w:val="Margin Note"/>
    <w:basedOn w:val="BodyText"/>
    <w:rsid w:val="000C63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3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3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638B"/>
    <w:rPr>
      <w:sz w:val="32"/>
    </w:rPr>
  </w:style>
  <w:style w:type="paragraph" w:customStyle="1" w:styleId="HeadingProcedure">
    <w:name w:val="Heading Procedure"/>
    <w:basedOn w:val="HeadingBase"/>
    <w:next w:val="Normal"/>
    <w:rsid w:val="000C638B"/>
    <w:pPr>
      <w:tabs>
        <w:tab w:val="left" w:pos="0"/>
      </w:tabs>
      <w:spacing w:before="120" w:after="60"/>
    </w:pPr>
    <w:rPr>
      <w:i/>
      <w:color w:val="918585"/>
      <w:sz w:val="22"/>
    </w:rPr>
  </w:style>
  <w:style w:type="paragraph" w:customStyle="1" w:styleId="TableBodyText">
    <w:name w:val="Table Body Text"/>
    <w:basedOn w:val="BodyText"/>
    <w:rsid w:val="000C638B"/>
    <w:pPr>
      <w:spacing w:before="60" w:after="60"/>
    </w:pPr>
  </w:style>
  <w:style w:type="paragraph" w:styleId="ListContinue">
    <w:name w:val="List Continue"/>
    <w:basedOn w:val="List"/>
    <w:rsid w:val="000C638B"/>
    <w:pPr>
      <w:ind w:firstLine="0"/>
    </w:pPr>
  </w:style>
  <w:style w:type="paragraph" w:customStyle="1" w:styleId="ListNote">
    <w:name w:val="List Note"/>
    <w:basedOn w:val="List"/>
    <w:rsid w:val="000C638B"/>
    <w:pPr>
      <w:pBdr>
        <w:top w:val="single" w:sz="6" w:space="2" w:color="918585"/>
        <w:bottom w:val="single" w:sz="6" w:space="2" w:color="918585"/>
      </w:pBdr>
      <w:tabs>
        <w:tab w:val="left" w:pos="1021"/>
      </w:tabs>
      <w:ind w:firstLine="0"/>
    </w:pPr>
  </w:style>
  <w:style w:type="paragraph" w:customStyle="1" w:styleId="Warning">
    <w:name w:val="Warning"/>
    <w:basedOn w:val="BodyText"/>
    <w:rsid w:val="000C638B"/>
    <w:pPr>
      <w:shd w:val="clear" w:color="auto" w:fill="D9D9D9"/>
      <w:tabs>
        <w:tab w:val="left" w:pos="992"/>
      </w:tabs>
      <w:ind w:left="119" w:right="119"/>
    </w:pPr>
    <w:rPr>
      <w:sz w:val="20"/>
    </w:rPr>
  </w:style>
  <w:style w:type="paragraph" w:customStyle="1" w:styleId="MarginIcons">
    <w:name w:val="Margin Icons"/>
    <w:basedOn w:val="BodyText"/>
    <w:rsid w:val="000C63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38B"/>
    <w:rPr>
      <w:rFonts w:ascii="Courier New" w:hAnsi="Courier New"/>
    </w:rPr>
  </w:style>
  <w:style w:type="paragraph" w:customStyle="1" w:styleId="NoteBullet">
    <w:name w:val="Note Bullet"/>
    <w:basedOn w:val="Note"/>
    <w:rsid w:val="000C638B"/>
    <w:pPr>
      <w:tabs>
        <w:tab w:val="clear" w:pos="680"/>
      </w:tabs>
      <w:spacing w:before="60" w:after="60"/>
    </w:pPr>
  </w:style>
  <w:style w:type="paragraph" w:customStyle="1" w:styleId="SubHeading2">
    <w:name w:val="SubHeading2"/>
    <w:basedOn w:val="HeadingBase"/>
    <w:rsid w:val="000C638B"/>
    <w:pPr>
      <w:spacing w:before="240" w:after="60"/>
    </w:pPr>
    <w:rPr>
      <w:sz w:val="20"/>
    </w:rPr>
  </w:style>
  <w:style w:type="paragraph" w:customStyle="1" w:styleId="SubHeading1">
    <w:name w:val="SubHeading1"/>
    <w:basedOn w:val="HeadingBase"/>
    <w:rsid w:val="000C638B"/>
    <w:pPr>
      <w:spacing w:before="240" w:after="60"/>
    </w:pPr>
    <w:rPr>
      <w:color w:val="918585"/>
      <w:sz w:val="22"/>
    </w:rPr>
  </w:style>
  <w:style w:type="paragraph" w:customStyle="1" w:styleId="SideHeading">
    <w:name w:val="Side Heading"/>
    <w:basedOn w:val="HeadingBase"/>
    <w:rsid w:val="000C63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38B"/>
    <w:pPr>
      <w:numPr>
        <w:numId w:val="12"/>
      </w:numPr>
    </w:pPr>
  </w:style>
  <w:style w:type="paragraph" w:styleId="PlainText">
    <w:name w:val="Plain Text"/>
    <w:basedOn w:val="Normal"/>
    <w:link w:val="PlainTextChar"/>
    <w:rsid w:val="000C638B"/>
    <w:rPr>
      <w:sz w:val="20"/>
    </w:rPr>
  </w:style>
  <w:style w:type="character" w:customStyle="1" w:styleId="PlainTextChar">
    <w:name w:val="Plain Text Char"/>
    <w:basedOn w:val="DefaultParagraphFont"/>
    <w:link w:val="PlainText"/>
    <w:rsid w:val="000C63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638B"/>
    <w:rPr>
      <w:b/>
      <w:smallCaps/>
    </w:rPr>
  </w:style>
  <w:style w:type="paragraph" w:customStyle="1" w:styleId="TableListNumber">
    <w:name w:val="Table List Number"/>
    <w:basedOn w:val="ListNumber"/>
    <w:rsid w:val="000C638B"/>
    <w:pPr>
      <w:numPr>
        <w:numId w:val="0"/>
      </w:numPr>
    </w:pPr>
  </w:style>
  <w:style w:type="paragraph" w:styleId="TOC4">
    <w:name w:val="toc 4"/>
    <w:basedOn w:val="TOCBase"/>
    <w:next w:val="Normal"/>
    <w:semiHidden/>
    <w:rsid w:val="000C638B"/>
    <w:pPr>
      <w:tabs>
        <w:tab w:val="right" w:leader="dot" w:pos="9071"/>
      </w:tabs>
      <w:ind w:left="1701"/>
    </w:pPr>
  </w:style>
  <w:style w:type="paragraph" w:customStyle="1" w:styleId="ListAlpha">
    <w:name w:val="List Alpha"/>
    <w:basedOn w:val="List"/>
    <w:rsid w:val="000C638B"/>
    <w:pPr>
      <w:numPr>
        <w:numId w:val="9"/>
      </w:numPr>
    </w:pPr>
  </w:style>
  <w:style w:type="paragraph" w:customStyle="1" w:styleId="ListAlpha2">
    <w:name w:val="List Alpha 2"/>
    <w:basedOn w:val="List2"/>
    <w:rsid w:val="000C638B"/>
    <w:pPr>
      <w:numPr>
        <w:numId w:val="8"/>
      </w:numPr>
    </w:pPr>
  </w:style>
  <w:style w:type="paragraph" w:styleId="List3">
    <w:name w:val="List 3"/>
    <w:basedOn w:val="BodyText"/>
    <w:rsid w:val="000C638B"/>
    <w:pPr>
      <w:tabs>
        <w:tab w:val="left" w:pos="1021"/>
      </w:tabs>
      <w:spacing w:before="60" w:after="60"/>
      <w:ind w:left="1020" w:hanging="340"/>
    </w:pPr>
  </w:style>
  <w:style w:type="paragraph" w:styleId="List4">
    <w:name w:val="List 4"/>
    <w:basedOn w:val="BodyText"/>
    <w:rsid w:val="000C638B"/>
    <w:pPr>
      <w:tabs>
        <w:tab w:val="left" w:pos="1361"/>
      </w:tabs>
      <w:spacing w:before="60" w:after="60"/>
      <w:ind w:left="1361" w:hanging="340"/>
    </w:pPr>
  </w:style>
  <w:style w:type="paragraph" w:styleId="List5">
    <w:name w:val="List 5"/>
    <w:basedOn w:val="BodyText"/>
    <w:rsid w:val="000C638B"/>
    <w:pPr>
      <w:tabs>
        <w:tab w:val="left" w:pos="1701"/>
      </w:tabs>
      <w:spacing w:before="60" w:after="60"/>
      <w:ind w:left="1701" w:hanging="340"/>
    </w:pPr>
  </w:style>
  <w:style w:type="paragraph" w:styleId="ListBullet3">
    <w:name w:val="List Bullet 3"/>
    <w:basedOn w:val="List3"/>
    <w:rsid w:val="000C638B"/>
    <w:pPr>
      <w:numPr>
        <w:numId w:val="15"/>
      </w:numPr>
      <w:tabs>
        <w:tab w:val="clear" w:pos="1021"/>
      </w:tabs>
      <w:ind w:left="1037" w:hanging="357"/>
    </w:pPr>
  </w:style>
  <w:style w:type="paragraph" w:styleId="ListBullet4">
    <w:name w:val="List Bullet 4"/>
    <w:basedOn w:val="List4"/>
    <w:rsid w:val="000C638B"/>
    <w:pPr>
      <w:numPr>
        <w:numId w:val="3"/>
      </w:numPr>
    </w:pPr>
  </w:style>
  <w:style w:type="paragraph" w:styleId="ListBullet5">
    <w:name w:val="List Bullet 5"/>
    <w:basedOn w:val="List5"/>
    <w:rsid w:val="000C638B"/>
    <w:pPr>
      <w:numPr>
        <w:numId w:val="4"/>
      </w:numPr>
    </w:pPr>
  </w:style>
  <w:style w:type="paragraph" w:styleId="ListContinue2">
    <w:name w:val="List Continue 2"/>
    <w:basedOn w:val="List2"/>
    <w:rsid w:val="000C638B"/>
    <w:pPr>
      <w:ind w:firstLine="0"/>
    </w:pPr>
  </w:style>
  <w:style w:type="paragraph" w:styleId="ListContinue3">
    <w:name w:val="List Continue 3"/>
    <w:basedOn w:val="List3"/>
    <w:rsid w:val="000C638B"/>
    <w:pPr>
      <w:ind w:left="1021" w:firstLine="0"/>
    </w:pPr>
  </w:style>
  <w:style w:type="paragraph" w:styleId="ListContinue4">
    <w:name w:val="List Continue 4"/>
    <w:basedOn w:val="List4"/>
    <w:rsid w:val="000C638B"/>
    <w:pPr>
      <w:ind w:firstLine="0"/>
    </w:pPr>
  </w:style>
  <w:style w:type="paragraph" w:styleId="ListContinue5">
    <w:name w:val="List Continue 5"/>
    <w:basedOn w:val="List5"/>
    <w:rsid w:val="000C638B"/>
    <w:pPr>
      <w:ind w:firstLine="0"/>
    </w:pPr>
  </w:style>
  <w:style w:type="paragraph" w:styleId="ListNumber3">
    <w:name w:val="List Number 3"/>
    <w:basedOn w:val="List3"/>
    <w:rsid w:val="000C638B"/>
    <w:pPr>
      <w:numPr>
        <w:numId w:val="5"/>
      </w:numPr>
    </w:pPr>
  </w:style>
  <w:style w:type="paragraph" w:styleId="ListNumber4">
    <w:name w:val="List Number 4"/>
    <w:basedOn w:val="List4"/>
    <w:rsid w:val="000C638B"/>
    <w:pPr>
      <w:numPr>
        <w:numId w:val="6"/>
      </w:numPr>
    </w:pPr>
  </w:style>
  <w:style w:type="paragraph" w:styleId="ListNumber5">
    <w:name w:val="List Number 5"/>
    <w:basedOn w:val="List5"/>
    <w:rsid w:val="000C638B"/>
    <w:pPr>
      <w:numPr>
        <w:numId w:val="7"/>
      </w:numPr>
    </w:pPr>
  </w:style>
  <w:style w:type="paragraph" w:styleId="BlockText">
    <w:name w:val="Block Text"/>
    <w:basedOn w:val="Normal"/>
    <w:rsid w:val="000C638B"/>
    <w:pPr>
      <w:spacing w:after="120"/>
      <w:ind w:left="1440" w:right="1440"/>
    </w:pPr>
  </w:style>
  <w:style w:type="character" w:customStyle="1" w:styleId="Subscript">
    <w:name w:val="Subscript"/>
    <w:basedOn w:val="DefaultParagraphFont"/>
    <w:rsid w:val="000C638B"/>
    <w:rPr>
      <w:sz w:val="16"/>
      <w:vertAlign w:val="subscript"/>
    </w:rPr>
  </w:style>
  <w:style w:type="character" w:customStyle="1" w:styleId="Superscript">
    <w:name w:val="Superscript"/>
    <w:basedOn w:val="DefaultParagraphFont"/>
    <w:rsid w:val="000C638B"/>
    <w:rPr>
      <w:sz w:val="16"/>
      <w:vertAlign w:val="superscript"/>
    </w:rPr>
  </w:style>
  <w:style w:type="character" w:customStyle="1" w:styleId="Symbols">
    <w:name w:val="Symbols"/>
    <w:basedOn w:val="DefaultParagraphFont"/>
    <w:rsid w:val="000C638B"/>
    <w:rPr>
      <w:rFonts w:ascii="Symbol" w:hAnsi="Symbol"/>
    </w:rPr>
  </w:style>
  <w:style w:type="character" w:customStyle="1" w:styleId="MenuOptions">
    <w:name w:val="Menu Options"/>
    <w:basedOn w:val="DefaultParagraphFont"/>
    <w:rsid w:val="000C638B"/>
    <w:rPr>
      <w:rFonts w:ascii="Arial Narrow" w:hAnsi="Arial Narrow"/>
      <w:smallCaps/>
    </w:rPr>
  </w:style>
  <w:style w:type="character" w:customStyle="1" w:styleId="Buttons">
    <w:name w:val="Buttons"/>
    <w:basedOn w:val="DefaultParagraphFont"/>
    <w:rsid w:val="000C638B"/>
    <w:rPr>
      <w:b/>
    </w:rPr>
  </w:style>
  <w:style w:type="character" w:customStyle="1" w:styleId="Underlined">
    <w:name w:val="Underlined"/>
    <w:basedOn w:val="DefaultParagraphFont"/>
    <w:rsid w:val="000C638B"/>
    <w:rPr>
      <w:u w:val="single"/>
    </w:rPr>
  </w:style>
  <w:style w:type="paragraph" w:customStyle="1" w:styleId="TableBodyTextRight">
    <w:name w:val="Table Body Text Right"/>
    <w:basedOn w:val="TableBodyText"/>
    <w:rsid w:val="000C638B"/>
    <w:pPr>
      <w:widowControl w:val="0"/>
      <w:autoSpaceDE w:val="0"/>
      <w:autoSpaceDN w:val="0"/>
      <w:adjustRightInd w:val="0"/>
      <w:jc w:val="right"/>
    </w:pPr>
    <w:rPr>
      <w:rFonts w:cs="Arial"/>
      <w:szCs w:val="18"/>
    </w:rPr>
  </w:style>
  <w:style w:type="paragraph" w:customStyle="1" w:styleId="CopyrightText">
    <w:name w:val="Copyright Text"/>
    <w:basedOn w:val="BodyText"/>
    <w:rsid w:val="000C638B"/>
    <w:rPr>
      <w:sz w:val="18"/>
    </w:rPr>
  </w:style>
  <w:style w:type="paragraph" w:customStyle="1" w:styleId="BodySmallRight">
    <w:name w:val="Body Small Right"/>
    <w:basedOn w:val="BodyTextRight"/>
    <w:rsid w:val="000C638B"/>
    <w:rPr>
      <w:sz w:val="18"/>
      <w:szCs w:val="18"/>
    </w:rPr>
  </w:style>
  <w:style w:type="paragraph" w:customStyle="1" w:styleId="MarginEdition">
    <w:name w:val="Margin Edition"/>
    <w:basedOn w:val="MarginNote"/>
    <w:rsid w:val="000C638B"/>
    <w:pPr>
      <w:spacing w:before="0" w:after="0"/>
    </w:pPr>
    <w:rPr>
      <w:rFonts w:ascii="Times New Roman" w:hAnsi="Times New Roman"/>
      <w:color w:val="999999"/>
    </w:rPr>
  </w:style>
  <w:style w:type="paragraph" w:customStyle="1" w:styleId="Spacer">
    <w:name w:val="Spacer"/>
    <w:basedOn w:val="Normal"/>
    <w:rsid w:val="000C638B"/>
    <w:rPr>
      <w:sz w:val="2"/>
      <w:szCs w:val="2"/>
    </w:rPr>
  </w:style>
  <w:style w:type="character" w:customStyle="1" w:styleId="Small">
    <w:name w:val="Small"/>
    <w:basedOn w:val="DefaultParagraphFont"/>
    <w:rsid w:val="000C638B"/>
    <w:rPr>
      <w:sz w:val="16"/>
    </w:rPr>
  </w:style>
  <w:style w:type="paragraph" w:customStyle="1" w:styleId="WideTable">
    <w:name w:val="Wide Table"/>
    <w:basedOn w:val="Normal"/>
    <w:rsid w:val="000C638B"/>
    <w:pPr>
      <w:ind w:left="-1418"/>
    </w:pPr>
    <w:rPr>
      <w:sz w:val="2"/>
      <w:szCs w:val="2"/>
    </w:rPr>
  </w:style>
  <w:style w:type="character" w:styleId="PageNumber">
    <w:name w:val="page number"/>
    <w:basedOn w:val="DefaultParagraphFont"/>
    <w:rsid w:val="000C638B"/>
  </w:style>
  <w:style w:type="paragraph" w:styleId="Quote">
    <w:name w:val="Quote"/>
    <w:basedOn w:val="Heading1"/>
    <w:link w:val="QuoteChar"/>
    <w:qFormat/>
    <w:rsid w:val="000C638B"/>
    <w:rPr>
      <w:b w:val="0"/>
      <w:sz w:val="72"/>
      <w:szCs w:val="72"/>
      <w:lang w:val="en-NZ"/>
    </w:rPr>
  </w:style>
  <w:style w:type="character" w:customStyle="1" w:styleId="QuoteChar">
    <w:name w:val="Quote Char"/>
    <w:basedOn w:val="DefaultParagraphFont"/>
    <w:link w:val="Quote"/>
    <w:rsid w:val="000C63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38B"/>
    <w:pPr>
      <w:pageBreakBefore/>
    </w:pPr>
  </w:style>
  <w:style w:type="paragraph" w:customStyle="1" w:styleId="Border">
    <w:name w:val="Border"/>
    <w:basedOn w:val="Normal"/>
    <w:qFormat/>
    <w:rsid w:val="000C63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38B"/>
    <w:rPr>
      <w:b/>
      <w:bCs/>
      <w:i/>
      <w:iCs/>
      <w:color w:val="auto"/>
    </w:rPr>
  </w:style>
  <w:style w:type="paragraph" w:styleId="IntenseQuote">
    <w:name w:val="Intense Quote"/>
    <w:basedOn w:val="Normal"/>
    <w:next w:val="Normal"/>
    <w:link w:val="IntenseQuoteChar"/>
    <w:uiPriority w:val="30"/>
    <w:qFormat/>
    <w:rsid w:val="000C63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3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638B"/>
    <w:rPr>
      <w:smallCaps/>
      <w:color w:val="auto"/>
      <w:u w:val="single"/>
    </w:rPr>
  </w:style>
  <w:style w:type="character" w:styleId="IntenseReference">
    <w:name w:val="Intense Reference"/>
    <w:basedOn w:val="DefaultParagraphFont"/>
    <w:uiPriority w:val="32"/>
    <w:qFormat/>
    <w:rsid w:val="000C638B"/>
    <w:rPr>
      <w:b/>
      <w:bCs/>
      <w:smallCaps/>
      <w:color w:val="auto"/>
      <w:spacing w:val="5"/>
      <w:u w:val="single"/>
    </w:rPr>
  </w:style>
  <w:style w:type="paragraph" w:customStyle="1" w:styleId="2ColumnHeading">
    <w:name w:val="2Column Heading"/>
    <w:basedOn w:val="BodyText"/>
    <w:qFormat/>
    <w:rsid w:val="000C638B"/>
    <w:pPr>
      <w:spacing w:after="60"/>
      <w:ind w:left="-2268"/>
    </w:pPr>
    <w:rPr>
      <w:b/>
    </w:rPr>
  </w:style>
  <w:style w:type="paragraph" w:customStyle="1" w:styleId="Heading1TOC">
    <w:name w:val="Heading1 TOC"/>
    <w:basedOn w:val="Normal"/>
    <w:qFormat/>
    <w:rsid w:val="000C638B"/>
    <w:pPr>
      <w:spacing w:before="240" w:after="120"/>
    </w:pPr>
    <w:rPr>
      <w:rFonts w:ascii="Times New Roman" w:hAnsi="Times New Roman"/>
      <w:b/>
      <w:sz w:val="32"/>
    </w:rPr>
  </w:style>
  <w:style w:type="paragraph" w:customStyle="1" w:styleId="Heading2TOC">
    <w:name w:val="Heading2 TOC"/>
    <w:basedOn w:val="Normal"/>
    <w:qFormat/>
    <w:rsid w:val="000C638B"/>
    <w:pPr>
      <w:spacing w:before="240" w:after="60"/>
    </w:pPr>
    <w:rPr>
      <w:rFonts w:ascii="Times New Roman" w:hAnsi="Times New Roman"/>
      <w:b/>
      <w:sz w:val="28"/>
    </w:rPr>
  </w:style>
  <w:style w:type="character" w:customStyle="1" w:styleId="Underline">
    <w:name w:val="Underline"/>
    <w:basedOn w:val="DefaultParagraphFont"/>
    <w:qFormat/>
    <w:rsid w:val="000C638B"/>
    <w:rPr>
      <w:u w:val="single"/>
    </w:rPr>
  </w:style>
  <w:style w:type="paragraph" w:styleId="BalloonText">
    <w:name w:val="Balloon Text"/>
    <w:basedOn w:val="Normal"/>
    <w:link w:val="BalloonTextChar"/>
    <w:rsid w:val="000C638B"/>
    <w:rPr>
      <w:rFonts w:ascii="Tahoma" w:hAnsi="Tahoma" w:cs="Tahoma"/>
      <w:sz w:val="16"/>
      <w:szCs w:val="16"/>
    </w:rPr>
  </w:style>
  <w:style w:type="character" w:customStyle="1" w:styleId="BalloonTextChar">
    <w:name w:val="Balloon Text Char"/>
    <w:basedOn w:val="DefaultParagraphFont"/>
    <w:link w:val="BalloonText"/>
    <w:rsid w:val="000C63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63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63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1832</Words>
  <Characters>12284</Characters>
  <Application>Microsoft Office Word</Application>
  <DocSecurity>0</DocSecurity>
  <Lines>426</Lines>
  <Paragraphs>218</Paragraphs>
  <ScaleCrop>false</ScaleCrop>
  <Company>Author-it Software Corporation Ltd.</Company>
  <LinksUpToDate>false</LinksUpToDate>
  <CharactersWithSpaces>14060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SFILEAD501C Develop and promote industry knowledge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2012-05-26T08:37:00Z</dcterms:created>
  <dcterms:modified xsi:type="dcterms:W3CDTF">2012-05-26T08:37:00Z</dcterms:modified>
</cp:coreProperties>
</file>