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A06" w:rsidP="00003A06">
      <w:pPr>
        <w:pStyle w:val="Title"/>
      </w:pPr>
      <w:bookmarkStart w:id="0" w:name="_GoBack"/>
      <w:bookmarkEnd w:id="0"/>
      <w:r>
        <w:fldChar w:fldCharType="begin"/>
      </w:r>
      <w:r>
        <w:instrText xml:space="preserve"> TITLE   \* MERGEFORMAT </w:instrText>
      </w:r>
      <w:r>
        <w:fldChar w:fldCharType="separate"/>
      </w:r>
      <w:r>
        <w:t>SFILEAD408A Analyse information to develop strategic seafood management options</w:t>
      </w:r>
      <w:r>
        <w:fldChar w:fldCharType="end"/>
      </w:r>
    </w:p>
    <w:p w:rsidR="00003A06" w:rsidP="00003A06">
      <w:pPr>
        <w:pStyle w:val="Version"/>
        <w:sectPr w:rsidSect="00E159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9DD" w:rsidP="00E159DD">
      <w:pPr>
        <w:pStyle w:val="SuperHeading"/>
      </w:pPr>
      <w:r w:rsidRPr="00E159DD">
        <w:t>SFILEAD408A Analyse information to develop strategic seafood management options</w:t>
      </w:r>
    </w:p>
    <w:p w:rsidR="00000000" w:rsidRPr="00E159DD" w:rsidP="00E159DD">
      <w:pPr>
        <w:pStyle w:val="Heading1"/>
      </w:pPr>
      <w:bookmarkStart w:id="1" w:name="O_273267"/>
      <w:bookmarkEnd w:id="1"/>
      <w:r w:rsidRPr="00E159DD">
        <w:t>Modification History</w:t>
      </w:r>
    </w:p>
    <w:p w:rsidR="00000000" w:rsidRPr="00E159DD" w:rsidP="00E159DD">
      <w:pPr>
        <w:pStyle w:val="BodyText"/>
      </w:pPr>
      <w:r w:rsidRPr="00E159DD">
        <w:t>Not Applicable</w:t>
      </w:r>
    </w:p>
    <w:p w:rsidR="00000000" w:rsidRPr="00E159DD" w:rsidP="00E159DD">
      <w:pPr>
        <w:pStyle w:val="AllowPageBreak"/>
      </w:pPr>
    </w:p>
    <w:p w:rsidR="00000000" w:rsidRPr="00E159DD" w:rsidP="00E159DD">
      <w:pPr>
        <w:pStyle w:val="Heading1"/>
      </w:pPr>
      <w:bookmarkStart w:id="2" w:name="O_218360"/>
      <w:bookmarkEnd w:id="2"/>
      <w:r w:rsidRPr="00E159DD">
        <w:t>Unit Descriptor</w:t>
      </w:r>
    </w:p>
    <w:tbl>
      <w:tblPr>
        <w:tblW w:w="0" w:type="auto"/>
        <w:tblLayout w:type="fixed"/>
        <w:tblCellMar>
          <w:left w:w="62" w:type="dxa"/>
          <w:right w:w="62" w:type="dxa"/>
        </w:tblCellMar>
        <w:tblLook w:val="0000"/>
      </w:tblPr>
      <w:tblGrid>
        <w:gridCol w:w="2660"/>
        <w:gridCol w:w="5862"/>
      </w:tblGrid>
      <w:tr w:rsidTr="00003A06">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U</w:t>
            </w:r>
            <w:r w:rsidRPr="00E159DD">
              <w:rPr>
                <w:rStyle w:val="SpecialBold"/>
              </w:rPr>
              <w:t>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r w:rsidRPr="00E159DD">
              <w:t>This unit of competency deals with the capability of a resource management group member or committee participant to support the achievement of ecologically sustainable development (ESD) strategies for their sector's resources. In analysing i</w:t>
            </w:r>
            <w:r w:rsidRPr="00E159DD">
              <w:t xml:space="preserve">nformation, the resource management group member or committee participant is expected to take into account the legitimate interests of other stakeholders, and to recognise any limitations in scientific data or other information relating to changes or risk </w:t>
            </w:r>
            <w:r w:rsidRPr="00E159DD">
              <w:t>to ecosystems.</w:t>
            </w:r>
          </w:p>
          <w:p w:rsidR="00000000" w:rsidRPr="00E159DD" w:rsidP="00E159DD">
            <w:pPr>
              <w:pStyle w:val="BodyText"/>
            </w:pPr>
            <w:r w:rsidRPr="00E159DD">
              <w:t>No licensing, legislative, regulatory or certification requirements apply to this unit at the time of publication.</w:t>
            </w:r>
          </w:p>
        </w:tc>
      </w:tr>
    </w:tbl>
    <w:p w:rsidR="00003A06" w:rsidP="00E159DD">
      <w:pPr>
        <w:pStyle w:val="BodyText"/>
      </w:pPr>
    </w:p>
    <w:p w:rsidR="00003A06" w:rsidP="00E159DD">
      <w:pPr>
        <w:pStyle w:val="BodyText"/>
      </w:pPr>
    </w:p>
    <w:p w:rsidR="00000000" w:rsidRPr="00E159DD" w:rsidP="00E159DD">
      <w:pPr>
        <w:pStyle w:val="Heading1"/>
      </w:pPr>
      <w:bookmarkStart w:id="3" w:name="O_218364"/>
      <w:bookmarkEnd w:id="3"/>
      <w:r w:rsidRPr="00E159DD">
        <w:t>Application of the Unit</w:t>
      </w:r>
    </w:p>
    <w:tbl>
      <w:tblPr>
        <w:tblW w:w="0" w:type="auto"/>
        <w:tblLayout w:type="fixed"/>
        <w:tblCellMar>
          <w:left w:w="62" w:type="dxa"/>
          <w:right w:w="62" w:type="dxa"/>
        </w:tblCellMar>
        <w:tblLook w:val="0000"/>
      </w:tblPr>
      <w:tblGrid>
        <w:gridCol w:w="2755"/>
        <w:gridCol w:w="5767"/>
      </w:tblGrid>
      <w:tr w:rsidTr="00003A06">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r w:rsidRPr="00E159DD">
              <w:t>This unit has application for seafood industry stakeholders who represent their industry sector in natural resource management groups, and other public and industry forums. This unit is one of six sector leadership units at Certificate IV level. The leader</w:t>
            </w:r>
            <w:r w:rsidRPr="00E159DD">
              <w:t>ship units are undertaken as a group and are listed as a Skill Set in the SFI10 Seafood Industry Training Package.</w:t>
            </w:r>
          </w:p>
        </w:tc>
      </w:tr>
    </w:tbl>
    <w:p w:rsidR="00003A06" w:rsidP="00E159DD">
      <w:pPr>
        <w:pStyle w:val="BodyText"/>
      </w:pPr>
    </w:p>
    <w:p w:rsidR="00003A06" w:rsidP="00E159DD">
      <w:pPr>
        <w:pStyle w:val="BodyText"/>
      </w:pPr>
    </w:p>
    <w:p w:rsidR="00000000" w:rsidRPr="00E159DD" w:rsidP="00E159DD">
      <w:pPr>
        <w:pStyle w:val="Heading1"/>
      </w:pPr>
      <w:bookmarkStart w:id="4" w:name="O_281527"/>
      <w:bookmarkEnd w:id="4"/>
      <w:r w:rsidRPr="00E159DD">
        <w:t>Licensing/Regulatory Information</w:t>
      </w:r>
    </w:p>
    <w:p w:rsidR="00000000" w:rsidRPr="00E159DD" w:rsidP="00E159DD">
      <w:pPr>
        <w:pStyle w:val="BodyText"/>
      </w:pPr>
      <w:r w:rsidRPr="00E159DD">
        <w:t>Refer to Unit Descriptor</w:t>
      </w:r>
    </w:p>
    <w:p w:rsidR="00000000" w:rsidRPr="00E159DD" w:rsidP="00E159DD">
      <w:pPr>
        <w:pStyle w:val="AllowPageBreak"/>
      </w:pPr>
    </w:p>
    <w:p w:rsidR="00000000" w:rsidRPr="00E159DD" w:rsidP="00E159DD">
      <w:pPr>
        <w:pStyle w:val="Heading1"/>
      </w:pPr>
      <w:bookmarkStart w:id="5" w:name="O_218362"/>
      <w:bookmarkEnd w:id="5"/>
      <w:r w:rsidRPr="00E159DD">
        <w:t>Pre-Requisites</w:t>
      </w:r>
    </w:p>
    <w:tbl>
      <w:tblPr>
        <w:tblW w:w="0" w:type="auto"/>
        <w:tblLayout w:type="fixed"/>
        <w:tblCellMar>
          <w:left w:w="62" w:type="dxa"/>
          <w:right w:w="62" w:type="dxa"/>
        </w:tblCellMar>
        <w:tblLook w:val="0000"/>
      </w:tblPr>
      <w:tblGrid>
        <w:gridCol w:w="2775"/>
        <w:gridCol w:w="1295"/>
        <w:gridCol w:w="4452"/>
      </w:tblGrid>
      <w:tr w:rsidTr="00003A0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p>
        </w:tc>
      </w:tr>
      <w:tr w:rsidTr="00003A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p>
        </w:tc>
      </w:tr>
      <w:tr w:rsidTr="00003A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p>
        </w:tc>
      </w:tr>
    </w:tbl>
    <w:p w:rsidR="00003A06" w:rsidP="00E159DD">
      <w:pPr>
        <w:pStyle w:val="BodyText"/>
      </w:pPr>
    </w:p>
    <w:p w:rsidR="00003A06" w:rsidP="00E159DD">
      <w:pPr>
        <w:pStyle w:val="BodyText"/>
      </w:pPr>
    </w:p>
    <w:p w:rsidR="00000000" w:rsidRPr="00E159DD" w:rsidP="00E159DD">
      <w:pPr>
        <w:pStyle w:val="Heading1"/>
      </w:pPr>
      <w:bookmarkStart w:id="6" w:name="O_218361"/>
      <w:bookmarkEnd w:id="6"/>
      <w:r w:rsidRPr="00E159DD">
        <w:t>Employability Skills Information</w:t>
      </w:r>
    </w:p>
    <w:tbl>
      <w:tblPr>
        <w:tblW w:w="0" w:type="auto"/>
        <w:tblLayout w:type="fixed"/>
        <w:tblCellMar>
          <w:left w:w="62" w:type="dxa"/>
          <w:right w:w="62" w:type="dxa"/>
        </w:tblCellMar>
        <w:tblLook w:val="0000"/>
      </w:tblPr>
      <w:tblGrid>
        <w:gridCol w:w="2802"/>
        <w:gridCol w:w="5720"/>
      </w:tblGrid>
      <w:tr w:rsidTr="00003A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r w:rsidRPr="00E159DD">
              <w:t>This unit contains employability skills.</w:t>
            </w:r>
          </w:p>
        </w:tc>
      </w:tr>
    </w:tbl>
    <w:p w:rsidR="00003A06" w:rsidP="00E159DD">
      <w:pPr>
        <w:pStyle w:val="BodyText"/>
      </w:pPr>
    </w:p>
    <w:p w:rsidR="00003A06" w:rsidP="00E159DD">
      <w:pPr>
        <w:pStyle w:val="BodyText"/>
      </w:pPr>
    </w:p>
    <w:p w:rsidR="00000000" w:rsidRPr="00E159DD" w:rsidP="00E159DD">
      <w:pPr>
        <w:pStyle w:val="Heading1"/>
      </w:pPr>
      <w:bookmarkStart w:id="7" w:name="O_291313"/>
      <w:bookmarkEnd w:id="7"/>
      <w:r w:rsidRPr="00E159DD">
        <w:t>Elements and Performance Criteria Pre-Content</w:t>
      </w:r>
    </w:p>
    <w:tbl>
      <w:tblPr>
        <w:tblW w:w="0" w:type="auto"/>
        <w:tblLayout w:type="fixed"/>
        <w:tblCellMar>
          <w:left w:w="62" w:type="dxa"/>
          <w:right w:w="62" w:type="dxa"/>
        </w:tblCellMar>
        <w:tblLook w:val="0000"/>
      </w:tblPr>
      <w:tblGrid>
        <w:gridCol w:w="2556"/>
        <w:gridCol w:w="5966"/>
      </w:tblGrid>
      <w:tr w:rsidTr="00003A0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r w:rsidRPr="00E159DD">
              <w:t>Performance criteria describe the performance needed to demonstrate achievement of the element. Where bold italicised text is used, further information is detailed in the required skills and knowledge section and the range statement. Assessment of performa</w:t>
            </w:r>
            <w:r w:rsidRPr="00E159DD">
              <w:t>nce is to be consistent with the evidence guide.</w:t>
            </w:r>
          </w:p>
        </w:tc>
      </w:tr>
    </w:tbl>
    <w:p w:rsidR="00000000" w:rsidRPr="00E159DD" w:rsidP="00E159DD">
      <w:pPr>
        <w:pStyle w:val="BodyText"/>
      </w:pPr>
    </w:p>
    <w:p w:rsidR="00000000" w:rsidRPr="00E159DD" w:rsidP="00E159DD">
      <w:pPr>
        <w:pStyle w:val="AllowPageBreak"/>
      </w:pPr>
    </w:p>
    <w:p w:rsidR="00000000" w:rsidRPr="00E159DD" w:rsidP="00E159DD">
      <w:pPr>
        <w:pStyle w:val="Heading1"/>
      </w:pPr>
      <w:bookmarkStart w:id="8" w:name="O_237981"/>
      <w:bookmarkEnd w:id="8"/>
      <w:r w:rsidRPr="00E159DD">
        <w:t>Elements and Performance Criteria</w:t>
      </w:r>
    </w:p>
    <w:tbl>
      <w:tblPr>
        <w:tblW w:w="0" w:type="auto"/>
        <w:tblLayout w:type="fixed"/>
        <w:tblCellMar>
          <w:left w:w="62" w:type="dxa"/>
          <w:right w:w="62" w:type="dxa"/>
        </w:tblCellMar>
        <w:tblLook w:val="0000"/>
      </w:tblPr>
      <w:tblGrid>
        <w:gridCol w:w="2556"/>
        <w:gridCol w:w="5966"/>
      </w:tblGrid>
      <w:tr w:rsidTr="00003A06">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r w:rsidRPr="00E159DD">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PERFORMANCE CRITERIA</w:t>
            </w:r>
          </w:p>
        </w:tc>
      </w:tr>
      <w:tr w:rsidTr="00003A0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List"/>
              <w:rPr>
                <w:lang w:val="en-NZ"/>
              </w:rPr>
            </w:pPr>
            <w:r w:rsidRPr="00E159DD">
              <w:t>1.</w:t>
            </w:r>
            <w:r w:rsidRPr="00E159DD">
              <w:tab/>
              <w:t>Analyse meeting papers and other information prior to meetings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List2"/>
            </w:pPr>
            <w:r w:rsidRPr="00E159DD">
              <w:t>1.1.</w:t>
            </w:r>
            <w:r w:rsidRPr="00E159DD">
              <w:tab/>
              <w:t xml:space="preserve">Available </w:t>
            </w:r>
            <w:r w:rsidRPr="00E159DD">
              <w:rPr>
                <w:rStyle w:val="BoldandItalics"/>
              </w:rPr>
              <w:t>information</w:t>
            </w:r>
            <w:r w:rsidRPr="00E159DD">
              <w:t xml:space="preserve"> is assessed for key points, </w:t>
            </w:r>
            <w:r w:rsidRPr="00E159DD">
              <w:t>assumptions and recommendations.</w:t>
            </w:r>
          </w:p>
          <w:p w:rsidR="00000000" w:rsidRPr="00E159DD" w:rsidP="00E159DD">
            <w:pPr>
              <w:pStyle w:val="List2"/>
            </w:pPr>
            <w:r w:rsidRPr="00E159DD">
              <w:t>1.2.</w:t>
            </w:r>
            <w:r w:rsidRPr="00E159DD">
              <w:tab/>
              <w:t>Questions to clarify critical information and advice are developed in readiness for meetings.</w:t>
            </w:r>
          </w:p>
          <w:p w:rsidR="00000000" w:rsidRPr="00E159DD" w:rsidP="00E159DD">
            <w:pPr>
              <w:pStyle w:val="List2"/>
            </w:pPr>
            <w:r w:rsidRPr="00E159DD">
              <w:t>1.3.</w:t>
            </w:r>
            <w:r w:rsidRPr="00E159DD">
              <w:tab/>
              <w:t>Additional specialist advice is sought, where necessary.</w:t>
            </w:r>
          </w:p>
          <w:p w:rsidR="00000000" w:rsidP="00E159DD">
            <w:pPr>
              <w:pStyle w:val="List2"/>
              <w:rPr>
                <w:lang w:val="en-NZ"/>
              </w:rPr>
            </w:pPr>
            <w:r w:rsidRPr="00E159DD">
              <w:t>1.4.</w:t>
            </w:r>
            <w:r w:rsidRPr="00E159DD">
              <w:tab/>
              <w:t xml:space="preserve">Viewpoints expressed by all </w:t>
            </w:r>
            <w:r w:rsidRPr="00E159DD">
              <w:rPr>
                <w:rStyle w:val="BoldandItalics"/>
              </w:rPr>
              <w:t>stakeholders and other organi</w:t>
            </w:r>
            <w:r w:rsidRPr="00E159DD">
              <w:rPr>
                <w:rStyle w:val="BoldandItalics"/>
              </w:rPr>
              <w:t>sations</w:t>
            </w:r>
            <w:r w:rsidRPr="00E159DD">
              <w:t xml:space="preserve"> are interpreted from a broad industry perspective. </w:t>
            </w:r>
          </w:p>
        </w:tc>
      </w:tr>
      <w:tr w:rsidTr="00003A0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List"/>
              <w:rPr>
                <w:lang w:val="en-NZ"/>
              </w:rPr>
            </w:pPr>
            <w:r w:rsidRPr="00E159DD">
              <w:t>2.</w:t>
            </w:r>
            <w:r w:rsidRPr="00E159DD">
              <w:tab/>
              <w:t>Prepare realistic positions and supporting arguments in advance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List2"/>
            </w:pPr>
            <w:r w:rsidRPr="00E159DD">
              <w:t>2.1.</w:t>
            </w:r>
            <w:r w:rsidRPr="00E159DD">
              <w:tab/>
              <w:t xml:space="preserve">The implications of the available information and any proposed strategies for the participant's sector are assessed. </w:t>
            </w:r>
          </w:p>
          <w:p w:rsidR="00000000" w:rsidRPr="00E159DD" w:rsidP="00E159DD">
            <w:pPr>
              <w:pStyle w:val="List2"/>
            </w:pPr>
            <w:r w:rsidRPr="00E159DD">
              <w:t>2.2.</w:t>
            </w:r>
            <w:r w:rsidRPr="00E159DD">
              <w:tab/>
            </w:r>
            <w:r w:rsidRPr="00E159DD">
              <w:t xml:space="preserve">The likely expectations and points of negotiation of other </w:t>
            </w:r>
            <w:r w:rsidRPr="00E159DD">
              <w:rPr>
                <w:rStyle w:val="BoldandItalics"/>
              </w:rPr>
              <w:t>participants</w:t>
            </w:r>
            <w:r w:rsidRPr="00E159DD">
              <w:t xml:space="preserve"> are determined.</w:t>
            </w:r>
          </w:p>
          <w:p w:rsidR="00000000" w:rsidRPr="00E159DD" w:rsidP="00E159DD">
            <w:pPr>
              <w:pStyle w:val="List2"/>
            </w:pPr>
            <w:r w:rsidRPr="00E159DD">
              <w:t>2.3.</w:t>
            </w:r>
            <w:r w:rsidRPr="00E159DD">
              <w:tab/>
              <w:t xml:space="preserve">Logical and </w:t>
            </w:r>
            <w:r w:rsidRPr="00E159DD">
              <w:rPr>
                <w:rStyle w:val="BoldandItalics"/>
              </w:rPr>
              <w:t>balanced conclusions</w:t>
            </w:r>
            <w:r w:rsidRPr="00E159DD">
              <w:t xml:space="preserve"> are drawn from the available information. </w:t>
            </w:r>
          </w:p>
          <w:p w:rsidR="00000000" w:rsidP="00E159DD">
            <w:pPr>
              <w:pStyle w:val="List2"/>
              <w:rPr>
                <w:lang w:val="en-NZ"/>
              </w:rPr>
            </w:pPr>
            <w:r w:rsidRPr="00E159DD">
              <w:t>2.4.</w:t>
            </w:r>
            <w:r w:rsidRPr="00E159DD">
              <w:tab/>
              <w:t xml:space="preserve">Practical and sustainable </w:t>
            </w:r>
            <w:r w:rsidRPr="00E159DD">
              <w:rPr>
                <w:rStyle w:val="BoldandItalics"/>
              </w:rPr>
              <w:t>resource management</w:t>
            </w:r>
            <w:r w:rsidRPr="00E159DD">
              <w:t xml:space="preserve"> </w:t>
            </w:r>
            <w:r w:rsidRPr="00E159DD">
              <w:rPr>
                <w:rStyle w:val="BoldandItalics"/>
              </w:rPr>
              <w:t>options</w:t>
            </w:r>
            <w:r w:rsidRPr="00E159DD">
              <w:t xml:space="preserve"> are planned from a broad ind</w:t>
            </w:r>
            <w:r w:rsidRPr="00E159DD">
              <w:t xml:space="preserve">ustry perspective. </w:t>
            </w:r>
          </w:p>
        </w:tc>
      </w:tr>
      <w:tr w:rsidTr="00003A06">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List"/>
              <w:rPr>
                <w:lang w:val="en-NZ"/>
              </w:rPr>
            </w:pPr>
            <w:r w:rsidRPr="00E159DD">
              <w:t>3.</w:t>
            </w:r>
            <w:r w:rsidRPr="00E159DD">
              <w:tab/>
              <w:t>Propose strategic approaches to resource management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List2"/>
            </w:pPr>
            <w:r w:rsidRPr="00E159DD">
              <w:t>3.1.</w:t>
            </w:r>
            <w:r w:rsidRPr="00E159DD">
              <w:tab/>
              <w:t>Input to management plans is constructive and sympathetic to the interests of all stakeholders.</w:t>
            </w:r>
          </w:p>
          <w:p w:rsidR="00000000" w:rsidRPr="00E159DD" w:rsidP="00E159DD">
            <w:pPr>
              <w:pStyle w:val="List2"/>
            </w:pPr>
            <w:r w:rsidRPr="00E159DD">
              <w:t>3.2.</w:t>
            </w:r>
            <w:r w:rsidRPr="00E159DD">
              <w:tab/>
            </w:r>
            <w:r w:rsidRPr="00E159DD">
              <w:t>The uncertainty and lack of precision of scientific and other information are appreciated and reflected in the selection of management strategies.</w:t>
            </w:r>
          </w:p>
          <w:p w:rsidR="00000000" w:rsidRPr="00E159DD" w:rsidP="00E159DD">
            <w:pPr>
              <w:pStyle w:val="List2"/>
            </w:pPr>
            <w:r w:rsidRPr="00E159DD">
              <w:t>3.3.</w:t>
            </w:r>
            <w:r w:rsidRPr="00E159DD">
              <w:tab/>
              <w:t>Performance indicators are proposed for preferred options that are consistent with the interest of the b</w:t>
            </w:r>
            <w:r w:rsidRPr="00E159DD">
              <w:t>road range of ecosystem users.</w:t>
            </w:r>
          </w:p>
        </w:tc>
      </w:tr>
    </w:tbl>
    <w:p w:rsidR="00003A06" w:rsidP="00E159DD">
      <w:pPr>
        <w:pStyle w:val="BodyText"/>
      </w:pPr>
    </w:p>
    <w:p w:rsidR="00003A06" w:rsidP="00E159DD">
      <w:pPr>
        <w:pStyle w:val="BodyText"/>
      </w:pPr>
    </w:p>
    <w:p w:rsidR="00000000" w:rsidRPr="00E159DD" w:rsidP="00E159DD">
      <w:pPr>
        <w:pStyle w:val="Heading1"/>
      </w:pPr>
      <w:bookmarkStart w:id="9" w:name="O_261772"/>
      <w:bookmarkEnd w:id="9"/>
      <w:r w:rsidRPr="00E159DD">
        <w:t>Required Skills and Knowledge</w:t>
      </w:r>
    </w:p>
    <w:tbl>
      <w:tblPr>
        <w:tblW w:w="0" w:type="auto"/>
        <w:tblLayout w:type="fixed"/>
        <w:tblCellMar>
          <w:left w:w="62" w:type="dxa"/>
          <w:right w:w="62" w:type="dxa"/>
        </w:tblCellMar>
        <w:tblLook w:val="0000"/>
      </w:tblPr>
      <w:tblGrid>
        <w:gridCol w:w="8522"/>
      </w:tblGrid>
      <w:tr w:rsidTr="00003A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REQUIRED SKILLS AND KNOWLEDGE</w:t>
            </w:r>
          </w:p>
        </w:tc>
      </w:tr>
      <w:tr w:rsidTr="00003A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t>This section describes the skills and knowledge required for this unit.</w:t>
            </w:r>
          </w:p>
        </w:tc>
      </w:tr>
      <w:tr w:rsidTr="00003A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Required skills</w:t>
            </w:r>
          </w:p>
        </w:tc>
      </w:tr>
      <w:tr w:rsidTr="00003A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ListBullet"/>
            </w:pPr>
            <w:r w:rsidRPr="00E159DD">
              <w:t>applying adaptive management strategies to reflect the uncertainty of scientific data</w:t>
            </w:r>
          </w:p>
          <w:p w:rsidR="00000000" w:rsidRPr="00E159DD" w:rsidP="00E159DD">
            <w:pPr>
              <w:pStyle w:val="ListBullet"/>
            </w:pPr>
            <w:r w:rsidRPr="00E159DD">
              <w:t>assessing a range of alternatives rather than choosing the easiest option</w:t>
            </w:r>
          </w:p>
          <w:p w:rsidR="00000000" w:rsidRPr="00E159DD" w:rsidP="00E159DD">
            <w:pPr>
              <w:pStyle w:val="ListBullet"/>
            </w:pPr>
            <w:r w:rsidRPr="00E159DD">
              <w:t>communicating industry visions and directions to other stakeholders</w:t>
            </w:r>
          </w:p>
          <w:p w:rsidR="00000000" w:rsidRPr="00E159DD" w:rsidP="00E159DD">
            <w:pPr>
              <w:pStyle w:val="ListBullet"/>
            </w:pPr>
            <w:r w:rsidRPr="00E159DD">
              <w:t>critically analysing information, summarising the key issues and making sense of them</w:t>
            </w:r>
          </w:p>
          <w:p w:rsidR="00000000" w:rsidRPr="00E159DD" w:rsidP="00E159DD">
            <w:pPr>
              <w:pStyle w:val="ListBullet"/>
            </w:pPr>
            <w:r w:rsidRPr="00E159DD">
              <w:t>developing solutions and practical strategies that are innovative</w:t>
            </w:r>
          </w:p>
          <w:p w:rsidR="00000000" w:rsidRPr="00E159DD" w:rsidP="00E159DD">
            <w:pPr>
              <w:pStyle w:val="ListBullet"/>
            </w:pPr>
            <w:r w:rsidRPr="00E159DD">
              <w:t>explaining ideas and concepts to a range of audiences</w:t>
            </w:r>
          </w:p>
          <w:p w:rsidR="00000000" w:rsidRPr="00E159DD" w:rsidP="00E159DD">
            <w:pPr>
              <w:pStyle w:val="ListBullet"/>
            </w:pPr>
            <w:r w:rsidRPr="00E159DD">
              <w:t>identifying changing circumstances and the need to</w:t>
            </w:r>
            <w:r w:rsidRPr="00E159DD">
              <w:t xml:space="preserve"> challenge current industry positions</w:t>
            </w:r>
          </w:p>
          <w:p w:rsidR="00000000" w:rsidRPr="00E159DD" w:rsidP="00E159DD">
            <w:pPr>
              <w:pStyle w:val="ListBullet"/>
            </w:pPr>
            <w:r w:rsidRPr="00E159DD">
              <w:t>interpreting complex information, including legislation, regulations, business plans, budgets, fisheries and other scientific research data</w:t>
            </w:r>
          </w:p>
          <w:p w:rsidR="00000000" w:rsidP="00E159DD">
            <w:pPr>
              <w:pStyle w:val="ListBullet"/>
              <w:rPr>
                <w:lang w:val="en-NZ"/>
              </w:rPr>
            </w:pPr>
            <w:r w:rsidRPr="00E159DD">
              <w:t>negotiating for consensus or compromise.</w:t>
            </w:r>
          </w:p>
        </w:tc>
      </w:tr>
      <w:tr w:rsidTr="00003A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Required knowledge</w:t>
            </w:r>
          </w:p>
        </w:tc>
      </w:tr>
      <w:tr w:rsidTr="00003A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ListBullet"/>
            </w:pPr>
            <w:r w:rsidRPr="00E159DD">
              <w:t>adaptive managem</w:t>
            </w:r>
            <w:r w:rsidRPr="00E159DD">
              <w:t>ent strategies</w:t>
            </w:r>
          </w:p>
          <w:p w:rsidR="00000000" w:rsidRPr="00E159DD" w:rsidP="00E159DD">
            <w:pPr>
              <w:pStyle w:val="ListBullet"/>
            </w:pPr>
            <w:r w:rsidRPr="00E159DD">
              <w:t>relevant government policies</w:t>
            </w:r>
          </w:p>
          <w:p w:rsidR="00000000" w:rsidRPr="00E159DD" w:rsidP="00E159DD">
            <w:pPr>
              <w:pStyle w:val="ListBullet"/>
            </w:pPr>
            <w:r w:rsidRPr="00E159DD">
              <w:t>impact of change on individuals, groups, organisations and industry</w:t>
            </w:r>
          </w:p>
          <w:p w:rsidR="00000000" w:rsidRPr="00E159DD" w:rsidP="00E159DD">
            <w:pPr>
              <w:pStyle w:val="ListBullet"/>
            </w:pPr>
            <w:r w:rsidRPr="00E159DD">
              <w:t>policy development and budget processes at commonwealth, state or territory and local level</w:t>
            </w:r>
          </w:p>
          <w:p w:rsidR="00000000" w:rsidRPr="00E159DD" w:rsidP="00E159DD">
            <w:pPr>
              <w:pStyle w:val="ListBullet"/>
            </w:pPr>
            <w:r w:rsidRPr="00E159DD">
              <w:t>political parties, platforms and processes</w:t>
            </w:r>
          </w:p>
          <w:p w:rsidR="00000000" w:rsidRPr="00E159DD" w:rsidP="00E159DD">
            <w:pPr>
              <w:pStyle w:val="ListBullet"/>
            </w:pPr>
            <w:r w:rsidRPr="00E159DD">
              <w:t xml:space="preserve">relevant </w:t>
            </w:r>
            <w:r w:rsidRPr="00E159DD">
              <w:t>developments in other industries and sectors</w:t>
            </w:r>
          </w:p>
          <w:p w:rsidR="00000000" w:rsidRPr="00E159DD" w:rsidP="00E159DD">
            <w:pPr>
              <w:pStyle w:val="ListBullet"/>
            </w:pPr>
            <w:r w:rsidRPr="00E159DD">
              <w:t>relevant legislation, regulations and international treaties and agreements</w:t>
            </w:r>
          </w:p>
          <w:p w:rsidR="00000000" w:rsidRPr="00E159DD" w:rsidP="00E159DD">
            <w:pPr>
              <w:pStyle w:val="ListBullet"/>
            </w:pPr>
            <w:r w:rsidRPr="00E159DD">
              <w:t>resource management options</w:t>
            </w:r>
          </w:p>
          <w:p w:rsidR="00000000" w:rsidRPr="00E159DD" w:rsidP="00E159DD">
            <w:pPr>
              <w:pStyle w:val="ListBullet"/>
            </w:pPr>
            <w:r w:rsidRPr="00E159DD">
              <w:t>strategies for consulting and gaining support for industry positions.</w:t>
            </w:r>
          </w:p>
        </w:tc>
      </w:tr>
    </w:tbl>
    <w:p w:rsidR="00003A06" w:rsidP="00E159DD">
      <w:pPr>
        <w:pStyle w:val="BodyText"/>
      </w:pPr>
    </w:p>
    <w:p w:rsidR="00003A06" w:rsidP="00E159DD">
      <w:pPr>
        <w:pStyle w:val="BodyText"/>
      </w:pPr>
    </w:p>
    <w:p w:rsidR="00000000" w:rsidRPr="00E159DD" w:rsidP="00E159DD">
      <w:pPr>
        <w:pStyle w:val="AllowPageBreak"/>
      </w:pPr>
    </w:p>
    <w:p w:rsidR="00000000" w:rsidRPr="00E159DD" w:rsidP="00E159DD">
      <w:pPr>
        <w:pStyle w:val="Heading1"/>
      </w:pPr>
      <w:bookmarkStart w:id="10" w:name="O_245965"/>
      <w:bookmarkEnd w:id="10"/>
      <w:r w:rsidRPr="00E159DD">
        <w:t>Evidence Guide</w:t>
      </w:r>
    </w:p>
    <w:tbl>
      <w:tblPr>
        <w:tblW w:w="9570" w:type="dxa"/>
        <w:tblLayout w:type="fixed"/>
        <w:tblCellMar>
          <w:left w:w="62" w:type="dxa"/>
          <w:right w:w="62" w:type="dxa"/>
        </w:tblCellMar>
        <w:tblLook w:val="0000"/>
      </w:tblPr>
      <w:tblGrid>
        <w:gridCol w:w="3908"/>
        <w:gridCol w:w="5662"/>
      </w:tblGrid>
      <w:tr w:rsidTr="00003A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EVIDENCE GUIDE</w:t>
            </w:r>
          </w:p>
        </w:tc>
      </w:tr>
      <w:tr w:rsidTr="00003A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t>The evidence guide provides advice on assessment and must be read in conjunction with the performance criteria, required skills and knowledge, range statement and the Assessment Guidelines for the Training Package.</w:t>
            </w:r>
          </w:p>
        </w:tc>
      </w:tr>
      <w:tr w:rsidTr="00003A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p>
        </w:tc>
      </w:tr>
      <w:tr w:rsidTr="00003A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r w:rsidRPr="00E159DD">
              <w:t xml:space="preserve">Assessment must confirm the ability to: </w:t>
            </w:r>
          </w:p>
          <w:p w:rsidR="00000000" w:rsidRPr="00E159DD" w:rsidP="00E159DD">
            <w:pPr>
              <w:pStyle w:val="ListBullet"/>
            </w:pPr>
            <w:r w:rsidRPr="00E159DD">
              <w:t>analyse long-term trends to identify the need to change current industry policies and procedures</w:t>
            </w:r>
          </w:p>
          <w:p w:rsidR="00000000" w:rsidRPr="00E159DD" w:rsidP="00E159DD">
            <w:pPr>
              <w:pStyle w:val="ListBullet"/>
            </w:pPr>
            <w:r w:rsidRPr="00E159DD">
              <w:t>assess the implications of a particular course of action for other stakeholders and interest groups</w:t>
            </w:r>
          </w:p>
          <w:p w:rsidR="00000000" w:rsidRPr="00E159DD" w:rsidP="00E159DD">
            <w:pPr>
              <w:pStyle w:val="ListBullet"/>
            </w:pPr>
            <w:r w:rsidRPr="00E159DD">
              <w:t>canvass management strategies that reflect risk and the uncertainty of impacts on the ecosystem</w:t>
            </w:r>
          </w:p>
          <w:p w:rsidR="00000000" w:rsidRPr="00E159DD" w:rsidP="00E159DD">
            <w:pPr>
              <w:pStyle w:val="ListBullet"/>
            </w:pPr>
            <w:r w:rsidRPr="00E159DD">
              <w:t>challenge traditional thinking and solutions and seek proact</w:t>
            </w:r>
            <w:r w:rsidRPr="00E159DD">
              <w:t>ive and adaptive approaches</w:t>
            </w:r>
          </w:p>
          <w:p w:rsidR="00000000" w:rsidRPr="00E159DD" w:rsidP="00E159DD">
            <w:pPr>
              <w:pStyle w:val="ListBullet"/>
            </w:pPr>
            <w:r w:rsidRPr="00E159DD">
              <w:t>develop and promote practical action plans and strategies to achieve the industry's vision and goals</w:t>
            </w:r>
          </w:p>
          <w:p w:rsidR="00000000" w:rsidRPr="00E159DD" w:rsidP="00E159DD">
            <w:pPr>
              <w:pStyle w:val="ListBullet"/>
            </w:pPr>
            <w:r w:rsidRPr="00E159DD">
              <w:t>evaluate the potential outcomes of strategies in respect to achieving industry goals</w:t>
            </w:r>
          </w:p>
          <w:p w:rsidR="00000000" w:rsidRPr="00E159DD" w:rsidP="00E159DD">
            <w:pPr>
              <w:pStyle w:val="ListBullet"/>
            </w:pPr>
            <w:r w:rsidRPr="00E159DD">
              <w:t>identify current best practice in other in</w:t>
            </w:r>
            <w:r w:rsidRPr="00E159DD">
              <w:t>dustries and organisations (both within Australia and internationally)</w:t>
            </w:r>
          </w:p>
          <w:p w:rsidR="00000000" w:rsidRPr="00E159DD" w:rsidP="00E159DD">
            <w:pPr>
              <w:pStyle w:val="ListBullet"/>
            </w:pPr>
            <w:r w:rsidRPr="00E159DD">
              <w:t>identify opportunities for beneficial change</w:t>
            </w:r>
          </w:p>
          <w:p w:rsidR="00000000" w:rsidP="00E159DD">
            <w:pPr>
              <w:pStyle w:val="ListBullet"/>
              <w:rPr>
                <w:lang w:val="en-NZ"/>
              </w:rPr>
            </w:pPr>
            <w:r w:rsidRPr="00E159DD">
              <w:t>take a broad industry view that goes beyond sectors, organisations and individuals.</w:t>
            </w:r>
          </w:p>
        </w:tc>
      </w:tr>
      <w:tr w:rsidTr="00003A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t>Assess</w:t>
            </w:r>
            <w:r w:rsidRPr="00E159DD">
              <w:t xml:space="preserve">ment is to be conducted in the workplace or in a simulated work environment. </w:t>
            </w:r>
          </w:p>
        </w:tc>
      </w:tr>
      <w:tr w:rsidTr="00003A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r w:rsidRPr="00E159DD">
              <w:t xml:space="preserve">The following assessment methods are suggested: </w:t>
            </w:r>
          </w:p>
          <w:p w:rsidR="00000000" w:rsidRPr="00E159DD" w:rsidP="00E159DD">
            <w:pPr>
              <w:pStyle w:val="ListBullet"/>
            </w:pPr>
            <w:r w:rsidRPr="00E159DD">
              <w:t>feedback from stakeholders about the candidate's contribution to seafood management planning in the sector</w:t>
            </w:r>
          </w:p>
          <w:p w:rsidR="00000000" w:rsidRPr="00E159DD" w:rsidP="00E159DD">
            <w:pPr>
              <w:pStyle w:val="ListBullet"/>
            </w:pPr>
            <w:r w:rsidRPr="00E159DD">
              <w:t>interview and oral questioning</w:t>
            </w:r>
          </w:p>
          <w:p w:rsidR="00000000" w:rsidRPr="00E159DD" w:rsidP="00E159DD">
            <w:pPr>
              <w:pStyle w:val="ListBullet"/>
            </w:pPr>
            <w:r w:rsidRPr="00E159DD">
              <w:t>review of articles, reports, advice and other industry information written by the candidate</w:t>
            </w:r>
          </w:p>
          <w:p w:rsidR="00000000" w:rsidP="00E159DD">
            <w:pPr>
              <w:pStyle w:val="ListBullet"/>
              <w:rPr>
                <w:lang w:val="en-NZ"/>
              </w:rPr>
            </w:pPr>
            <w:r w:rsidRPr="00E159DD">
              <w:t>role-plays and responses to scenarios.</w:t>
            </w:r>
          </w:p>
        </w:tc>
      </w:tr>
      <w:tr w:rsidTr="00003A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r w:rsidRPr="00E159DD">
              <w:t>This unit may be assessed holistically with o</w:t>
            </w:r>
            <w:r w:rsidRPr="00E159DD">
              <w:t>ther SFILEAD (leadership) units within a Skill Set or qualification.</w:t>
            </w:r>
          </w:p>
        </w:tc>
      </w:tr>
    </w:tbl>
    <w:p w:rsidR="00003A06" w:rsidP="00E159DD">
      <w:pPr>
        <w:pStyle w:val="BodyText"/>
      </w:pPr>
    </w:p>
    <w:p w:rsidR="00003A06" w:rsidP="00E159DD">
      <w:pPr>
        <w:pStyle w:val="BodyText"/>
      </w:pPr>
    </w:p>
    <w:p w:rsidR="00000000" w:rsidRPr="00E159DD" w:rsidP="00E159DD">
      <w:pPr>
        <w:pStyle w:val="Heading1"/>
      </w:pPr>
      <w:bookmarkStart w:id="11" w:name="O_253948"/>
      <w:bookmarkEnd w:id="11"/>
      <w:r w:rsidRPr="00E159DD">
        <w:t>Range Statement</w:t>
      </w:r>
    </w:p>
    <w:tbl>
      <w:tblPr>
        <w:tblW w:w="0" w:type="auto"/>
        <w:tblLayout w:type="fixed"/>
        <w:tblCellMar>
          <w:left w:w="62" w:type="dxa"/>
          <w:right w:w="62" w:type="dxa"/>
        </w:tblCellMar>
        <w:tblLook w:val="0000"/>
      </w:tblPr>
      <w:tblGrid>
        <w:gridCol w:w="3463"/>
        <w:gridCol w:w="5059"/>
      </w:tblGrid>
      <w:tr w:rsidTr="00003A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RANGE STATEMENT</w:t>
            </w:r>
          </w:p>
        </w:tc>
      </w:tr>
      <w:tr w:rsidTr="00003A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t>The range statement relates to the unit of competency as a whole. It allows for different work environments and situations that may</w:t>
            </w:r>
            <w:r w:rsidRPr="00E159DD">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E159DD">
              <w:t xml:space="preserve"> the item, and local industry and regional contexts) may also be included.</w:t>
            </w:r>
          </w:p>
        </w:tc>
      </w:tr>
      <w:tr w:rsidTr="00003A06">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BoldandItalics"/>
              </w:rPr>
              <w:t>Information</w:t>
            </w:r>
            <w:r w:rsidRPr="00E159D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ListBullet"/>
            </w:pPr>
            <w:r w:rsidRPr="00E159DD">
              <w:t>discussion of issues:</w:t>
            </w:r>
          </w:p>
          <w:p w:rsidR="00000000" w:rsidRPr="00E159DD" w:rsidP="00E159DD">
            <w:pPr>
              <w:pStyle w:val="ListBullet2"/>
            </w:pPr>
            <w:r w:rsidRPr="00E159DD">
              <w:t>at port, sector, cooperative and community meetings</w:t>
            </w:r>
          </w:p>
          <w:p w:rsidR="00000000" w:rsidRPr="00E159DD" w:rsidP="00E159DD">
            <w:pPr>
              <w:pStyle w:val="ListBullet2"/>
            </w:pPr>
            <w:r w:rsidRPr="00E159DD">
              <w:t>with industry groups and government representatives</w:t>
            </w:r>
          </w:p>
          <w:p w:rsidR="00000000" w:rsidRPr="00E159DD" w:rsidP="00E159DD">
            <w:pPr>
              <w:pStyle w:val="ListBullet"/>
            </w:pPr>
            <w:r w:rsidRPr="00E159DD">
              <w:t>verbal information (e.g. face to face and telephone)</w:t>
            </w:r>
          </w:p>
          <w:p w:rsidR="00000000" w:rsidRPr="00E159DD" w:rsidP="00E159DD">
            <w:pPr>
              <w:pStyle w:val="ListBullet"/>
            </w:pPr>
            <w:r w:rsidRPr="00E159DD">
              <w:t>websites, Facebook, Twitter and other online networks</w:t>
            </w:r>
          </w:p>
          <w:p w:rsidR="00000000" w:rsidP="00E159DD">
            <w:pPr>
              <w:pStyle w:val="ListBullet"/>
              <w:rPr>
                <w:lang w:val="en-NZ"/>
              </w:rPr>
            </w:pPr>
            <w:r w:rsidRPr="00E159DD">
              <w:t>written information (electronic, SMS, memos, reports, newsletters, surveys, media releases, posters and brochures).</w:t>
            </w:r>
          </w:p>
        </w:tc>
      </w:tr>
      <w:tr w:rsidTr="00003A06">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BoldandItalics"/>
              </w:rPr>
              <w:t>Stakeholder and other organisations</w:t>
            </w:r>
            <w:r w:rsidRPr="00E159D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ListBullet"/>
            </w:pPr>
            <w:r w:rsidRPr="00E159DD">
              <w:t>Austrade and Department of Foreign Affairs</w:t>
            </w:r>
          </w:p>
          <w:p w:rsidR="00000000" w:rsidRPr="00E159DD" w:rsidP="00E159DD">
            <w:pPr>
              <w:pStyle w:val="ListBullet"/>
            </w:pPr>
            <w:r w:rsidRPr="00E159DD">
              <w:t>certification or accreditation bodies and third-party auditors</w:t>
            </w:r>
          </w:p>
          <w:p w:rsidR="00000000" w:rsidRPr="00E159DD" w:rsidP="00E159DD">
            <w:pPr>
              <w:pStyle w:val="ListBullet"/>
            </w:pPr>
            <w:r w:rsidRPr="00E159DD">
              <w:t>commercial fishing or aquatic groups</w:t>
            </w:r>
          </w:p>
          <w:p w:rsidR="00000000" w:rsidRPr="00E159DD" w:rsidP="00E159DD">
            <w:pPr>
              <w:pStyle w:val="ListBullet"/>
            </w:pPr>
            <w:r w:rsidRPr="00E159DD">
              <w:t>community representatives, local land holders and residents</w:t>
            </w:r>
          </w:p>
          <w:p w:rsidR="00000000" w:rsidRPr="00E159DD" w:rsidP="00E159DD">
            <w:pPr>
              <w:pStyle w:val="ListBullet"/>
            </w:pPr>
            <w:r w:rsidRPr="00E159DD">
              <w:t>cons</w:t>
            </w:r>
            <w:r w:rsidRPr="00E159DD">
              <w:t>ervation and environmental organisations, such as the Nature Conservation Council and the World Wide Fund for Nature</w:t>
            </w:r>
          </w:p>
          <w:p w:rsidR="00000000" w:rsidRPr="00E159DD" w:rsidP="00E159DD">
            <w:pPr>
              <w:pStyle w:val="ListBullet"/>
            </w:pPr>
            <w:r w:rsidRPr="00E159DD">
              <w:t>cooperatives, marketing bodies and associations</w:t>
            </w:r>
          </w:p>
          <w:p w:rsidR="00000000" w:rsidRPr="00E159DD" w:rsidP="00E159DD">
            <w:pPr>
              <w:pStyle w:val="ListBullet"/>
            </w:pPr>
            <w:r w:rsidRPr="00E159DD">
              <w:t>current and potential customers, clients and suppliers</w:t>
            </w:r>
          </w:p>
          <w:p w:rsidR="00000000" w:rsidRPr="00E159DD" w:rsidP="00E159DD">
            <w:pPr>
              <w:pStyle w:val="ListBullet"/>
            </w:pPr>
            <w:r w:rsidRPr="00E159DD">
              <w:t>ecosystem or resource management com</w:t>
            </w:r>
            <w:r w:rsidRPr="00E159DD">
              <w:t>mittees or advisory groups, including Management Advisory Committees (MACs), catchment management groups, Landcare, Bushcare, Coastcare and Seacare</w:t>
            </w:r>
          </w:p>
          <w:p w:rsidR="00000000" w:rsidRPr="00E159DD" w:rsidP="00E159DD">
            <w:pPr>
              <w:pStyle w:val="ListBullet"/>
            </w:pPr>
            <w:r w:rsidRPr="00E159DD">
              <w:t>employer, company directors and other professional associations</w:t>
            </w:r>
          </w:p>
          <w:p w:rsidR="00000000" w:rsidRPr="00E159DD" w:rsidP="00E159DD">
            <w:pPr>
              <w:pStyle w:val="ListBullet"/>
            </w:pPr>
            <w:r w:rsidRPr="00E159DD">
              <w:t>export promotion agencies, such as the Expor</w:t>
            </w:r>
            <w:r w:rsidRPr="00E159DD">
              <w:t>ters Club</w:t>
            </w:r>
          </w:p>
          <w:p w:rsidR="00000000" w:rsidRPr="00E159DD" w:rsidP="00E159DD">
            <w:pPr>
              <w:pStyle w:val="ListBullet"/>
            </w:pPr>
            <w:r w:rsidRPr="00E159DD">
              <w:t>government funding providers</w:t>
            </w:r>
          </w:p>
          <w:p w:rsidR="00000000" w:rsidRPr="00E159DD" w:rsidP="00E159DD">
            <w:pPr>
              <w:pStyle w:val="ListBullet"/>
            </w:pPr>
            <w:r w:rsidRPr="00E159DD">
              <w:t>Indigenous seafood or resource management groups and traditional fishing groups/cooperatives</w:t>
            </w:r>
          </w:p>
          <w:p w:rsidR="00000000" w:rsidRPr="00E159DD" w:rsidP="00E159DD">
            <w:pPr>
              <w:pStyle w:val="ListBullet"/>
            </w:pPr>
            <w:r w:rsidRPr="00E159DD">
              <w:t>media</w:t>
            </w:r>
          </w:p>
          <w:p w:rsidR="00000000" w:rsidRPr="00E159DD" w:rsidP="00E159DD">
            <w:pPr>
              <w:pStyle w:val="ListBullet"/>
            </w:pPr>
            <w:r w:rsidRPr="00E159DD">
              <w:t>ornamental, aquarium and other hobby groups</w:t>
            </w:r>
          </w:p>
          <w:p w:rsidR="00000000" w:rsidRPr="00E159DD" w:rsidP="00E159DD">
            <w:pPr>
              <w:pStyle w:val="ListBullet"/>
            </w:pPr>
            <w:r w:rsidRPr="00E159DD">
              <w:t>political organisations, politicians and ministerial advisors</w:t>
            </w:r>
          </w:p>
          <w:p w:rsidR="00000000" w:rsidRPr="00E159DD" w:rsidP="00E159DD">
            <w:pPr>
              <w:pStyle w:val="ListBullet"/>
            </w:pPr>
            <w:r w:rsidRPr="00E159DD">
              <w:t>professional</w:t>
            </w:r>
            <w:r w:rsidRPr="00E159DD">
              <w:t>, industry and state or territory representative bodies, including Seafood Experience Australia, National Aquaculture Council, Commonwealth Fisheries Association and Seafood Services Australia</w:t>
            </w:r>
          </w:p>
          <w:p w:rsidR="00000000" w:rsidRPr="00E159DD" w:rsidP="00E159DD">
            <w:pPr>
              <w:pStyle w:val="ListBullet"/>
            </w:pPr>
            <w:r w:rsidRPr="00E159DD">
              <w:t xml:space="preserve">relevant ministries, government departments (federal, state or </w:t>
            </w:r>
            <w:r w:rsidRPr="00E159DD">
              <w:t>territory and local) and other regulation authorities, such as Department of Agriculture, Forestry and Fisheries, Australian Fisheries Management Authority and Australian Aquaculture Inspection Service</w:t>
            </w:r>
          </w:p>
          <w:p w:rsidR="00000000" w:rsidRPr="00E159DD" w:rsidP="00E159DD">
            <w:pPr>
              <w:pStyle w:val="ListBullet"/>
            </w:pPr>
            <w:r w:rsidRPr="00E159DD">
              <w:t>research organisations, such as Australian Bureau of A</w:t>
            </w:r>
            <w:r w:rsidRPr="00E159DD">
              <w:t>gricultural Resource Economics and the Bureau of Rural Sciences</w:t>
            </w:r>
          </w:p>
          <w:p w:rsidR="00000000" w:rsidRPr="00E159DD" w:rsidP="00E159DD">
            <w:pPr>
              <w:pStyle w:val="ListBullet"/>
            </w:pPr>
            <w:r w:rsidRPr="00E159DD">
              <w:t>schools, registered training organisations (RTOs) and industry training centres, AgriFood Skills Australia Standing Committee and industry training advisory bodies (ITABs)</w:t>
            </w:r>
          </w:p>
          <w:p w:rsidR="00000000" w:rsidRPr="00E159DD" w:rsidP="00E159DD">
            <w:pPr>
              <w:pStyle w:val="ListBullet"/>
            </w:pPr>
            <w:r w:rsidRPr="00E159DD">
              <w:t>statutory authorities, such as the Fisheries Research and Development Corporation</w:t>
            </w:r>
          </w:p>
          <w:p w:rsidR="00000000" w:rsidRPr="00E159DD" w:rsidP="00E159DD">
            <w:pPr>
              <w:pStyle w:val="ListBullet"/>
            </w:pPr>
            <w:r w:rsidRPr="00E159DD">
              <w:t>surfing, recreational fishing and boating groups</w:t>
            </w:r>
          </w:p>
          <w:p w:rsidR="00000000" w:rsidP="00E159DD">
            <w:pPr>
              <w:pStyle w:val="ListBullet"/>
              <w:rPr>
                <w:lang w:val="en-NZ"/>
              </w:rPr>
            </w:pPr>
            <w:r w:rsidRPr="00E159DD">
              <w:t>unions.</w:t>
            </w:r>
          </w:p>
        </w:tc>
      </w:tr>
      <w:tr w:rsidTr="00003A06">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BoldandItalics"/>
              </w:rPr>
              <w:t>Participants</w:t>
            </w:r>
            <w:r w:rsidRPr="00E159D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ListBullet"/>
            </w:pPr>
            <w:r w:rsidRPr="00E159DD">
              <w:t>chairperson, who may be independent</w:t>
            </w:r>
          </w:p>
          <w:p w:rsidR="00000000" w:rsidRPr="00E159DD" w:rsidP="00E159DD">
            <w:pPr>
              <w:pStyle w:val="ListBullet"/>
            </w:pPr>
            <w:r w:rsidRPr="00E159DD">
              <w:t>commercial fisher seafood sector members</w:t>
            </w:r>
          </w:p>
          <w:p w:rsidR="00000000" w:rsidRPr="00E159DD" w:rsidP="00E159DD">
            <w:pPr>
              <w:pStyle w:val="ListBullet"/>
            </w:pPr>
            <w:r w:rsidRPr="00E159DD">
              <w:t>environment a</w:t>
            </w:r>
            <w:r w:rsidRPr="00E159DD">
              <w:t>nd conservation members</w:t>
            </w:r>
          </w:p>
          <w:p w:rsidR="00000000" w:rsidRPr="00E159DD" w:rsidP="00E159DD">
            <w:pPr>
              <w:pStyle w:val="ListBullet"/>
            </w:pPr>
            <w:r w:rsidRPr="00E159DD">
              <w:t>government or agency members, such as Australian Fisheries Management Authority representatives</w:t>
            </w:r>
          </w:p>
          <w:p w:rsidR="00000000" w:rsidRPr="00E159DD" w:rsidP="00E159DD">
            <w:pPr>
              <w:pStyle w:val="ListBullet"/>
            </w:pPr>
            <w:r w:rsidRPr="00E159DD">
              <w:t>other community or stakeholder members</w:t>
            </w:r>
          </w:p>
          <w:p w:rsidR="00000000" w:rsidRPr="00E159DD" w:rsidP="00E159DD">
            <w:pPr>
              <w:pStyle w:val="ListBullet"/>
            </w:pPr>
            <w:r w:rsidRPr="00E159DD">
              <w:t>recreational fisher or resource user members</w:t>
            </w:r>
          </w:p>
          <w:p w:rsidR="00000000" w:rsidRPr="00E159DD" w:rsidP="00E159DD">
            <w:pPr>
              <w:pStyle w:val="ListBullet"/>
            </w:pPr>
            <w:r w:rsidRPr="00E159DD">
              <w:t>research members</w:t>
            </w:r>
          </w:p>
          <w:p w:rsidR="00000000" w:rsidP="00E159DD">
            <w:pPr>
              <w:pStyle w:val="ListBullet"/>
              <w:rPr>
                <w:lang w:val="en-NZ"/>
              </w:rPr>
            </w:pPr>
            <w:r w:rsidRPr="00E159DD">
              <w:t>traditional fisher or resource user</w:t>
            </w:r>
            <w:r w:rsidRPr="00E159DD">
              <w:t xml:space="preserve"> members.</w:t>
            </w:r>
          </w:p>
        </w:tc>
      </w:tr>
      <w:tr w:rsidTr="00003A06">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BoldandItalics"/>
              </w:rPr>
              <w:t>Balanced conclusions</w:t>
            </w:r>
            <w:r w:rsidRPr="00E159D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ListBullet"/>
            </w:pPr>
            <w:r w:rsidRPr="00E159DD">
              <w:t>achievement of ESD of the species</w:t>
            </w:r>
          </w:p>
          <w:p w:rsidR="00000000" w:rsidRPr="00E159DD" w:rsidP="00E159DD">
            <w:pPr>
              <w:pStyle w:val="ListBullet"/>
            </w:pPr>
            <w:r w:rsidRPr="00E159DD">
              <w:t>achievement of the commercial viability of fishing operators</w:t>
            </w:r>
          </w:p>
          <w:p w:rsidR="00000000" w:rsidRPr="00E159DD" w:rsidP="00E159DD">
            <w:pPr>
              <w:pStyle w:val="ListBullet"/>
            </w:pPr>
            <w:r w:rsidRPr="00E159DD">
              <w:t>conservation of the species</w:t>
            </w:r>
          </w:p>
          <w:p w:rsidR="00000000" w:rsidRPr="00E159DD" w:rsidP="00E159DD">
            <w:pPr>
              <w:pStyle w:val="ListBullet"/>
            </w:pPr>
            <w:r w:rsidRPr="00E159DD">
              <w:t>implementatio</w:t>
            </w:r>
            <w:r w:rsidRPr="00E159DD">
              <w:t>n of adaptive management strategies that reflect the uncertainty of scientific and other data</w:t>
            </w:r>
          </w:p>
          <w:p w:rsidR="00000000" w:rsidRPr="00E159DD" w:rsidP="00E159DD">
            <w:pPr>
              <w:pStyle w:val="ListBullet"/>
            </w:pPr>
            <w:r w:rsidRPr="00E159DD">
              <w:t>maintenance of the ecosystem</w:t>
            </w:r>
          </w:p>
          <w:p w:rsidR="00000000" w:rsidP="00E159DD">
            <w:pPr>
              <w:pStyle w:val="ListBullet"/>
              <w:rPr>
                <w:lang w:val="en-NZ"/>
              </w:rPr>
            </w:pPr>
            <w:r w:rsidRPr="00E159DD">
              <w:t>recognition of the interests of other users of the ecosystem.</w:t>
            </w:r>
          </w:p>
        </w:tc>
      </w:tr>
      <w:tr w:rsidTr="00003A06">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BoldandItalics"/>
              </w:rPr>
              <w:t>Resource management options</w:t>
            </w:r>
            <w:r w:rsidRPr="00E159DD">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ListBullet"/>
            </w:pPr>
            <w:r w:rsidRPr="00E159DD">
              <w:t>combination of input and outp</w:t>
            </w:r>
            <w:r w:rsidRPr="00E159DD">
              <w:t>ut controls and other sector-specific options</w:t>
            </w:r>
          </w:p>
          <w:p w:rsidR="00000000" w:rsidRPr="00E159DD" w:rsidP="00E159DD">
            <w:pPr>
              <w:pStyle w:val="ListBullet"/>
            </w:pPr>
            <w:r w:rsidRPr="00E159DD">
              <w:t>input controls for aquaculture, ornamental or holding enterprises:</w:t>
            </w:r>
          </w:p>
          <w:p w:rsidR="00000000" w:rsidRPr="00E159DD" w:rsidP="00E159DD">
            <w:pPr>
              <w:pStyle w:val="ListBullet2"/>
            </w:pPr>
            <w:r w:rsidRPr="00E159DD">
              <w:t>licences or permits for operation</w:t>
            </w:r>
          </w:p>
          <w:p w:rsidR="00000000" w:rsidRPr="00E159DD" w:rsidP="00E159DD">
            <w:pPr>
              <w:pStyle w:val="ListBullet2"/>
            </w:pPr>
            <w:r w:rsidRPr="00E159DD">
              <w:t>open and closed seasons</w:t>
            </w:r>
          </w:p>
          <w:p w:rsidR="00000000" w:rsidRPr="00E159DD" w:rsidP="00E159DD">
            <w:pPr>
              <w:pStyle w:val="ListBullet2"/>
            </w:pPr>
            <w:r w:rsidRPr="00E159DD">
              <w:t>restrictions on intensity of operations, and numbers of culture or holding units wit</w:t>
            </w:r>
            <w:r w:rsidRPr="00E159DD">
              <w:t>hin specific area</w:t>
            </w:r>
          </w:p>
          <w:p w:rsidR="00000000" w:rsidRPr="00E159DD" w:rsidP="00E159DD">
            <w:pPr>
              <w:pStyle w:val="ListBullet2"/>
            </w:pPr>
            <w:r w:rsidRPr="00E159DD">
              <w:t>restrictions on translocations of live stock</w:t>
            </w:r>
          </w:p>
          <w:p w:rsidR="00000000" w:rsidRPr="00E159DD" w:rsidP="00E159DD">
            <w:pPr>
              <w:pStyle w:val="ListBullet2"/>
            </w:pPr>
            <w:r w:rsidRPr="00E159DD">
              <w:t>specifications or minimal requirements on equipment</w:t>
            </w:r>
          </w:p>
          <w:p w:rsidR="00000000" w:rsidRPr="00E159DD" w:rsidP="00E159DD">
            <w:pPr>
              <w:pStyle w:val="ListBullet"/>
            </w:pPr>
            <w:r w:rsidRPr="00E159DD">
              <w:t>input controls for fishing:</w:t>
            </w:r>
          </w:p>
          <w:p w:rsidR="00000000" w:rsidRPr="00E159DD" w:rsidP="00E159DD">
            <w:pPr>
              <w:pStyle w:val="ListBullet2"/>
            </w:pPr>
            <w:r w:rsidRPr="00E159DD">
              <w:t>area closures</w:t>
            </w:r>
          </w:p>
          <w:p w:rsidR="00000000" w:rsidRPr="00E159DD" w:rsidP="00E159DD">
            <w:pPr>
              <w:pStyle w:val="ListBullet2"/>
            </w:pPr>
            <w:r w:rsidRPr="00E159DD">
              <w:t>limited entry</w:t>
            </w:r>
          </w:p>
          <w:p w:rsidR="00000000" w:rsidRPr="00E159DD" w:rsidP="00E159DD">
            <w:pPr>
              <w:pStyle w:val="ListBullet2"/>
            </w:pPr>
            <w:r w:rsidRPr="00E159DD">
              <w:t>open and closed seasons</w:t>
            </w:r>
          </w:p>
          <w:p w:rsidR="00000000" w:rsidRPr="00E159DD" w:rsidP="00E159DD">
            <w:pPr>
              <w:pStyle w:val="ListBullet2"/>
            </w:pPr>
            <w:r w:rsidRPr="00E159DD">
              <w:t>restriction on boat numbers</w:t>
            </w:r>
          </w:p>
          <w:p w:rsidR="00000000" w:rsidRPr="00E159DD" w:rsidP="00E159DD">
            <w:pPr>
              <w:pStyle w:val="ListBullet2"/>
            </w:pPr>
            <w:r w:rsidRPr="00E159DD">
              <w:t>restrictions on gear</w:t>
            </w:r>
          </w:p>
          <w:p w:rsidR="00000000" w:rsidRPr="00E159DD" w:rsidP="00E159DD">
            <w:pPr>
              <w:pStyle w:val="ListBullet"/>
            </w:pPr>
            <w:r w:rsidRPr="00E159DD">
              <w:t>output controls for aquaculture, ornamental or holding enterprises:</w:t>
            </w:r>
          </w:p>
          <w:p w:rsidR="00000000" w:rsidRPr="00E159DD" w:rsidP="00E159DD">
            <w:pPr>
              <w:pStyle w:val="ListBullet2"/>
            </w:pPr>
            <w:r w:rsidRPr="00E159DD">
              <w:t>information on production returns</w:t>
            </w:r>
          </w:p>
          <w:p w:rsidR="00000000" w:rsidRPr="00E159DD" w:rsidP="00E159DD">
            <w:pPr>
              <w:pStyle w:val="ListBullet2"/>
            </w:pPr>
            <w:r w:rsidRPr="00E159DD">
              <w:t>treatment and disposal of effluents and wastes</w:t>
            </w:r>
          </w:p>
          <w:p w:rsidR="00000000" w:rsidRPr="00E159DD" w:rsidP="00E159DD">
            <w:pPr>
              <w:pStyle w:val="ListBullet"/>
            </w:pPr>
            <w:r w:rsidRPr="00E159DD">
              <w:t>output controls for fishing:</w:t>
            </w:r>
          </w:p>
          <w:p w:rsidR="00000000" w:rsidRPr="00E159DD" w:rsidP="00E159DD">
            <w:pPr>
              <w:pStyle w:val="ListBullet2"/>
            </w:pPr>
            <w:r w:rsidRPr="00E159DD">
              <w:t>individual transferable quotas</w:t>
            </w:r>
          </w:p>
          <w:p w:rsidR="00000000" w:rsidRPr="00E159DD" w:rsidP="00E159DD">
            <w:pPr>
              <w:pStyle w:val="ListBullet2"/>
            </w:pPr>
            <w:r w:rsidRPr="00E159DD">
              <w:t>total allowable catches.</w:t>
            </w:r>
          </w:p>
        </w:tc>
      </w:tr>
    </w:tbl>
    <w:p w:rsidR="00003A06" w:rsidP="00E159DD">
      <w:pPr>
        <w:pStyle w:val="BodyText"/>
      </w:pPr>
    </w:p>
    <w:p w:rsidR="00003A06" w:rsidP="00E159DD">
      <w:pPr>
        <w:pStyle w:val="BodyText"/>
      </w:pPr>
    </w:p>
    <w:p w:rsidR="00000000" w:rsidRPr="00E159DD" w:rsidP="00E159DD">
      <w:pPr>
        <w:pStyle w:val="Heading1"/>
      </w:pPr>
      <w:bookmarkStart w:id="12" w:name="O_218366"/>
      <w:bookmarkEnd w:id="12"/>
      <w:r w:rsidRPr="00E159DD">
        <w:t>Unit Sector(s)</w:t>
      </w:r>
    </w:p>
    <w:tbl>
      <w:tblPr>
        <w:tblW w:w="0" w:type="auto"/>
        <w:tblLayout w:type="fixed"/>
        <w:tblCellMar>
          <w:left w:w="62" w:type="dxa"/>
          <w:right w:w="62" w:type="dxa"/>
        </w:tblCellMar>
        <w:tblLook w:val="0000"/>
      </w:tblPr>
      <w:tblGrid>
        <w:gridCol w:w="2606"/>
        <w:gridCol w:w="5916"/>
      </w:tblGrid>
      <w:tr w:rsidTr="00003A0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r w:rsidRPr="00E159DD">
              <w:t>Leadership</w:t>
            </w:r>
          </w:p>
        </w:tc>
      </w:tr>
    </w:tbl>
    <w:p w:rsidR="00003A06" w:rsidP="00E159DD">
      <w:pPr>
        <w:pStyle w:val="BodyText"/>
      </w:pPr>
    </w:p>
    <w:p w:rsidR="00003A06" w:rsidP="00E159DD">
      <w:pPr>
        <w:pStyle w:val="BodyText"/>
      </w:pPr>
    </w:p>
    <w:p w:rsidR="00000000" w:rsidRPr="00E159DD" w:rsidP="00E159DD">
      <w:pPr>
        <w:pStyle w:val="Heading1"/>
      </w:pPr>
      <w:bookmarkStart w:id="13" w:name="O_218363"/>
      <w:bookmarkEnd w:id="13"/>
      <w:r w:rsidRPr="00E159DD">
        <w:t>Co-requisite units</w:t>
      </w:r>
    </w:p>
    <w:tbl>
      <w:tblPr>
        <w:tblW w:w="0" w:type="auto"/>
        <w:tblLayout w:type="fixed"/>
        <w:tblCellMar>
          <w:left w:w="62" w:type="dxa"/>
          <w:right w:w="62" w:type="dxa"/>
        </w:tblCellMar>
        <w:tblLook w:val="0000"/>
      </w:tblPr>
      <w:tblGrid>
        <w:gridCol w:w="2641"/>
        <w:gridCol w:w="1322"/>
        <w:gridCol w:w="4559"/>
      </w:tblGrid>
      <w:tr w:rsidTr="00003A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p>
        </w:tc>
      </w:tr>
      <w:tr w:rsidTr="00003A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p>
        </w:tc>
      </w:tr>
      <w:tr w:rsidTr="00003A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p>
        </w:tc>
      </w:tr>
    </w:tbl>
    <w:p w:rsidR="00003A06" w:rsidP="00E159DD">
      <w:pPr>
        <w:pStyle w:val="BodyText"/>
      </w:pPr>
    </w:p>
    <w:p w:rsidR="00003A06" w:rsidP="00E159DD">
      <w:pPr>
        <w:pStyle w:val="BodyText"/>
      </w:pPr>
    </w:p>
    <w:p w:rsidR="00000000" w:rsidRPr="00E159DD" w:rsidP="00E159DD">
      <w:pPr>
        <w:pStyle w:val="Heading1"/>
      </w:pPr>
      <w:bookmarkStart w:id="14" w:name="O_218365"/>
      <w:bookmarkEnd w:id="14"/>
      <w:r w:rsidRPr="00E159DD">
        <w:t>Competency field</w:t>
      </w:r>
    </w:p>
    <w:tbl>
      <w:tblPr>
        <w:tblW w:w="0" w:type="auto"/>
        <w:tblLayout w:type="fixed"/>
        <w:tblCellMar>
          <w:left w:w="62" w:type="dxa"/>
          <w:right w:w="62" w:type="dxa"/>
        </w:tblCellMar>
        <w:tblLook w:val="0000"/>
      </w:tblPr>
      <w:tblGrid>
        <w:gridCol w:w="2784"/>
        <w:gridCol w:w="5738"/>
      </w:tblGrid>
      <w:tr w:rsidTr="00003A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59DD">
            <w:pPr>
              <w:pStyle w:val="BodyText"/>
              <w:rPr>
                <w:lang w:val="en-NZ"/>
              </w:rPr>
            </w:pPr>
            <w:r w:rsidRPr="00E159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59DD" w:rsidP="00E159DD">
            <w:pPr>
              <w:pStyle w:val="BodyText"/>
            </w:pPr>
          </w:p>
        </w:tc>
      </w:tr>
    </w:tbl>
    <w:p w:rsidR="00003A06" w:rsidP="00E159DD">
      <w:pPr>
        <w:pStyle w:val="BodyText"/>
      </w:pPr>
    </w:p>
    <w:p w:rsidR="00003A06" w:rsidP="00E159DD">
      <w:pPr>
        <w:pStyle w:val="BodyText"/>
      </w:pPr>
    </w:p>
    <w:p w:rsidR="00000000" w:rsidRPr="00E159DD" w:rsidP="00E159DD"/>
    <w:sectPr w:rsidSect="00E159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A06" w:rsidP="00003A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06" w:rsidP="00E159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03A06" w:rsidP="00E159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03A06" w:rsidP="00E159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DD" w:rsidRPr="00003A06" w:rsidP="00003A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9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06" w:rsidRPr="002D2AF8" w:rsidP="00E159DD">
    <w:pPr>
      <w:pStyle w:val="Header"/>
      <w:framePr w:wrap="around"/>
    </w:pPr>
    <w:r>
      <w:fldChar w:fldCharType="begin"/>
    </w:r>
    <w:r>
      <w:instrText xml:space="preserve"> TITLE   \* MERGEFORMAT </w:instrText>
    </w:r>
    <w:r>
      <w:fldChar w:fldCharType="separate"/>
    </w:r>
    <w:r>
      <w:t>SFILEAD408A Analyse information to develop strategic seafood management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03A06" w:rsidP="00E159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8CF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C7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00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9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9DD"/>
    <w:pPr>
      <w:spacing w:before="360" w:after="60"/>
      <w:outlineLvl w:val="0"/>
    </w:pPr>
    <w:rPr>
      <w:sz w:val="32"/>
    </w:rPr>
  </w:style>
  <w:style w:type="paragraph" w:styleId="Heading2">
    <w:name w:val="heading 2"/>
    <w:basedOn w:val="HeadingBase"/>
    <w:next w:val="BodyText"/>
    <w:link w:val="Heading2Char"/>
    <w:qFormat/>
    <w:rsid w:val="00E159DD"/>
    <w:pPr>
      <w:keepLines/>
      <w:spacing w:before="240" w:after="120"/>
      <w:outlineLvl w:val="1"/>
    </w:pPr>
    <w:rPr>
      <w:sz w:val="28"/>
      <w:szCs w:val="40"/>
    </w:rPr>
  </w:style>
  <w:style w:type="paragraph" w:styleId="Heading3">
    <w:name w:val="heading 3"/>
    <w:basedOn w:val="HeadingBase"/>
    <w:next w:val="BodyText"/>
    <w:link w:val="Heading3Char"/>
    <w:qFormat/>
    <w:rsid w:val="00E159DD"/>
    <w:pPr>
      <w:spacing w:before="180" w:after="120"/>
      <w:outlineLvl w:val="2"/>
    </w:pPr>
    <w:rPr>
      <w:spacing w:val="-10"/>
      <w:kern w:val="32"/>
    </w:rPr>
  </w:style>
  <w:style w:type="paragraph" w:styleId="Heading4">
    <w:name w:val="heading 4"/>
    <w:basedOn w:val="HeadingBase"/>
    <w:next w:val="BodyText"/>
    <w:link w:val="Heading4Char"/>
    <w:qFormat/>
    <w:rsid w:val="00E159DD"/>
    <w:pPr>
      <w:spacing w:before="160" w:after="120"/>
      <w:outlineLvl w:val="3"/>
    </w:pPr>
    <w:rPr>
      <w:sz w:val="22"/>
    </w:rPr>
  </w:style>
  <w:style w:type="paragraph" w:styleId="Heading5">
    <w:name w:val="heading 5"/>
    <w:basedOn w:val="HeadingBase"/>
    <w:next w:val="Normal"/>
    <w:link w:val="Heading5Char"/>
    <w:qFormat/>
    <w:rsid w:val="00E159DD"/>
    <w:pPr>
      <w:spacing w:before="80"/>
      <w:outlineLvl w:val="4"/>
    </w:pPr>
    <w:rPr>
      <w:color w:val="918585"/>
      <w:sz w:val="20"/>
    </w:rPr>
  </w:style>
  <w:style w:type="paragraph" w:styleId="Heading6">
    <w:name w:val="heading 6"/>
    <w:basedOn w:val="HeadingBase"/>
    <w:next w:val="Normal"/>
    <w:link w:val="Heading6Char"/>
    <w:qFormat/>
    <w:rsid w:val="00E159DD"/>
    <w:pPr>
      <w:spacing w:before="60"/>
      <w:outlineLvl w:val="5"/>
    </w:pPr>
    <w:rPr>
      <w:color w:val="918585"/>
      <w:sz w:val="20"/>
    </w:rPr>
  </w:style>
  <w:style w:type="paragraph" w:styleId="Heading7">
    <w:name w:val="heading 7"/>
    <w:basedOn w:val="Normal"/>
    <w:next w:val="Normal"/>
    <w:link w:val="Heading7Char"/>
    <w:qFormat/>
    <w:rsid w:val="00E159DD"/>
    <w:pPr>
      <w:ind w:left="720"/>
      <w:outlineLvl w:val="6"/>
    </w:pPr>
    <w:rPr>
      <w:i/>
    </w:rPr>
  </w:style>
  <w:style w:type="paragraph" w:styleId="Heading8">
    <w:name w:val="heading 8"/>
    <w:basedOn w:val="Normal"/>
    <w:next w:val="Normal"/>
    <w:link w:val="Heading8Char"/>
    <w:qFormat/>
    <w:rsid w:val="00E159DD"/>
    <w:pPr>
      <w:ind w:left="720"/>
      <w:outlineLvl w:val="7"/>
    </w:pPr>
    <w:rPr>
      <w:i/>
    </w:rPr>
  </w:style>
  <w:style w:type="paragraph" w:styleId="Heading9">
    <w:name w:val="heading 9"/>
    <w:basedOn w:val="Normal"/>
    <w:next w:val="Normal"/>
    <w:link w:val="Heading9Char"/>
    <w:qFormat/>
    <w:rsid w:val="00E159DD"/>
    <w:pPr>
      <w:ind w:left="720"/>
      <w:outlineLvl w:val="8"/>
    </w:pPr>
    <w:rPr>
      <w:i/>
    </w:rPr>
  </w:style>
  <w:style w:type="character" w:default="1" w:styleId="DefaultParagraphFont">
    <w:name w:val="Default Paragraph Font"/>
    <w:uiPriority w:val="1"/>
    <w:unhideWhenUsed/>
    <w:rsid w:val="00E159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9DD"/>
  </w:style>
  <w:style w:type="character" w:customStyle="1" w:styleId="Heading1Char">
    <w:name w:val="Heading 1 Char"/>
    <w:basedOn w:val="DefaultParagraphFont"/>
    <w:link w:val="Heading1"/>
    <w:rsid w:val="00E159DD"/>
    <w:rPr>
      <w:rFonts w:ascii="Times New Roman" w:eastAsia="Times New Roman" w:hAnsi="Times New Roman" w:cs="Times New Roman"/>
      <w:b/>
      <w:sz w:val="32"/>
      <w:szCs w:val="20"/>
      <w:lang w:eastAsia="en-US"/>
    </w:rPr>
  </w:style>
  <w:style w:type="paragraph" w:styleId="BodyText">
    <w:name w:val="Body Text"/>
    <w:basedOn w:val="Normal"/>
    <w:link w:val="BodyTextChar"/>
    <w:rsid w:val="00E159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59DD"/>
    <w:rPr>
      <w:rFonts w:ascii="Times New Roman" w:eastAsia="Times New Roman" w:hAnsi="Times New Roman" w:cs="Times New Roman"/>
      <w:sz w:val="24"/>
      <w:lang w:eastAsia="en-US"/>
    </w:rPr>
  </w:style>
  <w:style w:type="paragraph" w:styleId="Footer">
    <w:name w:val="footer"/>
    <w:basedOn w:val="Normal"/>
    <w:link w:val="FooterChar"/>
    <w:rsid w:val="00E159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9DD"/>
    <w:rPr>
      <w:rFonts w:ascii="Times New Roman" w:eastAsia="Times New Roman" w:hAnsi="Times New Roman" w:cs="Times New Roman"/>
      <w:sz w:val="16"/>
      <w:lang w:eastAsia="en-US"/>
    </w:rPr>
  </w:style>
  <w:style w:type="paragraph" w:styleId="List">
    <w:name w:val="List"/>
    <w:basedOn w:val="BodyText"/>
    <w:next w:val="BodyText"/>
    <w:rsid w:val="00E159DD"/>
    <w:pPr>
      <w:tabs>
        <w:tab w:val="left" w:pos="340"/>
      </w:tabs>
      <w:spacing w:before="60" w:after="60"/>
      <w:ind w:left="340" w:hanging="340"/>
    </w:pPr>
  </w:style>
  <w:style w:type="paragraph" w:styleId="ListBullet">
    <w:name w:val="List Bullet"/>
    <w:basedOn w:val="List"/>
    <w:rsid w:val="00E159DD"/>
    <w:pPr>
      <w:numPr>
        <w:numId w:val="13"/>
      </w:numPr>
      <w:tabs>
        <w:tab w:val="clear" w:pos="340"/>
      </w:tabs>
      <w:spacing w:before="40" w:after="40"/>
    </w:pPr>
  </w:style>
  <w:style w:type="character" w:customStyle="1" w:styleId="SpecialBold">
    <w:name w:val="Special Bold"/>
    <w:basedOn w:val="DefaultParagraphFont"/>
    <w:rsid w:val="00E159DD"/>
    <w:rPr>
      <w:b/>
      <w:spacing w:val="0"/>
    </w:rPr>
  </w:style>
  <w:style w:type="paragraph" w:styleId="ListBullet2">
    <w:name w:val="List Bullet 2"/>
    <w:basedOn w:val="List2"/>
    <w:rsid w:val="00E159DD"/>
    <w:pPr>
      <w:numPr>
        <w:numId w:val="14"/>
      </w:numPr>
      <w:tabs>
        <w:tab w:val="clear" w:pos="680"/>
      </w:tabs>
    </w:pPr>
  </w:style>
  <w:style w:type="paragraph" w:customStyle="1" w:styleId="SuperHeading">
    <w:name w:val="SuperHeading"/>
    <w:basedOn w:val="Normal"/>
    <w:rsid w:val="00E159DD"/>
    <w:pPr>
      <w:spacing w:before="240" w:after="120"/>
      <w:outlineLvl w:val="0"/>
    </w:pPr>
    <w:rPr>
      <w:rFonts w:ascii="Times New Roman" w:hAnsi="Times New Roman"/>
      <w:b/>
      <w:sz w:val="28"/>
    </w:rPr>
  </w:style>
  <w:style w:type="paragraph" w:customStyle="1" w:styleId="AllowPageBreak">
    <w:name w:val="AllowPageBreak"/>
    <w:rsid w:val="00E159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59DD"/>
    <w:pPr>
      <w:tabs>
        <w:tab w:val="left" w:pos="680"/>
      </w:tabs>
      <w:spacing w:before="60" w:after="60"/>
      <w:ind w:left="680" w:hanging="340"/>
    </w:pPr>
  </w:style>
  <w:style w:type="character" w:customStyle="1" w:styleId="BoldandItalics">
    <w:name w:val="Bold and Italics"/>
    <w:qFormat/>
    <w:rsid w:val="00E159DD"/>
    <w:rPr>
      <w:b/>
      <w:i/>
      <w:u w:val="none"/>
    </w:rPr>
  </w:style>
  <w:style w:type="character" w:customStyle="1" w:styleId="Heading2Char">
    <w:name w:val="Heading 2 Char"/>
    <w:basedOn w:val="DefaultParagraphFont"/>
    <w:link w:val="Heading2"/>
    <w:rsid w:val="00E159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9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9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9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9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9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9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9DD"/>
    <w:rPr>
      <w:rFonts w:ascii="Courier New" w:eastAsia="Times New Roman" w:hAnsi="Courier New" w:cs="Times New Roman"/>
      <w:i/>
      <w:szCs w:val="20"/>
      <w:lang w:eastAsia="en-US"/>
    </w:rPr>
  </w:style>
  <w:style w:type="paragraph" w:customStyle="1" w:styleId="HeadingBase">
    <w:name w:val="Heading Base"/>
    <w:rsid w:val="00E159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9DD"/>
    <w:pPr>
      <w:tabs>
        <w:tab w:val="right" w:leader="dot" w:pos="9072"/>
      </w:tabs>
      <w:ind w:left="567"/>
    </w:pPr>
    <w:rPr>
      <w:szCs w:val="22"/>
    </w:rPr>
  </w:style>
  <w:style w:type="paragraph" w:customStyle="1" w:styleId="TOCBase">
    <w:name w:val="TOC Base"/>
    <w:rsid w:val="00E159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9DD"/>
    <w:pPr>
      <w:tabs>
        <w:tab w:val="right" w:leader="dot" w:pos="9072"/>
      </w:tabs>
      <w:spacing w:before="40" w:after="40"/>
      <w:ind w:left="284"/>
    </w:pPr>
    <w:rPr>
      <w:rFonts w:ascii="Times New Roman" w:hAnsi="Times New Roman"/>
    </w:rPr>
  </w:style>
  <w:style w:type="paragraph" w:styleId="TOC1">
    <w:name w:val="toc 1"/>
    <w:basedOn w:val="TOCBase"/>
    <w:next w:val="Normal"/>
    <w:rsid w:val="00E159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9DD"/>
    <w:pPr>
      <w:spacing w:before="5040"/>
      <w:jc w:val="center"/>
    </w:pPr>
    <w:rPr>
      <w:sz w:val="48"/>
      <w:szCs w:val="72"/>
      <w:lang w:val="en-US"/>
    </w:rPr>
  </w:style>
  <w:style w:type="character" w:customStyle="1" w:styleId="TitleChar">
    <w:name w:val="Title Char"/>
    <w:basedOn w:val="DefaultParagraphFont"/>
    <w:link w:val="Title"/>
    <w:rsid w:val="00E159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9DD"/>
    <w:pPr>
      <w:tabs>
        <w:tab w:val="left" w:pos="3600"/>
        <w:tab w:val="left" w:pos="3958"/>
      </w:tabs>
    </w:pPr>
  </w:style>
  <w:style w:type="paragraph" w:customStyle="1" w:styleId="Note">
    <w:name w:val="Note"/>
    <w:basedOn w:val="BodyText"/>
    <w:rsid w:val="00E159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9DD"/>
    <w:pPr>
      <w:framePr w:wrap="auto" w:hAnchor="text" w:y="6049"/>
    </w:pPr>
    <w:rPr>
      <w:color w:val="000000"/>
      <w:sz w:val="40"/>
    </w:rPr>
  </w:style>
  <w:style w:type="paragraph" w:customStyle="1" w:styleId="TOCTitle">
    <w:name w:val="TOCTitle"/>
    <w:basedOn w:val="Heading1"/>
    <w:rsid w:val="00E159DD"/>
    <w:pPr>
      <w:spacing w:after="240"/>
      <w:jc w:val="center"/>
      <w:outlineLvl w:val="9"/>
    </w:pPr>
    <w:rPr>
      <w:caps/>
    </w:rPr>
  </w:style>
  <w:style w:type="paragraph" w:customStyle="1" w:styleId="Version">
    <w:name w:val="Version"/>
    <w:rsid w:val="00E159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9DD"/>
    <w:pPr>
      <w:keepNext w:val="0"/>
      <w:tabs>
        <w:tab w:val="right" w:pos="4176"/>
      </w:tabs>
      <w:ind w:left="198" w:hanging="198"/>
    </w:pPr>
    <w:rPr>
      <w:rFonts w:ascii="Garamond" w:hAnsi="Garamond"/>
    </w:rPr>
  </w:style>
  <w:style w:type="paragraph" w:styleId="IndexHeading">
    <w:name w:val="index heading"/>
    <w:basedOn w:val="Normal"/>
    <w:next w:val="Index1"/>
    <w:semiHidden/>
    <w:rsid w:val="00E159DD"/>
    <w:pPr>
      <w:spacing w:before="120" w:after="120"/>
    </w:pPr>
    <w:rPr>
      <w:rFonts w:ascii="Arial" w:hAnsi="Arial"/>
      <w:b/>
      <w:color w:val="918585"/>
      <w:sz w:val="24"/>
    </w:rPr>
  </w:style>
  <w:style w:type="paragraph" w:styleId="Header">
    <w:name w:val="header"/>
    <w:basedOn w:val="Normal"/>
    <w:link w:val="HeaderChar"/>
    <w:rsid w:val="00E159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9DD"/>
    <w:rPr>
      <w:rFonts w:ascii="Times New Roman" w:eastAsia="Times New Roman" w:hAnsi="Times New Roman" w:cs="Times New Roman"/>
      <w:sz w:val="16"/>
      <w:szCs w:val="20"/>
      <w:lang w:val="en-GB" w:eastAsia="en-US"/>
    </w:rPr>
  </w:style>
  <w:style w:type="paragraph" w:customStyle="1" w:styleId="Chapter">
    <w:name w:val="Chapter"/>
    <w:basedOn w:val="Normal"/>
    <w:rsid w:val="00E159DD"/>
    <w:pPr>
      <w:spacing w:before="240"/>
    </w:pPr>
    <w:rPr>
      <w:rFonts w:ascii="Times New Roman" w:hAnsi="Times New Roman"/>
      <w:smallCaps/>
      <w:spacing w:val="80"/>
      <w:sz w:val="28"/>
    </w:rPr>
  </w:style>
  <w:style w:type="paragraph" w:customStyle="1" w:styleId="InChapter">
    <w:name w:val="InChapter"/>
    <w:basedOn w:val="Heading3"/>
    <w:rsid w:val="00E159DD"/>
    <w:pPr>
      <w:spacing w:after="240"/>
      <w:outlineLvl w:val="9"/>
    </w:pPr>
    <w:rPr>
      <w:noProof/>
    </w:rPr>
  </w:style>
  <w:style w:type="paragraph" w:styleId="Index2">
    <w:name w:val="index 2"/>
    <w:basedOn w:val="Normal"/>
    <w:next w:val="Normal"/>
    <w:semiHidden/>
    <w:rsid w:val="00E159DD"/>
    <w:pPr>
      <w:tabs>
        <w:tab w:val="right" w:pos="4176"/>
      </w:tabs>
      <w:ind w:left="568" w:hanging="284"/>
    </w:pPr>
    <w:rPr>
      <w:rFonts w:ascii="Garamond" w:hAnsi="Garamond"/>
    </w:rPr>
  </w:style>
  <w:style w:type="paragraph" w:customStyle="1" w:styleId="Byline">
    <w:name w:val="Byline"/>
    <w:rsid w:val="00E159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9DD"/>
    <w:pPr>
      <w:tabs>
        <w:tab w:val="clear" w:pos="3600"/>
        <w:tab w:val="clear" w:pos="3958"/>
      </w:tabs>
      <w:jc w:val="right"/>
    </w:pPr>
  </w:style>
  <w:style w:type="character" w:styleId="Emphasis">
    <w:name w:val="Emphasis"/>
    <w:basedOn w:val="DefaultParagraphFont"/>
    <w:qFormat/>
    <w:rsid w:val="00E159DD"/>
    <w:rPr>
      <w:i/>
    </w:rPr>
  </w:style>
  <w:style w:type="paragraph" w:styleId="Caption">
    <w:name w:val="caption"/>
    <w:basedOn w:val="BodyText"/>
    <w:next w:val="Normal"/>
    <w:qFormat/>
    <w:rsid w:val="00E159DD"/>
    <w:pPr>
      <w:framePr w:w="2268" w:hSpace="181" w:vSpace="181" w:wrap="around" w:vAnchor="text" w:hAnchor="page" w:x="1135" w:y="285" w:anchorLock="1"/>
    </w:pPr>
    <w:rPr>
      <w:i/>
    </w:rPr>
  </w:style>
  <w:style w:type="paragraph" w:customStyle="1" w:styleId="MiniTOCTitle">
    <w:name w:val="MiniTOCTitle"/>
    <w:basedOn w:val="Heading4"/>
    <w:rsid w:val="00E159DD"/>
    <w:pPr>
      <w:spacing w:before="240"/>
      <w:outlineLvl w:val="9"/>
    </w:pPr>
    <w:rPr>
      <w:noProof/>
      <w:sz w:val="24"/>
    </w:rPr>
  </w:style>
  <w:style w:type="paragraph" w:customStyle="1" w:styleId="MiniTOCItem">
    <w:name w:val="MiniTOCItem"/>
    <w:basedOn w:val="ListBullet"/>
    <w:rsid w:val="00E159DD"/>
    <w:pPr>
      <w:numPr>
        <w:numId w:val="0"/>
      </w:numPr>
      <w:tabs>
        <w:tab w:val="right" w:leader="dot" w:pos="6521"/>
      </w:tabs>
      <w:spacing w:before="0" w:after="0"/>
    </w:pPr>
  </w:style>
  <w:style w:type="paragraph" w:customStyle="1" w:styleId="TOFTitle">
    <w:name w:val="TOFTitle"/>
    <w:basedOn w:val="TOCTitle"/>
    <w:rsid w:val="00E159DD"/>
  </w:style>
  <w:style w:type="paragraph" w:styleId="TableofFigures">
    <w:name w:val="table of figures"/>
    <w:basedOn w:val="Normal"/>
    <w:next w:val="Normal"/>
    <w:semiHidden/>
    <w:rsid w:val="00E159DD"/>
    <w:pPr>
      <w:tabs>
        <w:tab w:val="right" w:leader="dot" w:pos="9072"/>
      </w:tabs>
      <w:ind w:left="970" w:hanging="403"/>
    </w:pPr>
    <w:rPr>
      <w:rFonts w:ascii="Times New Roman" w:hAnsi="Times New Roman"/>
      <w:b/>
    </w:rPr>
  </w:style>
  <w:style w:type="paragraph" w:styleId="ListNumber">
    <w:name w:val="List Number"/>
    <w:basedOn w:val="List"/>
    <w:rsid w:val="00E159DD"/>
    <w:pPr>
      <w:numPr>
        <w:numId w:val="11"/>
      </w:numPr>
    </w:pPr>
  </w:style>
  <w:style w:type="character" w:customStyle="1" w:styleId="WingdingSymbols">
    <w:name w:val="Wingding Symbols"/>
    <w:rsid w:val="00E159DD"/>
    <w:rPr>
      <w:rFonts w:ascii="Wingdings" w:hAnsi="Wingdings"/>
    </w:rPr>
  </w:style>
  <w:style w:type="paragraph" w:customStyle="1" w:styleId="TableHeading">
    <w:name w:val="Table Heading"/>
    <w:basedOn w:val="HeadingBase"/>
    <w:rsid w:val="00E159DD"/>
    <w:pPr>
      <w:keepLines/>
      <w:pBdr>
        <w:bottom w:val="single" w:sz="6" w:space="1" w:color="918585"/>
      </w:pBdr>
      <w:spacing w:before="240"/>
    </w:pPr>
  </w:style>
  <w:style w:type="character" w:customStyle="1" w:styleId="HotSpot">
    <w:name w:val="HotSpot"/>
    <w:rsid w:val="00E159DD"/>
    <w:rPr>
      <w:color w:val="0033CC"/>
      <w:u w:val="none"/>
    </w:rPr>
  </w:style>
  <w:style w:type="paragraph" w:customStyle="1" w:styleId="BodyTextRight">
    <w:name w:val="Body Text Right"/>
    <w:basedOn w:val="BodyText"/>
    <w:rsid w:val="00E159DD"/>
    <w:pPr>
      <w:spacing w:before="0" w:after="0"/>
      <w:jc w:val="right"/>
    </w:pPr>
  </w:style>
  <w:style w:type="paragraph" w:styleId="Index3">
    <w:name w:val="index 3"/>
    <w:basedOn w:val="ListNumber2"/>
    <w:next w:val="Normal"/>
    <w:semiHidden/>
    <w:rsid w:val="00E159DD"/>
    <w:pPr>
      <w:numPr>
        <w:numId w:val="0"/>
      </w:numPr>
      <w:tabs>
        <w:tab w:val="right" w:leader="dot" w:pos="4176"/>
      </w:tabs>
    </w:pPr>
  </w:style>
  <w:style w:type="paragraph" w:styleId="ListNumber2">
    <w:name w:val="List Number 2"/>
    <w:basedOn w:val="List2"/>
    <w:rsid w:val="00E159DD"/>
    <w:pPr>
      <w:numPr>
        <w:numId w:val="10"/>
      </w:numPr>
      <w:tabs>
        <w:tab w:val="clear" w:pos="1060"/>
      </w:tabs>
    </w:pPr>
  </w:style>
  <w:style w:type="paragraph" w:customStyle="1" w:styleId="MarginNote">
    <w:name w:val="Margin Note"/>
    <w:basedOn w:val="BodyText"/>
    <w:rsid w:val="00E159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9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9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9DD"/>
    <w:rPr>
      <w:sz w:val="32"/>
    </w:rPr>
  </w:style>
  <w:style w:type="paragraph" w:customStyle="1" w:styleId="HeadingProcedure">
    <w:name w:val="Heading Procedure"/>
    <w:basedOn w:val="HeadingBase"/>
    <w:next w:val="Normal"/>
    <w:rsid w:val="00E159DD"/>
    <w:pPr>
      <w:tabs>
        <w:tab w:val="left" w:pos="0"/>
      </w:tabs>
      <w:spacing w:before="120" w:after="60"/>
    </w:pPr>
    <w:rPr>
      <w:i/>
      <w:color w:val="918585"/>
      <w:sz w:val="22"/>
    </w:rPr>
  </w:style>
  <w:style w:type="paragraph" w:customStyle="1" w:styleId="TableBodyText">
    <w:name w:val="Table Body Text"/>
    <w:basedOn w:val="BodyText"/>
    <w:rsid w:val="00E159DD"/>
    <w:pPr>
      <w:spacing w:before="60" w:after="60"/>
    </w:pPr>
  </w:style>
  <w:style w:type="paragraph" w:styleId="ListContinue">
    <w:name w:val="List Continue"/>
    <w:basedOn w:val="List"/>
    <w:rsid w:val="00E159DD"/>
    <w:pPr>
      <w:ind w:firstLine="0"/>
    </w:pPr>
  </w:style>
  <w:style w:type="paragraph" w:customStyle="1" w:styleId="ListNote">
    <w:name w:val="List Note"/>
    <w:basedOn w:val="List"/>
    <w:rsid w:val="00E159DD"/>
    <w:pPr>
      <w:pBdr>
        <w:top w:val="single" w:sz="6" w:space="2" w:color="918585"/>
        <w:bottom w:val="single" w:sz="6" w:space="2" w:color="918585"/>
      </w:pBdr>
      <w:tabs>
        <w:tab w:val="left" w:pos="1021"/>
      </w:tabs>
      <w:ind w:firstLine="0"/>
    </w:pPr>
  </w:style>
  <w:style w:type="paragraph" w:customStyle="1" w:styleId="Warning">
    <w:name w:val="Warning"/>
    <w:basedOn w:val="BodyText"/>
    <w:rsid w:val="00E159DD"/>
    <w:pPr>
      <w:shd w:val="clear" w:color="auto" w:fill="D9D9D9"/>
      <w:tabs>
        <w:tab w:val="left" w:pos="992"/>
      </w:tabs>
      <w:ind w:left="119" w:right="119"/>
    </w:pPr>
    <w:rPr>
      <w:sz w:val="20"/>
    </w:rPr>
  </w:style>
  <w:style w:type="paragraph" w:customStyle="1" w:styleId="MarginIcons">
    <w:name w:val="Margin Icons"/>
    <w:basedOn w:val="BodyText"/>
    <w:rsid w:val="00E159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9DD"/>
    <w:rPr>
      <w:rFonts w:ascii="Courier New" w:hAnsi="Courier New"/>
    </w:rPr>
  </w:style>
  <w:style w:type="paragraph" w:customStyle="1" w:styleId="NoteBullet">
    <w:name w:val="Note Bullet"/>
    <w:basedOn w:val="Note"/>
    <w:rsid w:val="00E159DD"/>
    <w:pPr>
      <w:tabs>
        <w:tab w:val="clear" w:pos="680"/>
      </w:tabs>
      <w:spacing w:before="60" w:after="60"/>
    </w:pPr>
  </w:style>
  <w:style w:type="paragraph" w:customStyle="1" w:styleId="SubHeading2">
    <w:name w:val="SubHeading2"/>
    <w:basedOn w:val="HeadingBase"/>
    <w:rsid w:val="00E159DD"/>
    <w:pPr>
      <w:spacing w:before="240" w:after="60"/>
    </w:pPr>
    <w:rPr>
      <w:sz w:val="20"/>
    </w:rPr>
  </w:style>
  <w:style w:type="paragraph" w:customStyle="1" w:styleId="SubHeading1">
    <w:name w:val="SubHeading1"/>
    <w:basedOn w:val="HeadingBase"/>
    <w:rsid w:val="00E159DD"/>
    <w:pPr>
      <w:spacing w:before="240" w:after="60"/>
    </w:pPr>
    <w:rPr>
      <w:color w:val="918585"/>
      <w:sz w:val="22"/>
    </w:rPr>
  </w:style>
  <w:style w:type="paragraph" w:customStyle="1" w:styleId="SideHeading">
    <w:name w:val="Side Heading"/>
    <w:basedOn w:val="HeadingBase"/>
    <w:rsid w:val="00E159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9DD"/>
    <w:pPr>
      <w:numPr>
        <w:numId w:val="12"/>
      </w:numPr>
    </w:pPr>
  </w:style>
  <w:style w:type="paragraph" w:styleId="PlainText">
    <w:name w:val="Plain Text"/>
    <w:basedOn w:val="Normal"/>
    <w:link w:val="PlainTextChar"/>
    <w:rsid w:val="00E159DD"/>
    <w:rPr>
      <w:sz w:val="20"/>
    </w:rPr>
  </w:style>
  <w:style w:type="character" w:customStyle="1" w:styleId="PlainTextChar">
    <w:name w:val="Plain Text Char"/>
    <w:basedOn w:val="DefaultParagraphFont"/>
    <w:link w:val="PlainText"/>
    <w:rsid w:val="00E159DD"/>
    <w:rPr>
      <w:rFonts w:ascii="Courier New" w:eastAsia="Times New Roman" w:hAnsi="Courier New" w:cs="Times New Roman"/>
      <w:sz w:val="20"/>
      <w:szCs w:val="20"/>
      <w:lang w:eastAsia="en-US"/>
    </w:rPr>
  </w:style>
  <w:style w:type="character" w:customStyle="1" w:styleId="MenuOption">
    <w:name w:val="Menu Option"/>
    <w:basedOn w:val="DefaultParagraphFont"/>
    <w:rsid w:val="00E159DD"/>
    <w:rPr>
      <w:b/>
      <w:smallCaps/>
    </w:rPr>
  </w:style>
  <w:style w:type="paragraph" w:customStyle="1" w:styleId="TableListNumber">
    <w:name w:val="Table List Number"/>
    <w:basedOn w:val="ListNumber"/>
    <w:rsid w:val="00E159DD"/>
    <w:pPr>
      <w:numPr>
        <w:numId w:val="0"/>
      </w:numPr>
    </w:pPr>
  </w:style>
  <w:style w:type="paragraph" w:styleId="TOC4">
    <w:name w:val="toc 4"/>
    <w:basedOn w:val="TOCBase"/>
    <w:next w:val="Normal"/>
    <w:semiHidden/>
    <w:rsid w:val="00E159DD"/>
    <w:pPr>
      <w:tabs>
        <w:tab w:val="right" w:leader="dot" w:pos="9071"/>
      </w:tabs>
      <w:ind w:left="1701"/>
    </w:pPr>
  </w:style>
  <w:style w:type="paragraph" w:customStyle="1" w:styleId="ListAlpha">
    <w:name w:val="List Alpha"/>
    <w:basedOn w:val="List"/>
    <w:rsid w:val="00E159DD"/>
    <w:pPr>
      <w:numPr>
        <w:numId w:val="9"/>
      </w:numPr>
    </w:pPr>
  </w:style>
  <w:style w:type="paragraph" w:customStyle="1" w:styleId="ListAlpha2">
    <w:name w:val="List Alpha 2"/>
    <w:basedOn w:val="List2"/>
    <w:rsid w:val="00E159DD"/>
    <w:pPr>
      <w:numPr>
        <w:numId w:val="8"/>
      </w:numPr>
    </w:pPr>
  </w:style>
  <w:style w:type="paragraph" w:styleId="List3">
    <w:name w:val="List 3"/>
    <w:basedOn w:val="BodyText"/>
    <w:rsid w:val="00E159DD"/>
    <w:pPr>
      <w:tabs>
        <w:tab w:val="left" w:pos="1021"/>
      </w:tabs>
      <w:spacing w:before="60" w:after="60"/>
      <w:ind w:left="1020" w:hanging="340"/>
    </w:pPr>
  </w:style>
  <w:style w:type="paragraph" w:styleId="List4">
    <w:name w:val="List 4"/>
    <w:basedOn w:val="BodyText"/>
    <w:rsid w:val="00E159DD"/>
    <w:pPr>
      <w:tabs>
        <w:tab w:val="left" w:pos="1361"/>
      </w:tabs>
      <w:spacing w:before="60" w:after="60"/>
      <w:ind w:left="1361" w:hanging="340"/>
    </w:pPr>
  </w:style>
  <w:style w:type="paragraph" w:styleId="List5">
    <w:name w:val="List 5"/>
    <w:basedOn w:val="BodyText"/>
    <w:rsid w:val="00E159DD"/>
    <w:pPr>
      <w:tabs>
        <w:tab w:val="left" w:pos="1701"/>
      </w:tabs>
      <w:spacing w:before="60" w:after="60"/>
      <w:ind w:left="1701" w:hanging="340"/>
    </w:pPr>
  </w:style>
  <w:style w:type="paragraph" w:styleId="ListBullet3">
    <w:name w:val="List Bullet 3"/>
    <w:basedOn w:val="List3"/>
    <w:rsid w:val="00E159DD"/>
    <w:pPr>
      <w:numPr>
        <w:numId w:val="15"/>
      </w:numPr>
      <w:tabs>
        <w:tab w:val="clear" w:pos="1021"/>
      </w:tabs>
      <w:ind w:left="1037" w:hanging="357"/>
    </w:pPr>
  </w:style>
  <w:style w:type="paragraph" w:styleId="ListBullet4">
    <w:name w:val="List Bullet 4"/>
    <w:basedOn w:val="List4"/>
    <w:rsid w:val="00E159DD"/>
    <w:pPr>
      <w:numPr>
        <w:numId w:val="3"/>
      </w:numPr>
    </w:pPr>
  </w:style>
  <w:style w:type="paragraph" w:styleId="ListBullet5">
    <w:name w:val="List Bullet 5"/>
    <w:basedOn w:val="List5"/>
    <w:rsid w:val="00E159DD"/>
    <w:pPr>
      <w:numPr>
        <w:numId w:val="4"/>
      </w:numPr>
    </w:pPr>
  </w:style>
  <w:style w:type="paragraph" w:styleId="ListContinue2">
    <w:name w:val="List Continue 2"/>
    <w:basedOn w:val="List2"/>
    <w:rsid w:val="00E159DD"/>
    <w:pPr>
      <w:ind w:firstLine="0"/>
    </w:pPr>
  </w:style>
  <w:style w:type="paragraph" w:styleId="ListContinue3">
    <w:name w:val="List Continue 3"/>
    <w:basedOn w:val="List3"/>
    <w:rsid w:val="00E159DD"/>
    <w:pPr>
      <w:ind w:left="1021" w:firstLine="0"/>
    </w:pPr>
  </w:style>
  <w:style w:type="paragraph" w:styleId="ListContinue4">
    <w:name w:val="List Continue 4"/>
    <w:basedOn w:val="List4"/>
    <w:rsid w:val="00E159DD"/>
    <w:pPr>
      <w:ind w:firstLine="0"/>
    </w:pPr>
  </w:style>
  <w:style w:type="paragraph" w:styleId="ListContinue5">
    <w:name w:val="List Continue 5"/>
    <w:basedOn w:val="List5"/>
    <w:rsid w:val="00E159DD"/>
    <w:pPr>
      <w:ind w:firstLine="0"/>
    </w:pPr>
  </w:style>
  <w:style w:type="paragraph" w:styleId="ListNumber3">
    <w:name w:val="List Number 3"/>
    <w:basedOn w:val="List3"/>
    <w:rsid w:val="00E159DD"/>
    <w:pPr>
      <w:numPr>
        <w:numId w:val="5"/>
      </w:numPr>
    </w:pPr>
  </w:style>
  <w:style w:type="paragraph" w:styleId="ListNumber4">
    <w:name w:val="List Number 4"/>
    <w:basedOn w:val="List4"/>
    <w:rsid w:val="00E159DD"/>
    <w:pPr>
      <w:numPr>
        <w:numId w:val="6"/>
      </w:numPr>
    </w:pPr>
  </w:style>
  <w:style w:type="paragraph" w:styleId="ListNumber5">
    <w:name w:val="List Number 5"/>
    <w:basedOn w:val="List5"/>
    <w:rsid w:val="00E159DD"/>
    <w:pPr>
      <w:numPr>
        <w:numId w:val="7"/>
      </w:numPr>
    </w:pPr>
  </w:style>
  <w:style w:type="paragraph" w:styleId="BlockText">
    <w:name w:val="Block Text"/>
    <w:basedOn w:val="Normal"/>
    <w:rsid w:val="00E159DD"/>
    <w:pPr>
      <w:spacing w:after="120"/>
      <w:ind w:left="1440" w:right="1440"/>
    </w:pPr>
  </w:style>
  <w:style w:type="character" w:customStyle="1" w:styleId="Subscript">
    <w:name w:val="Subscript"/>
    <w:basedOn w:val="DefaultParagraphFont"/>
    <w:rsid w:val="00E159DD"/>
    <w:rPr>
      <w:sz w:val="16"/>
      <w:vertAlign w:val="subscript"/>
    </w:rPr>
  </w:style>
  <w:style w:type="character" w:customStyle="1" w:styleId="Superscript">
    <w:name w:val="Superscript"/>
    <w:basedOn w:val="DefaultParagraphFont"/>
    <w:rsid w:val="00E159DD"/>
    <w:rPr>
      <w:sz w:val="16"/>
      <w:vertAlign w:val="superscript"/>
    </w:rPr>
  </w:style>
  <w:style w:type="character" w:customStyle="1" w:styleId="Symbols">
    <w:name w:val="Symbols"/>
    <w:basedOn w:val="DefaultParagraphFont"/>
    <w:rsid w:val="00E159DD"/>
    <w:rPr>
      <w:rFonts w:ascii="Symbol" w:hAnsi="Symbol"/>
    </w:rPr>
  </w:style>
  <w:style w:type="character" w:customStyle="1" w:styleId="MenuOptions">
    <w:name w:val="Menu Options"/>
    <w:basedOn w:val="DefaultParagraphFont"/>
    <w:rsid w:val="00E159DD"/>
    <w:rPr>
      <w:rFonts w:ascii="Arial Narrow" w:hAnsi="Arial Narrow"/>
      <w:smallCaps/>
    </w:rPr>
  </w:style>
  <w:style w:type="character" w:customStyle="1" w:styleId="Buttons">
    <w:name w:val="Buttons"/>
    <w:basedOn w:val="DefaultParagraphFont"/>
    <w:rsid w:val="00E159DD"/>
    <w:rPr>
      <w:b/>
    </w:rPr>
  </w:style>
  <w:style w:type="character" w:customStyle="1" w:styleId="Underlined">
    <w:name w:val="Underlined"/>
    <w:basedOn w:val="DefaultParagraphFont"/>
    <w:rsid w:val="00E159DD"/>
    <w:rPr>
      <w:u w:val="single"/>
    </w:rPr>
  </w:style>
  <w:style w:type="paragraph" w:customStyle="1" w:styleId="TableBodyTextRight">
    <w:name w:val="Table Body Text Right"/>
    <w:basedOn w:val="TableBodyText"/>
    <w:rsid w:val="00E159DD"/>
    <w:pPr>
      <w:widowControl w:val="0"/>
      <w:autoSpaceDE w:val="0"/>
      <w:autoSpaceDN w:val="0"/>
      <w:adjustRightInd w:val="0"/>
      <w:jc w:val="right"/>
    </w:pPr>
    <w:rPr>
      <w:rFonts w:cs="Arial"/>
      <w:szCs w:val="18"/>
    </w:rPr>
  </w:style>
  <w:style w:type="paragraph" w:customStyle="1" w:styleId="CopyrightText">
    <w:name w:val="Copyright Text"/>
    <w:basedOn w:val="BodyText"/>
    <w:rsid w:val="00E159DD"/>
    <w:rPr>
      <w:sz w:val="18"/>
    </w:rPr>
  </w:style>
  <w:style w:type="paragraph" w:customStyle="1" w:styleId="BodySmallRight">
    <w:name w:val="Body Small Right"/>
    <w:basedOn w:val="BodyTextRight"/>
    <w:rsid w:val="00E159DD"/>
    <w:rPr>
      <w:sz w:val="18"/>
      <w:szCs w:val="18"/>
    </w:rPr>
  </w:style>
  <w:style w:type="paragraph" w:customStyle="1" w:styleId="MarginEdition">
    <w:name w:val="Margin Edition"/>
    <w:basedOn w:val="MarginNote"/>
    <w:rsid w:val="00E159DD"/>
    <w:pPr>
      <w:spacing w:before="0" w:after="0"/>
    </w:pPr>
    <w:rPr>
      <w:rFonts w:ascii="Times New Roman" w:hAnsi="Times New Roman"/>
      <w:color w:val="999999"/>
    </w:rPr>
  </w:style>
  <w:style w:type="paragraph" w:customStyle="1" w:styleId="Spacer">
    <w:name w:val="Spacer"/>
    <w:basedOn w:val="Normal"/>
    <w:rsid w:val="00E159DD"/>
    <w:rPr>
      <w:sz w:val="2"/>
      <w:szCs w:val="2"/>
    </w:rPr>
  </w:style>
  <w:style w:type="character" w:customStyle="1" w:styleId="Small">
    <w:name w:val="Small"/>
    <w:basedOn w:val="DefaultParagraphFont"/>
    <w:rsid w:val="00E159DD"/>
    <w:rPr>
      <w:sz w:val="16"/>
    </w:rPr>
  </w:style>
  <w:style w:type="paragraph" w:customStyle="1" w:styleId="WideTable">
    <w:name w:val="Wide Table"/>
    <w:basedOn w:val="Normal"/>
    <w:rsid w:val="00E159DD"/>
    <w:pPr>
      <w:ind w:left="-1418"/>
    </w:pPr>
    <w:rPr>
      <w:sz w:val="2"/>
      <w:szCs w:val="2"/>
    </w:rPr>
  </w:style>
  <w:style w:type="character" w:styleId="PageNumber">
    <w:name w:val="page number"/>
    <w:basedOn w:val="DefaultParagraphFont"/>
    <w:rsid w:val="00E159DD"/>
  </w:style>
  <w:style w:type="paragraph" w:styleId="Quote">
    <w:name w:val="Quote"/>
    <w:basedOn w:val="Heading1"/>
    <w:link w:val="QuoteChar"/>
    <w:qFormat/>
    <w:rsid w:val="00E159DD"/>
    <w:rPr>
      <w:b w:val="0"/>
      <w:sz w:val="72"/>
      <w:szCs w:val="72"/>
      <w:lang w:val="en-NZ"/>
    </w:rPr>
  </w:style>
  <w:style w:type="character" w:customStyle="1" w:styleId="QuoteChar">
    <w:name w:val="Quote Char"/>
    <w:basedOn w:val="DefaultParagraphFont"/>
    <w:link w:val="Quote"/>
    <w:rsid w:val="00E159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9DD"/>
    <w:pPr>
      <w:pageBreakBefore/>
    </w:pPr>
  </w:style>
  <w:style w:type="paragraph" w:customStyle="1" w:styleId="Border">
    <w:name w:val="Border"/>
    <w:basedOn w:val="Normal"/>
    <w:qFormat/>
    <w:rsid w:val="00E159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9DD"/>
    <w:rPr>
      <w:b/>
      <w:bCs/>
      <w:i/>
      <w:iCs/>
      <w:color w:val="auto"/>
    </w:rPr>
  </w:style>
  <w:style w:type="paragraph" w:styleId="IntenseQuote">
    <w:name w:val="Intense Quote"/>
    <w:basedOn w:val="Normal"/>
    <w:next w:val="Normal"/>
    <w:link w:val="IntenseQuoteChar"/>
    <w:uiPriority w:val="30"/>
    <w:qFormat/>
    <w:rsid w:val="00E159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9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9DD"/>
    <w:rPr>
      <w:smallCaps/>
      <w:color w:val="auto"/>
      <w:u w:val="single"/>
    </w:rPr>
  </w:style>
  <w:style w:type="character" w:styleId="IntenseReference">
    <w:name w:val="Intense Reference"/>
    <w:basedOn w:val="DefaultParagraphFont"/>
    <w:uiPriority w:val="32"/>
    <w:qFormat/>
    <w:rsid w:val="00E159DD"/>
    <w:rPr>
      <w:b/>
      <w:bCs/>
      <w:smallCaps/>
      <w:color w:val="auto"/>
      <w:spacing w:val="5"/>
      <w:u w:val="single"/>
    </w:rPr>
  </w:style>
  <w:style w:type="paragraph" w:customStyle="1" w:styleId="2ColumnHeading">
    <w:name w:val="2Column Heading"/>
    <w:basedOn w:val="BodyText"/>
    <w:qFormat/>
    <w:rsid w:val="00E159DD"/>
    <w:pPr>
      <w:spacing w:after="60"/>
      <w:ind w:left="-2268"/>
    </w:pPr>
    <w:rPr>
      <w:b/>
    </w:rPr>
  </w:style>
  <w:style w:type="paragraph" w:customStyle="1" w:styleId="Heading1TOC">
    <w:name w:val="Heading1 TOC"/>
    <w:basedOn w:val="Normal"/>
    <w:qFormat/>
    <w:rsid w:val="00E159DD"/>
    <w:pPr>
      <w:spacing w:before="240" w:after="120"/>
    </w:pPr>
    <w:rPr>
      <w:rFonts w:ascii="Times New Roman" w:hAnsi="Times New Roman"/>
      <w:b/>
      <w:sz w:val="32"/>
    </w:rPr>
  </w:style>
  <w:style w:type="paragraph" w:customStyle="1" w:styleId="Heading2TOC">
    <w:name w:val="Heading2 TOC"/>
    <w:basedOn w:val="Normal"/>
    <w:qFormat/>
    <w:rsid w:val="00E159DD"/>
    <w:pPr>
      <w:spacing w:before="240" w:after="60"/>
    </w:pPr>
    <w:rPr>
      <w:rFonts w:ascii="Times New Roman" w:hAnsi="Times New Roman"/>
      <w:b/>
      <w:sz w:val="28"/>
    </w:rPr>
  </w:style>
  <w:style w:type="character" w:customStyle="1" w:styleId="Underline">
    <w:name w:val="Underline"/>
    <w:basedOn w:val="DefaultParagraphFont"/>
    <w:qFormat/>
    <w:rsid w:val="00E159DD"/>
    <w:rPr>
      <w:u w:val="single"/>
    </w:rPr>
  </w:style>
  <w:style w:type="paragraph" w:styleId="BalloonText">
    <w:name w:val="Balloon Text"/>
    <w:basedOn w:val="Normal"/>
    <w:link w:val="BalloonTextChar"/>
    <w:rsid w:val="00E159DD"/>
    <w:rPr>
      <w:rFonts w:ascii="Tahoma" w:hAnsi="Tahoma" w:cs="Tahoma"/>
      <w:sz w:val="16"/>
      <w:szCs w:val="16"/>
    </w:rPr>
  </w:style>
  <w:style w:type="character" w:customStyle="1" w:styleId="BalloonTextChar">
    <w:name w:val="Balloon Text Char"/>
    <w:basedOn w:val="DefaultParagraphFont"/>
    <w:link w:val="BalloonText"/>
    <w:rsid w:val="00E159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9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59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9DD"/>
    <w:rPr>
      <w:b/>
      <w:color w:val="660033"/>
      <w:spacing w:val="0"/>
    </w:rPr>
  </w:style>
  <w:style w:type="paragraph" w:customStyle="1" w:styleId="Nameditemlist">
    <w:name w:val="Named item list"/>
    <w:basedOn w:val="BodyText"/>
    <w:qFormat/>
    <w:rsid w:val="00E159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1450</Words>
  <Characters>9562</Characters>
  <Application>Microsoft Office Word</Application>
  <DocSecurity>0</DocSecurity>
  <Lines>340</Lines>
  <Paragraphs>163</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SFILEAD408A Analyse information to develop strategic seafood management options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2012-10-11T22:22:00Z</dcterms:created>
  <dcterms:modified xsi:type="dcterms:W3CDTF">2012-10-11T22:22:00Z</dcterms:modified>
</cp:coreProperties>
</file>