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245" w:rsidP="00A91245">
      <w:pPr>
        <w:pStyle w:val="Title"/>
      </w:pPr>
      <w:r>
        <w:fldChar w:fldCharType="begin"/>
      </w:r>
      <w:r>
        <w:instrText xml:space="preserve"> TITLE   \* MERGEFORMAT </w:instrText>
      </w:r>
      <w:r>
        <w:fldChar w:fldCharType="separate"/>
      </w:r>
      <w:r>
        <w:t>SFILEAD407A Provide expert information to a resource management group</w:t>
      </w:r>
      <w:r>
        <w:fldChar w:fldCharType="end"/>
      </w:r>
    </w:p>
    <w:p w:rsidR="00A91245" w:rsidP="00A91245">
      <w:pPr>
        <w:pStyle w:val="Version"/>
        <w:sectPr w:rsidSect="00C33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CD9" w:rsidP="00C33CD9">
      <w:pPr>
        <w:pStyle w:val="SuperHeading"/>
      </w:pPr>
      <w:r w:rsidRPr="00C33CD9">
        <w:t>SFILEAD407A Provide expert information to a resource management group</w:t>
      </w:r>
    </w:p>
    <w:p w:rsidR="00000000" w:rsidRPr="00C33CD9" w:rsidP="00C33CD9">
      <w:pPr>
        <w:pStyle w:val="Heading1"/>
      </w:pPr>
      <w:bookmarkStart w:id="1" w:name="O_273266"/>
      <w:bookmarkEnd w:id="1"/>
      <w:r w:rsidRPr="00C33CD9">
        <w:t>Modification History</w:t>
      </w:r>
    </w:p>
    <w:p w:rsidR="00000000" w:rsidRPr="00C33CD9" w:rsidP="00C33CD9">
      <w:pPr>
        <w:pStyle w:val="BodyText"/>
      </w:pPr>
      <w:r w:rsidRPr="00C33CD9">
        <w:t>Not Applicable</w:t>
      </w:r>
    </w:p>
    <w:p w:rsidR="00000000" w:rsidRPr="00C33CD9" w:rsidP="00C33CD9">
      <w:pPr>
        <w:pStyle w:val="AllowPageBreak"/>
      </w:pPr>
    </w:p>
    <w:p w:rsidR="00000000" w:rsidRPr="00C33CD9" w:rsidP="00C33CD9">
      <w:pPr>
        <w:pStyle w:val="Heading1"/>
      </w:pPr>
      <w:bookmarkStart w:id="2" w:name="O_218353"/>
      <w:bookmarkEnd w:id="2"/>
      <w:r w:rsidRPr="00C33CD9">
        <w:t>Unit Descriptor</w:t>
      </w:r>
    </w:p>
    <w:tbl>
      <w:tblPr>
        <w:tblW w:w="0" w:type="auto"/>
        <w:tblLayout w:type="fixed"/>
        <w:tblCellMar>
          <w:left w:w="62" w:type="dxa"/>
          <w:right w:w="62" w:type="dxa"/>
        </w:tblCellMar>
        <w:tblLook w:val="0000"/>
      </w:tblPr>
      <w:tblGrid>
        <w:gridCol w:w="2667"/>
        <w:gridCol w:w="5855"/>
      </w:tblGrid>
      <w:tr w:rsidTr="00A9124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This unit of competency deals with the capability of resource management group or</w:t>
            </w:r>
            <w:r w:rsidRPr="00C33CD9">
              <w:t xml:space="preserve"> committee participants to provide constructive information and advice at meetings based on their expertise, knowledge and experience of a sector within the seafood industry. Participants must ensure that colleagues within their industry sector are informe</w:t>
            </w:r>
            <w:r w:rsidRPr="00C33CD9">
              <w:t>d of the group's developments and seek their input and feedback.</w:t>
            </w:r>
          </w:p>
          <w:p w:rsidR="00000000" w:rsidRPr="00C33CD9" w:rsidP="00C33CD9">
            <w:pPr>
              <w:pStyle w:val="BodyText"/>
            </w:pPr>
            <w:r w:rsidRPr="00C33CD9">
              <w:t>No licensing, legislative, regulatory or certification requirements apply to this unit at the time of publication.</w:t>
            </w:r>
          </w:p>
        </w:tc>
      </w:tr>
    </w:tbl>
    <w:p w:rsidR="00A91245" w:rsidP="00C33CD9">
      <w:pPr>
        <w:pStyle w:val="BodyText"/>
      </w:pPr>
    </w:p>
    <w:p w:rsidR="00A91245" w:rsidP="00C33CD9">
      <w:pPr>
        <w:pStyle w:val="BodyText"/>
      </w:pPr>
    </w:p>
    <w:p w:rsidR="00000000" w:rsidRPr="00C33CD9" w:rsidP="00C33CD9">
      <w:pPr>
        <w:pStyle w:val="Heading1"/>
      </w:pPr>
      <w:bookmarkStart w:id="3" w:name="O_218357"/>
      <w:bookmarkEnd w:id="3"/>
      <w:r w:rsidRPr="00C33CD9">
        <w:t>Application of the Unit</w:t>
      </w:r>
    </w:p>
    <w:tbl>
      <w:tblPr>
        <w:tblW w:w="0" w:type="auto"/>
        <w:tblLayout w:type="fixed"/>
        <w:tblCellMar>
          <w:left w:w="62" w:type="dxa"/>
          <w:right w:w="62" w:type="dxa"/>
        </w:tblCellMar>
        <w:tblLook w:val="0000"/>
      </w:tblPr>
      <w:tblGrid>
        <w:gridCol w:w="2755"/>
        <w:gridCol w:w="5767"/>
      </w:tblGrid>
      <w:tr w:rsidTr="00A9124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This unit has application for seafood industry stakeholders who represent their industry sector in natural resource management groups, and other public and industry forums. This unit is one of six sector leadership units at Certificate IV level. The leader</w:t>
            </w:r>
            <w:r w:rsidRPr="00C33CD9">
              <w:t>ship units are undertaken as a group and are listed as a Skill Set in the SFI10 Seafood Industry Training Package.</w:t>
            </w:r>
          </w:p>
        </w:tc>
      </w:tr>
    </w:tbl>
    <w:p w:rsidR="00A91245" w:rsidP="00C33CD9">
      <w:pPr>
        <w:pStyle w:val="BodyText"/>
      </w:pPr>
    </w:p>
    <w:p w:rsidR="00A91245" w:rsidP="00C33CD9">
      <w:pPr>
        <w:pStyle w:val="BodyText"/>
      </w:pPr>
    </w:p>
    <w:p w:rsidR="00000000" w:rsidRPr="00C33CD9" w:rsidP="00C33CD9">
      <w:pPr>
        <w:pStyle w:val="Heading1"/>
      </w:pPr>
      <w:bookmarkStart w:id="4" w:name="O_281526"/>
      <w:bookmarkEnd w:id="4"/>
      <w:r w:rsidRPr="00C33CD9">
        <w:t>Licensing/Regulatory Information</w:t>
      </w:r>
    </w:p>
    <w:p w:rsidR="00000000" w:rsidRPr="00C33CD9" w:rsidP="00C33CD9">
      <w:pPr>
        <w:pStyle w:val="BodyText"/>
      </w:pPr>
      <w:r w:rsidRPr="00C33CD9">
        <w:t>Refer to Unit Descriptor</w:t>
      </w:r>
    </w:p>
    <w:p w:rsidR="00000000" w:rsidRPr="00C33CD9" w:rsidP="00C33CD9">
      <w:pPr>
        <w:pStyle w:val="AllowPageBreak"/>
      </w:pPr>
    </w:p>
    <w:p w:rsidR="00000000" w:rsidRPr="00C33CD9" w:rsidP="00C33CD9">
      <w:pPr>
        <w:pStyle w:val="Heading1"/>
      </w:pPr>
      <w:bookmarkStart w:id="5" w:name="O_218355"/>
      <w:bookmarkEnd w:id="5"/>
      <w:r w:rsidRPr="00C33CD9">
        <w:t>Pre-Requisites</w:t>
      </w:r>
    </w:p>
    <w:tbl>
      <w:tblPr>
        <w:tblW w:w="0" w:type="auto"/>
        <w:tblLayout w:type="fixed"/>
        <w:tblCellMar>
          <w:left w:w="62" w:type="dxa"/>
          <w:right w:w="62" w:type="dxa"/>
        </w:tblCellMar>
        <w:tblLook w:val="0000"/>
      </w:tblPr>
      <w:tblGrid>
        <w:gridCol w:w="2775"/>
        <w:gridCol w:w="1295"/>
        <w:gridCol w:w="4452"/>
      </w:tblGrid>
      <w:tr w:rsidTr="00A912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p>
        </w:tc>
      </w:tr>
      <w:tr w:rsidTr="00A912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p>
        </w:tc>
      </w:tr>
      <w:tr w:rsidTr="00A912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p>
        </w:tc>
      </w:tr>
    </w:tbl>
    <w:p w:rsidR="00A91245" w:rsidP="00C33CD9">
      <w:pPr>
        <w:pStyle w:val="BodyText"/>
      </w:pPr>
    </w:p>
    <w:p w:rsidR="00A91245" w:rsidP="00C33CD9">
      <w:pPr>
        <w:pStyle w:val="BodyText"/>
      </w:pPr>
    </w:p>
    <w:p w:rsidR="00000000" w:rsidRPr="00C33CD9" w:rsidP="00C33CD9">
      <w:pPr>
        <w:pStyle w:val="Heading1"/>
      </w:pPr>
      <w:bookmarkStart w:id="6" w:name="O_218354"/>
      <w:bookmarkEnd w:id="6"/>
      <w:r w:rsidRPr="00C33CD9">
        <w:t>Employability Skills Information</w:t>
      </w:r>
    </w:p>
    <w:tbl>
      <w:tblPr>
        <w:tblW w:w="0" w:type="auto"/>
        <w:tblLayout w:type="fixed"/>
        <w:tblCellMar>
          <w:left w:w="62" w:type="dxa"/>
          <w:right w:w="62" w:type="dxa"/>
        </w:tblCellMar>
        <w:tblLook w:val="0000"/>
      </w:tblPr>
      <w:tblGrid>
        <w:gridCol w:w="2802"/>
        <w:gridCol w:w="5720"/>
      </w:tblGrid>
      <w:tr w:rsidTr="00A912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This unit contains employability skills.</w:t>
            </w:r>
          </w:p>
        </w:tc>
      </w:tr>
    </w:tbl>
    <w:p w:rsidR="00A91245" w:rsidP="00C33CD9">
      <w:pPr>
        <w:pStyle w:val="BodyText"/>
      </w:pPr>
    </w:p>
    <w:p w:rsidR="00A91245" w:rsidP="00C33CD9">
      <w:pPr>
        <w:pStyle w:val="BodyText"/>
      </w:pPr>
    </w:p>
    <w:p w:rsidR="00000000" w:rsidRPr="00C33CD9" w:rsidP="00C33CD9">
      <w:pPr>
        <w:pStyle w:val="Heading1"/>
      </w:pPr>
      <w:bookmarkStart w:id="7" w:name="O_291312"/>
      <w:bookmarkEnd w:id="7"/>
      <w:r w:rsidRPr="00C33CD9">
        <w:t>Elements and Performance Criteria Pre-Content</w:t>
      </w:r>
    </w:p>
    <w:tbl>
      <w:tblPr>
        <w:tblW w:w="0" w:type="auto"/>
        <w:tblLayout w:type="fixed"/>
        <w:tblCellMar>
          <w:left w:w="62" w:type="dxa"/>
          <w:right w:w="62" w:type="dxa"/>
        </w:tblCellMar>
        <w:tblLook w:val="0000"/>
      </w:tblPr>
      <w:tblGrid>
        <w:gridCol w:w="2530"/>
        <w:gridCol w:w="5992"/>
      </w:tblGrid>
      <w:tr w:rsidTr="00A912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Performance criteria describe the performance needed to demonstrate achievement of the element. Where bold italicised text is used, further information is detailed in the required skills and knowledge section and the range statement. Assessment of performa</w:t>
            </w:r>
            <w:r w:rsidRPr="00C33CD9">
              <w:t>nce is to be consistent with the evidence guide.</w:t>
            </w:r>
          </w:p>
        </w:tc>
      </w:tr>
    </w:tbl>
    <w:p w:rsidR="00000000" w:rsidRPr="00C33CD9" w:rsidP="00C33CD9">
      <w:pPr>
        <w:pStyle w:val="BodyText"/>
      </w:pPr>
    </w:p>
    <w:p w:rsidR="00000000" w:rsidRPr="00C33CD9" w:rsidP="00C33CD9">
      <w:pPr>
        <w:pStyle w:val="AllowPageBreak"/>
      </w:pPr>
    </w:p>
    <w:p w:rsidR="00000000" w:rsidRPr="00C33CD9" w:rsidP="00C33CD9">
      <w:pPr>
        <w:pStyle w:val="Heading1"/>
      </w:pPr>
      <w:bookmarkStart w:id="8" w:name="O_237980"/>
      <w:bookmarkEnd w:id="8"/>
      <w:r w:rsidRPr="00C33CD9">
        <w:t>Elements and Performance Criteria</w:t>
      </w:r>
    </w:p>
    <w:tbl>
      <w:tblPr>
        <w:tblW w:w="0" w:type="auto"/>
        <w:tblLayout w:type="fixed"/>
        <w:tblCellMar>
          <w:left w:w="62" w:type="dxa"/>
          <w:right w:w="62" w:type="dxa"/>
        </w:tblCellMar>
        <w:tblLook w:val="0000"/>
      </w:tblPr>
      <w:tblGrid>
        <w:gridCol w:w="2530"/>
        <w:gridCol w:w="5992"/>
      </w:tblGrid>
      <w:tr w:rsidTr="00A91245">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PERFORMANCE CRITERIA</w:t>
            </w:r>
          </w:p>
        </w:tc>
      </w:tr>
      <w:tr w:rsidTr="00A912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List"/>
              <w:rPr>
                <w:lang w:val="en-NZ"/>
              </w:rPr>
            </w:pPr>
            <w:r w:rsidRPr="00C33CD9">
              <w:t>1.</w:t>
            </w:r>
            <w:r w:rsidRPr="00C33CD9">
              <w:tab/>
              <w:t>Build and maintain a detailed knowledge of an industry sector</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2"/>
            </w:pPr>
            <w:r w:rsidRPr="00C33CD9">
              <w:t>1.1.</w:t>
            </w:r>
            <w:r w:rsidRPr="00C33CD9">
              <w:tab/>
              <w:t xml:space="preserve">Knowledge of </w:t>
            </w:r>
            <w:r w:rsidRPr="00C33CD9">
              <w:rPr>
                <w:rStyle w:val="BoldandItalics"/>
              </w:rPr>
              <w:t>products</w:t>
            </w:r>
            <w:r w:rsidRPr="00C33CD9">
              <w:t xml:space="preserve">, </w:t>
            </w:r>
            <w:r w:rsidRPr="00C33CD9">
              <w:rPr>
                <w:rStyle w:val="BoldandItalics"/>
              </w:rPr>
              <w:t>equipment</w:t>
            </w:r>
            <w:r w:rsidRPr="00C33CD9">
              <w:t xml:space="preserve">, </w:t>
            </w:r>
            <w:r w:rsidRPr="00C33CD9">
              <w:rPr>
                <w:rStyle w:val="BoldandItalics"/>
              </w:rPr>
              <w:t>supply chain</w:t>
            </w:r>
            <w:r w:rsidRPr="00C33CD9">
              <w:t xml:space="preserve">, </w:t>
            </w:r>
            <w:r w:rsidRPr="00C33CD9">
              <w:rPr>
                <w:rStyle w:val="BoldandItalics"/>
              </w:rPr>
              <w:t>key stakeholders and other</w:t>
            </w:r>
            <w:r w:rsidRPr="00C33CD9">
              <w:t xml:space="preserve"> </w:t>
            </w:r>
            <w:r w:rsidRPr="00C33CD9">
              <w:rPr>
                <w:rStyle w:val="BoldandItalics"/>
              </w:rPr>
              <w:t>organisations</w:t>
            </w:r>
            <w:r w:rsidRPr="00C33CD9">
              <w:t xml:space="preserve">, resource management processes and policies, </w:t>
            </w:r>
            <w:r w:rsidRPr="00C33CD9">
              <w:rPr>
                <w:rStyle w:val="BoldandItalics"/>
              </w:rPr>
              <w:t>legislation and regulations</w:t>
            </w:r>
            <w:r w:rsidRPr="00C33CD9">
              <w:t xml:space="preserve"> and other </w:t>
            </w:r>
            <w:r w:rsidRPr="00C33CD9">
              <w:rPr>
                <w:rStyle w:val="BoldandItalics"/>
              </w:rPr>
              <w:t>industry sectors</w:t>
            </w:r>
            <w:r w:rsidRPr="00C33CD9">
              <w:t xml:space="preserve"> is developed and maintained.</w:t>
            </w:r>
          </w:p>
          <w:p w:rsidR="00000000" w:rsidRPr="00C33CD9" w:rsidP="00C33CD9">
            <w:pPr>
              <w:pStyle w:val="List2"/>
            </w:pPr>
            <w:r w:rsidRPr="00C33CD9">
              <w:t>1.2.</w:t>
            </w:r>
            <w:r w:rsidRPr="00C33CD9">
              <w:tab/>
              <w:t xml:space="preserve">Likely sources of </w:t>
            </w:r>
            <w:r w:rsidRPr="00C33CD9">
              <w:rPr>
                <w:rStyle w:val="BoldandItalics"/>
              </w:rPr>
              <w:t>information</w:t>
            </w:r>
            <w:r w:rsidRPr="00C33CD9">
              <w:t xml:space="preserve"> are identified and accessed, as required.</w:t>
            </w:r>
          </w:p>
          <w:p w:rsidR="00000000" w:rsidRPr="00C33CD9" w:rsidP="00C33CD9">
            <w:pPr>
              <w:pStyle w:val="List2"/>
            </w:pPr>
            <w:r w:rsidRPr="00C33CD9">
              <w:t>1.3.</w:t>
            </w:r>
            <w:r w:rsidRPr="00C33CD9">
              <w:tab/>
              <w:t>Rele</w:t>
            </w:r>
            <w:r w:rsidRPr="00C33CD9">
              <w:t>vant historical events, and the sensitivities and positions of the people involved, are recalled and applied.</w:t>
            </w:r>
          </w:p>
          <w:p w:rsidR="00000000" w:rsidP="00C33CD9">
            <w:pPr>
              <w:pStyle w:val="List2"/>
              <w:rPr>
                <w:lang w:val="en-NZ"/>
              </w:rPr>
            </w:pPr>
            <w:r w:rsidRPr="00C33CD9">
              <w:t>1.4.</w:t>
            </w:r>
            <w:r w:rsidRPr="00C33CD9">
              <w:tab/>
            </w:r>
            <w:r w:rsidRPr="00C33CD9">
              <w:rPr>
                <w:rStyle w:val="BoldandItalics"/>
              </w:rPr>
              <w:t>New developments</w:t>
            </w:r>
            <w:r w:rsidRPr="00C33CD9">
              <w:t xml:space="preserve">, including </w:t>
            </w:r>
            <w:r w:rsidRPr="00C33CD9">
              <w:rPr>
                <w:rStyle w:val="BoldandItalics"/>
              </w:rPr>
              <w:t>quality and environmental requirements</w:t>
            </w:r>
            <w:r w:rsidRPr="00C33CD9">
              <w:t>, affecting the sector are identified and assessed for their potential impa</w:t>
            </w:r>
            <w:r w:rsidRPr="00C33CD9">
              <w:t>ct.</w:t>
            </w:r>
          </w:p>
        </w:tc>
      </w:tr>
      <w:tr w:rsidTr="00A912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List"/>
              <w:rPr>
                <w:lang w:val="en-NZ"/>
              </w:rPr>
            </w:pPr>
            <w:r w:rsidRPr="00C33CD9">
              <w:t>2.</w:t>
            </w:r>
            <w:r w:rsidRPr="00C33CD9">
              <w:tab/>
              <w:t>Provide quality information to the committee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2"/>
            </w:pPr>
            <w:r w:rsidRPr="00C33CD9">
              <w:t>2.1.</w:t>
            </w:r>
            <w:r w:rsidRPr="00C33CD9">
              <w:tab/>
              <w:t>Meeting procedures are observed according to the requirements of the chairperson and the agency.</w:t>
            </w:r>
          </w:p>
          <w:p w:rsidR="00000000" w:rsidRPr="00C33CD9" w:rsidP="00C33CD9">
            <w:pPr>
              <w:pStyle w:val="List2"/>
            </w:pPr>
            <w:r w:rsidRPr="00C33CD9">
              <w:t>2.2.</w:t>
            </w:r>
            <w:r w:rsidRPr="00C33CD9">
              <w:tab/>
              <w:t xml:space="preserve">Accurate and balanced information is provided to the committee. </w:t>
            </w:r>
          </w:p>
          <w:p w:rsidR="00000000" w:rsidRPr="00C33CD9" w:rsidP="00C33CD9">
            <w:pPr>
              <w:pStyle w:val="List2"/>
            </w:pPr>
            <w:r w:rsidRPr="00C33CD9">
              <w:t>2.3.</w:t>
            </w:r>
            <w:r w:rsidRPr="00C33CD9">
              <w:tab/>
              <w:t>Information is provided to</w:t>
            </w:r>
            <w:r w:rsidRPr="00C33CD9">
              <w:t xml:space="preserve"> add constructively to the committee discussion or debate.</w:t>
            </w:r>
          </w:p>
          <w:p w:rsidR="00000000" w:rsidP="00C33CD9">
            <w:pPr>
              <w:pStyle w:val="List2"/>
              <w:rPr>
                <w:lang w:val="en-NZ"/>
              </w:rPr>
            </w:pPr>
            <w:r w:rsidRPr="00C33CD9">
              <w:t>2.4.</w:t>
            </w:r>
            <w:r w:rsidRPr="00C33CD9">
              <w:tab/>
              <w:t xml:space="preserve">Contributions to the meeting are made in a </w:t>
            </w:r>
            <w:r w:rsidRPr="00C33CD9">
              <w:rPr>
                <w:rStyle w:val="BoldandItalics"/>
              </w:rPr>
              <w:t>professional and ethical manner</w:t>
            </w:r>
            <w:r w:rsidRPr="00C33CD9">
              <w:t>.</w:t>
            </w:r>
          </w:p>
        </w:tc>
      </w:tr>
      <w:tr w:rsidTr="00A91245">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List"/>
              <w:rPr>
                <w:lang w:val="en-NZ"/>
              </w:rPr>
            </w:pPr>
            <w:r w:rsidRPr="00C33CD9">
              <w:t>3.</w:t>
            </w:r>
            <w:r w:rsidRPr="00C33CD9">
              <w:tab/>
              <w:t>Keep sector informed of committee process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2"/>
            </w:pPr>
            <w:r w:rsidRPr="00C33CD9">
              <w:t>3.1.</w:t>
            </w:r>
            <w:r w:rsidRPr="00C33CD9">
              <w:tab/>
            </w:r>
            <w:r w:rsidRPr="00C33CD9">
              <w:t>Interested sector members are informed of meeting outcomes and feedback is sought.</w:t>
            </w:r>
          </w:p>
          <w:p w:rsidR="00000000" w:rsidRPr="00C33CD9" w:rsidP="00C33CD9">
            <w:pPr>
              <w:pStyle w:val="List2"/>
            </w:pPr>
            <w:r w:rsidRPr="00C33CD9">
              <w:t>3.2.</w:t>
            </w:r>
            <w:r w:rsidRPr="00C33CD9">
              <w:tab/>
              <w:t>Confidentiality and sensitivity of meeting processes is respected, where appropriate.</w:t>
            </w:r>
          </w:p>
        </w:tc>
      </w:tr>
    </w:tbl>
    <w:p w:rsidR="00A91245" w:rsidP="00C33CD9">
      <w:pPr>
        <w:pStyle w:val="BodyText"/>
      </w:pPr>
    </w:p>
    <w:p w:rsidR="00A91245" w:rsidP="00C33CD9">
      <w:pPr>
        <w:pStyle w:val="BodyText"/>
      </w:pPr>
    </w:p>
    <w:p w:rsidR="00000000" w:rsidRPr="00C33CD9" w:rsidP="00C33CD9">
      <w:pPr>
        <w:pStyle w:val="Heading1"/>
      </w:pPr>
      <w:bookmarkStart w:id="9" w:name="O_261771"/>
      <w:bookmarkEnd w:id="9"/>
      <w:r w:rsidRPr="00C33CD9">
        <w:t>Required Skills and Knowledge</w:t>
      </w:r>
    </w:p>
    <w:tbl>
      <w:tblPr>
        <w:tblW w:w="0" w:type="auto"/>
        <w:tblLayout w:type="fixed"/>
        <w:tblCellMar>
          <w:left w:w="62" w:type="dxa"/>
          <w:right w:w="62" w:type="dxa"/>
        </w:tblCellMar>
        <w:tblLook w:val="0000"/>
      </w:tblPr>
      <w:tblGrid>
        <w:gridCol w:w="8522"/>
      </w:tblGrid>
      <w:tr w:rsidTr="00A912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REQUIRED SKILLS AND KNOWLEDGE</w:t>
            </w:r>
          </w:p>
        </w:tc>
      </w:tr>
      <w:tr w:rsidTr="00A91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t>This section describes the skills and knowledge required for this unit.</w:t>
            </w:r>
          </w:p>
        </w:tc>
      </w:tr>
      <w:tr w:rsidTr="00A91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Required skills</w:t>
            </w:r>
          </w:p>
        </w:tc>
      </w:tr>
      <w:tr w:rsidTr="00A91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analysing the relevance, accuracy and shortcomings of information and discerning trends, issues and implications</w:t>
            </w:r>
          </w:p>
          <w:p w:rsidR="00000000" w:rsidRPr="00C33CD9" w:rsidP="00C33CD9">
            <w:pPr>
              <w:pStyle w:val="ListBullet"/>
            </w:pPr>
            <w:r w:rsidRPr="00C33CD9">
              <w:t>assessing risks and opportunities implicit in new information and developments</w:t>
            </w:r>
          </w:p>
          <w:p w:rsidR="00000000" w:rsidRPr="00C33CD9" w:rsidP="00C33CD9">
            <w:pPr>
              <w:pStyle w:val="ListBullet"/>
            </w:pPr>
            <w:r w:rsidRPr="00C33CD9">
              <w:t>explaining ideas and concepts to a range of audiences</w:t>
            </w:r>
          </w:p>
          <w:p w:rsidR="00000000" w:rsidRPr="00C33CD9" w:rsidP="00C33CD9">
            <w:pPr>
              <w:pStyle w:val="ListBullet"/>
            </w:pPr>
            <w:r w:rsidRPr="00C33CD9">
              <w:t>identifying target groups that can use information to good effect</w:t>
            </w:r>
          </w:p>
          <w:p w:rsidR="00000000" w:rsidRPr="00C33CD9" w:rsidP="00C33CD9">
            <w:pPr>
              <w:pStyle w:val="ListBullet"/>
            </w:pPr>
            <w:r w:rsidRPr="00C33CD9">
              <w:t>presenting and distributing information to constituents u</w:t>
            </w:r>
            <w:r w:rsidRPr="00C33CD9">
              <w:t>sing effective strategies</w:t>
            </w:r>
          </w:p>
          <w:p w:rsidR="00000000" w:rsidRPr="00C33CD9" w:rsidP="00C33CD9">
            <w:pPr>
              <w:pStyle w:val="ListBullet"/>
            </w:pPr>
            <w:r w:rsidRPr="00C33CD9">
              <w:t>researching industry information</w:t>
            </w:r>
          </w:p>
          <w:p w:rsidR="00000000" w:rsidP="00C33CD9">
            <w:pPr>
              <w:pStyle w:val="ListBullet"/>
              <w:rPr>
                <w:lang w:val="en-NZ"/>
              </w:rPr>
            </w:pPr>
            <w:r w:rsidRPr="00C33CD9">
              <w:t>tapping into a wide range of sources of information.</w:t>
            </w:r>
          </w:p>
        </w:tc>
      </w:tr>
      <w:tr w:rsidTr="00A91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Required knowledge</w:t>
            </w:r>
          </w:p>
        </w:tc>
      </w:tr>
      <w:tr w:rsidTr="00A91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basic environmental and resource management procedures, regulations and codes of practice relevant to seafood industry sec</w:t>
            </w:r>
            <w:r w:rsidRPr="00C33CD9">
              <w:t>tors</w:t>
            </w:r>
          </w:p>
          <w:p w:rsidR="00000000" w:rsidRPr="00C33CD9" w:rsidP="00C33CD9">
            <w:pPr>
              <w:pStyle w:val="ListBullet"/>
            </w:pPr>
            <w:r w:rsidRPr="00C33CD9">
              <w:t>ecologically sustainable development (ESD) principles and practices, such as Environment Australia protocols</w:t>
            </w:r>
          </w:p>
          <w:p w:rsidR="00000000" w:rsidRPr="00C33CD9" w:rsidP="00C33CD9">
            <w:pPr>
              <w:pStyle w:val="ListBullet"/>
            </w:pPr>
            <w:r w:rsidRPr="00C33CD9">
              <w:t>employment and workplace safety legislation and regulations</w:t>
            </w:r>
          </w:p>
          <w:p w:rsidR="00000000" w:rsidRPr="00C33CD9" w:rsidP="00C33CD9">
            <w:pPr>
              <w:pStyle w:val="ListBullet"/>
            </w:pPr>
            <w:r w:rsidRPr="00C33CD9">
              <w:t>key seafood industry political processes</w:t>
            </w:r>
          </w:p>
          <w:p w:rsidR="00000000" w:rsidRPr="00C33CD9" w:rsidP="00C33CD9">
            <w:pPr>
              <w:pStyle w:val="ListBullet"/>
            </w:pPr>
            <w:r w:rsidRPr="00C33CD9">
              <w:t>key seafood industry stakeholders, includ</w:t>
            </w:r>
            <w:r w:rsidRPr="00C33CD9">
              <w:t>ing individuals, interest groups and organisations</w:t>
            </w:r>
          </w:p>
          <w:p w:rsidR="00000000" w:rsidRPr="00C33CD9" w:rsidP="00C33CD9">
            <w:pPr>
              <w:pStyle w:val="ListBullet"/>
            </w:pPr>
            <w:r w:rsidRPr="00C33CD9">
              <w:t>key processes or steps in the seafood supply chain</w:t>
            </w:r>
          </w:p>
          <w:p w:rsidR="00000000" w:rsidRPr="00C33CD9" w:rsidP="00C33CD9">
            <w:pPr>
              <w:pStyle w:val="ListBullet"/>
            </w:pPr>
            <w:r w:rsidRPr="00C33CD9">
              <w:t>major historical events that have shaped the sector over time</w:t>
            </w:r>
          </w:p>
          <w:p w:rsidR="00000000" w:rsidRPr="00C33CD9" w:rsidP="00C33CD9">
            <w:pPr>
              <w:pStyle w:val="ListBullet"/>
            </w:pPr>
            <w:r w:rsidRPr="00C33CD9">
              <w:t>methods of disseminating information to best effect</w:t>
            </w:r>
          </w:p>
          <w:p w:rsidR="00000000" w:rsidRPr="00C33CD9" w:rsidP="00C33CD9">
            <w:pPr>
              <w:pStyle w:val="ListBullet"/>
            </w:pPr>
            <w:r w:rsidRPr="00C33CD9">
              <w:t>new and emerging processes, technology and quality or environmental requirements</w:t>
            </w:r>
          </w:p>
          <w:p w:rsidR="00000000" w:rsidRPr="00C33CD9" w:rsidP="00C33CD9">
            <w:pPr>
              <w:pStyle w:val="ListBullet"/>
            </w:pPr>
            <w:r w:rsidRPr="00C33CD9">
              <w:t>other commercial sectors, species, products and correct marketing names</w:t>
            </w:r>
          </w:p>
          <w:p w:rsidR="00000000" w:rsidRPr="00C33CD9" w:rsidP="00C33CD9">
            <w:pPr>
              <w:pStyle w:val="ListBullet"/>
            </w:pPr>
            <w:r w:rsidRPr="00C33CD9">
              <w:t>processes for identifying stakeholders and opinion leaders</w:t>
            </w:r>
          </w:p>
          <w:p w:rsidR="00000000" w:rsidRPr="00C33CD9" w:rsidP="00C33CD9">
            <w:pPr>
              <w:pStyle w:val="ListBullet"/>
            </w:pPr>
            <w:r w:rsidRPr="00C33CD9">
              <w:t>scientific and economic concepts relating to</w:t>
            </w:r>
            <w:r w:rsidRPr="00C33CD9">
              <w:t xml:space="preserve"> resource management, including maximum sustainable yield, maximum economic yield and technology creep</w:t>
            </w:r>
          </w:p>
          <w:p w:rsidR="00000000" w:rsidRPr="00C33CD9" w:rsidP="00C33CD9">
            <w:pPr>
              <w:pStyle w:val="ListBullet"/>
            </w:pPr>
            <w:r w:rsidRPr="00C33CD9">
              <w:t>relevant sectors in the seafood industry and their supply chains</w:t>
            </w:r>
          </w:p>
          <w:p w:rsidR="00000000" w:rsidRPr="00C33CD9" w:rsidP="00C33CD9">
            <w:pPr>
              <w:pStyle w:val="ListBullet"/>
            </w:pPr>
            <w:r w:rsidRPr="00C33CD9">
              <w:t>work regime, typical equipment used and special features of the relevant sector or geogr</w:t>
            </w:r>
            <w:r w:rsidRPr="00C33CD9">
              <w:t>aphic area.</w:t>
            </w:r>
          </w:p>
        </w:tc>
      </w:tr>
    </w:tbl>
    <w:p w:rsidR="00A91245" w:rsidP="00C33CD9">
      <w:pPr>
        <w:pStyle w:val="BodyText"/>
      </w:pPr>
    </w:p>
    <w:p w:rsidR="00A91245" w:rsidP="00C33CD9">
      <w:pPr>
        <w:pStyle w:val="BodyText"/>
      </w:pPr>
    </w:p>
    <w:p w:rsidR="00000000" w:rsidRPr="00C33CD9" w:rsidP="00C33CD9">
      <w:pPr>
        <w:pStyle w:val="AllowPageBreak"/>
      </w:pPr>
    </w:p>
    <w:p w:rsidR="00000000" w:rsidRPr="00C33CD9" w:rsidP="00C33CD9">
      <w:pPr>
        <w:pStyle w:val="Heading1"/>
      </w:pPr>
      <w:bookmarkStart w:id="10" w:name="O_245964"/>
      <w:bookmarkEnd w:id="10"/>
      <w:r w:rsidRPr="00C33CD9">
        <w:t>Evidence Guide</w:t>
      </w:r>
    </w:p>
    <w:tbl>
      <w:tblPr>
        <w:tblW w:w="9570" w:type="dxa"/>
        <w:tblLayout w:type="fixed"/>
        <w:tblCellMar>
          <w:left w:w="62" w:type="dxa"/>
          <w:right w:w="62" w:type="dxa"/>
        </w:tblCellMar>
        <w:tblLook w:val="0000"/>
      </w:tblPr>
      <w:tblGrid>
        <w:gridCol w:w="3908"/>
        <w:gridCol w:w="5662"/>
      </w:tblGrid>
      <w:tr w:rsidTr="00A912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EVIDENCE GUIDE</w:t>
            </w:r>
          </w:p>
        </w:tc>
      </w:tr>
      <w:tr w:rsidTr="00A912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t xml:space="preserve">The evidence guide provides advice on assessment and must be read in conjunction with the performance criteria, required skills and knowledge, </w:t>
            </w:r>
            <w:r w:rsidRPr="00C33CD9">
              <w:t>range statement and the Assessment Guidelines for the Training Package.</w:t>
            </w:r>
          </w:p>
        </w:tc>
      </w:tr>
      <w:tr w:rsidTr="00A91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p>
        </w:tc>
      </w:tr>
      <w:tr w:rsidTr="00A91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 xml:space="preserve">Assessment must confirm the ability to: </w:t>
            </w:r>
          </w:p>
          <w:p w:rsidR="00000000" w:rsidRPr="00C33CD9" w:rsidP="00C33CD9">
            <w:pPr>
              <w:pStyle w:val="ListBullet"/>
            </w:pPr>
            <w:r w:rsidRPr="00C33CD9">
              <w:t>build knowledge by researching information from a range of sources on key matters relating to the industry sector</w:t>
            </w:r>
          </w:p>
          <w:p w:rsidR="00000000" w:rsidRPr="00C33CD9" w:rsidP="00C33CD9">
            <w:pPr>
              <w:pStyle w:val="ListBullet"/>
            </w:pPr>
            <w:r w:rsidRPr="00C33CD9">
              <w:t>analyse information for gaps, accuracy and industry significance</w:t>
            </w:r>
          </w:p>
          <w:p w:rsidR="00000000" w:rsidRPr="00C33CD9" w:rsidP="00C33CD9">
            <w:pPr>
              <w:pStyle w:val="ListBullet"/>
            </w:pPr>
            <w:r w:rsidRPr="00C33CD9">
              <w:t xml:space="preserve">be proactive by recognising existing and potential threats and opportunities </w:t>
            </w:r>
            <w:r w:rsidRPr="00C33CD9">
              <w:t>affecting the sector</w:t>
            </w:r>
          </w:p>
          <w:p w:rsidR="00000000" w:rsidRPr="00C33CD9" w:rsidP="00C33CD9">
            <w:pPr>
              <w:pStyle w:val="ListBullet"/>
            </w:pPr>
            <w:r w:rsidRPr="00C33CD9">
              <w:t>provide timely and appropriate information and advice to key stakeholders and other members of the sector.</w:t>
            </w:r>
          </w:p>
          <w:p w:rsidR="00000000" w:rsidRPr="00C33CD9" w:rsidP="00C33CD9">
            <w:pPr>
              <w:pStyle w:val="BodyText"/>
            </w:pPr>
          </w:p>
          <w:p w:rsidR="00000000" w:rsidRPr="00C33CD9" w:rsidP="00C33CD9">
            <w:pPr>
              <w:pStyle w:val="BodyText"/>
            </w:pPr>
            <w:r w:rsidRPr="00C33CD9">
              <w:t xml:space="preserve">Assessment must confirm current working knowledge of: </w:t>
            </w:r>
          </w:p>
          <w:p w:rsidR="00000000" w:rsidP="00C33CD9">
            <w:pPr>
              <w:pStyle w:val="ListBullet"/>
              <w:rPr>
                <w:lang w:val="en-NZ"/>
              </w:rPr>
            </w:pPr>
            <w:r w:rsidRPr="00C33CD9">
              <w:t>the sector, organisations, representatives and political processes relevant to the industry sector.</w:t>
            </w:r>
          </w:p>
        </w:tc>
      </w:tr>
      <w:tr w:rsidTr="00A91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t xml:space="preserve">Assessment is to be conducted in the workplace or in a simulated work environment. </w:t>
            </w:r>
          </w:p>
        </w:tc>
      </w:tr>
      <w:tr w:rsidTr="00A91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 xml:space="preserve">The following assessment methods are suggested: </w:t>
            </w:r>
          </w:p>
          <w:p w:rsidR="00000000" w:rsidRPr="00C33CD9" w:rsidP="00C33CD9">
            <w:pPr>
              <w:pStyle w:val="ListBullet"/>
            </w:pPr>
            <w:r w:rsidRPr="00C33CD9">
              <w:t>feedback from chairperson and/or agency member regarding candidate's respect for confidentiality, as required</w:t>
            </w:r>
          </w:p>
          <w:p w:rsidR="00000000" w:rsidRPr="00C33CD9" w:rsidP="00C33CD9">
            <w:pPr>
              <w:pStyle w:val="ListBullet"/>
            </w:pPr>
            <w:r w:rsidRPr="00C33CD9">
              <w:t>feedback from constituents regarding the candidate's information dissemination</w:t>
            </w:r>
          </w:p>
          <w:p w:rsidR="00000000" w:rsidRPr="00C33CD9" w:rsidP="00C33CD9">
            <w:pPr>
              <w:pStyle w:val="ListBullet"/>
            </w:pPr>
            <w:r w:rsidRPr="00C33CD9">
              <w:t>feedback from the</w:t>
            </w:r>
            <w:r w:rsidRPr="00C33CD9">
              <w:t xml:space="preserve"> chairperson and/or other members regarding the accuracy, timeliness and relevance of information provided by the candidate to the committee</w:t>
            </w:r>
          </w:p>
          <w:p w:rsidR="00000000" w:rsidRPr="00C33CD9" w:rsidP="00C33CD9">
            <w:pPr>
              <w:pStyle w:val="ListBullet"/>
            </w:pPr>
            <w:r w:rsidRPr="00C33CD9">
              <w:t>interview and oral questioning</w:t>
            </w:r>
          </w:p>
          <w:p w:rsidR="00000000" w:rsidRPr="00C33CD9" w:rsidP="00C33CD9">
            <w:pPr>
              <w:pStyle w:val="ListBullet"/>
            </w:pPr>
            <w:r w:rsidRPr="00C33CD9">
              <w:t>observation of an oral presentation made by the candidate at, for example, port meet</w:t>
            </w:r>
            <w:r w:rsidRPr="00C33CD9">
              <w:t>ings of constituents</w:t>
            </w:r>
          </w:p>
          <w:p w:rsidR="00000000" w:rsidP="00C33CD9">
            <w:pPr>
              <w:pStyle w:val="ListBullet"/>
              <w:rPr>
                <w:lang w:val="en-NZ"/>
              </w:rPr>
            </w:pPr>
            <w:r w:rsidRPr="00C33CD9">
              <w:t>review of information that candidate may have supplied to the committee or other stakeholders.</w:t>
            </w:r>
          </w:p>
        </w:tc>
      </w:tr>
      <w:tr w:rsidTr="00A91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This unit may be assessed holistically with other SFILEAD (leadership) units within a Skill Set or qualification.</w:t>
            </w:r>
          </w:p>
        </w:tc>
      </w:tr>
    </w:tbl>
    <w:p w:rsidR="00A91245" w:rsidP="00C33CD9">
      <w:pPr>
        <w:pStyle w:val="BodyText"/>
      </w:pPr>
    </w:p>
    <w:p w:rsidR="00A91245" w:rsidP="00C33CD9">
      <w:pPr>
        <w:pStyle w:val="BodyText"/>
      </w:pPr>
    </w:p>
    <w:p w:rsidR="00000000" w:rsidRPr="00C33CD9" w:rsidP="00C33CD9">
      <w:pPr>
        <w:pStyle w:val="Heading1"/>
      </w:pPr>
      <w:bookmarkStart w:id="11" w:name="O_253947"/>
      <w:bookmarkEnd w:id="11"/>
      <w:r w:rsidRPr="00C33CD9">
        <w:t>Range Statement</w:t>
      </w:r>
    </w:p>
    <w:tbl>
      <w:tblPr>
        <w:tblW w:w="0" w:type="auto"/>
        <w:tblLayout w:type="fixed"/>
        <w:tblCellMar>
          <w:left w:w="62" w:type="dxa"/>
          <w:right w:w="62" w:type="dxa"/>
        </w:tblCellMar>
        <w:tblLook w:val="0000"/>
      </w:tblPr>
      <w:tblGrid>
        <w:gridCol w:w="3453"/>
        <w:gridCol w:w="5069"/>
      </w:tblGrid>
      <w:tr w:rsidTr="00A912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RANGE STATEMENT</w:t>
            </w:r>
          </w:p>
        </w:tc>
      </w:tr>
      <w:tr w:rsidTr="00A912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t>The range statement</w:t>
            </w:r>
            <w:r w:rsidRPr="00C33CD9">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C33CD9">
              <w:t xml:space="preserve"> present with training and assessment (depending on the work situation, needs of the candidate, accessibility of the item, and local industry and regional contexts) may also be included.</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Products</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crustaceans</w:t>
            </w:r>
          </w:p>
          <w:p w:rsidR="00000000" w:rsidRPr="00C33CD9" w:rsidP="00C33CD9">
            <w:pPr>
              <w:pStyle w:val="ListBullet"/>
            </w:pPr>
            <w:r w:rsidRPr="00C33CD9">
              <w:t xml:space="preserve">fish and related products (e.g. </w:t>
            </w:r>
            <w:r w:rsidRPr="00C33CD9">
              <w:t>roe)</w:t>
            </w:r>
          </w:p>
          <w:p w:rsidR="00000000" w:rsidRPr="00C33CD9" w:rsidP="00C33CD9">
            <w:pPr>
              <w:pStyle w:val="ListBullet"/>
            </w:pPr>
            <w:r w:rsidRPr="00C33CD9">
              <w:t>live and dead seafood</w:t>
            </w:r>
          </w:p>
          <w:p w:rsidR="00000000" w:rsidRPr="00C33CD9" w:rsidP="00C33CD9">
            <w:pPr>
              <w:pStyle w:val="ListBullet"/>
            </w:pPr>
            <w:r w:rsidRPr="00C33CD9">
              <w:t>manufactured foodstuffs (e.g. canned seafood and soups)</w:t>
            </w:r>
          </w:p>
          <w:p w:rsidR="00000000" w:rsidRPr="00C33CD9" w:rsidP="00C33CD9">
            <w:pPr>
              <w:pStyle w:val="ListBullet"/>
            </w:pPr>
            <w:r w:rsidRPr="00C33CD9">
              <w:t>miscellaneous invertebrates</w:t>
            </w:r>
          </w:p>
          <w:p w:rsidR="00000000" w:rsidRPr="00C33CD9" w:rsidP="00C33CD9">
            <w:pPr>
              <w:pStyle w:val="ListBullet"/>
            </w:pPr>
            <w:r w:rsidRPr="00C33CD9">
              <w:t>molluscs and related products (e.g. pearls)</w:t>
            </w:r>
          </w:p>
          <w:p w:rsidR="00000000" w:rsidRPr="00C33CD9" w:rsidP="00C33CD9">
            <w:pPr>
              <w:pStyle w:val="ListBullet"/>
            </w:pPr>
            <w:r w:rsidRPr="00C33CD9">
              <w:t>ornamental and display aquatic plants and animals</w:t>
            </w:r>
          </w:p>
          <w:p w:rsidR="00000000" w:rsidRPr="00C33CD9" w:rsidP="00C33CD9">
            <w:pPr>
              <w:pStyle w:val="ListBullet"/>
            </w:pPr>
            <w:r w:rsidRPr="00C33CD9">
              <w:t>reptiles and related products (e.g. skins)</w:t>
            </w:r>
          </w:p>
          <w:p w:rsidR="00000000" w:rsidP="00C33CD9">
            <w:pPr>
              <w:pStyle w:val="ListBullet"/>
              <w:rPr>
                <w:lang w:val="en-NZ"/>
              </w:rPr>
            </w:pPr>
            <w:r w:rsidRPr="00C33CD9">
              <w:t>seaweed, aquatic plants and algae.</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Equipment</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aquaculture, ornamental or holding machinery and equipment</w:t>
            </w:r>
          </w:p>
          <w:p w:rsidR="00000000" w:rsidRPr="00C33CD9" w:rsidP="00C33CD9">
            <w:pPr>
              <w:pStyle w:val="ListBullet"/>
            </w:pPr>
            <w:r w:rsidRPr="00C33CD9">
              <w:t>communication equipment, including computers</w:t>
            </w:r>
          </w:p>
          <w:p w:rsidR="00000000" w:rsidRPr="00C33CD9" w:rsidP="00C33CD9">
            <w:pPr>
              <w:pStyle w:val="ListBullet"/>
            </w:pPr>
            <w:r w:rsidRPr="00C33CD9">
              <w:t>fishing gear</w:t>
            </w:r>
          </w:p>
          <w:p w:rsidR="00000000" w:rsidRPr="00C33CD9" w:rsidP="00C33CD9">
            <w:pPr>
              <w:pStyle w:val="ListBullet"/>
            </w:pPr>
            <w:r w:rsidRPr="00C33CD9">
              <w:t>manufacturing, processing, transport and refrigeration equipment</w:t>
            </w:r>
          </w:p>
          <w:p w:rsidR="00000000" w:rsidRPr="00C33CD9" w:rsidP="00C33CD9">
            <w:pPr>
              <w:pStyle w:val="ListBullet"/>
            </w:pPr>
            <w:r w:rsidRPr="00C33CD9">
              <w:t>packing and st</w:t>
            </w:r>
            <w:r w:rsidRPr="00C33CD9">
              <w:t>orage equipment and containers</w:t>
            </w:r>
          </w:p>
          <w:p w:rsidR="00000000" w:rsidRPr="00C33CD9" w:rsidP="00C33CD9">
            <w:pPr>
              <w:pStyle w:val="ListBullet"/>
            </w:pPr>
            <w:r w:rsidRPr="00C33CD9">
              <w:t>safety gear and personal protective equipment (PPE)</w:t>
            </w:r>
          </w:p>
          <w:p w:rsidR="00000000" w:rsidRPr="00C33CD9" w:rsidP="00C33CD9">
            <w:pPr>
              <w:pStyle w:val="ListBullet"/>
            </w:pPr>
            <w:r w:rsidRPr="00C33CD9">
              <w:t>vessels</w:t>
            </w:r>
          </w:p>
          <w:p w:rsidR="00000000" w:rsidP="00C33CD9">
            <w:pPr>
              <w:pStyle w:val="ListBullet"/>
              <w:rPr>
                <w:lang w:val="en-NZ"/>
              </w:rPr>
            </w:pPr>
            <w:r w:rsidRPr="00C33CD9">
              <w:t>wholesale and retail equipment.</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Supply chain</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auction/wholesale and retail</w:t>
            </w:r>
          </w:p>
          <w:p w:rsidR="00000000" w:rsidRPr="00C33CD9" w:rsidP="00C33CD9">
            <w:pPr>
              <w:pStyle w:val="ListBullet"/>
            </w:pPr>
            <w:r w:rsidRPr="00C33CD9">
              <w:t>consumption</w:t>
            </w:r>
          </w:p>
          <w:p w:rsidR="00000000" w:rsidRPr="00C33CD9" w:rsidP="00C33CD9">
            <w:pPr>
              <w:pStyle w:val="ListBullet"/>
            </w:pPr>
            <w:r w:rsidRPr="00C33CD9">
              <w:t>cultivate and grow/culture</w:t>
            </w:r>
          </w:p>
          <w:p w:rsidR="00000000" w:rsidRPr="00C33CD9" w:rsidP="00C33CD9">
            <w:pPr>
              <w:pStyle w:val="ListBullet"/>
            </w:pPr>
            <w:r w:rsidRPr="00C33CD9">
              <w:t>harvest or catch</w:t>
            </w:r>
          </w:p>
          <w:p w:rsidR="00000000" w:rsidRPr="00C33CD9" w:rsidP="00C33CD9">
            <w:pPr>
              <w:pStyle w:val="ListBullet"/>
            </w:pPr>
            <w:r w:rsidRPr="00C33CD9">
              <w:t>live holding and display</w:t>
            </w:r>
          </w:p>
          <w:p w:rsidR="00000000" w:rsidRPr="00C33CD9" w:rsidP="00C33CD9">
            <w:pPr>
              <w:pStyle w:val="ListBullet"/>
            </w:pPr>
            <w:r w:rsidRPr="00C33CD9">
              <w:t>process</w:t>
            </w:r>
          </w:p>
          <w:p w:rsidR="00000000" w:rsidP="00C33CD9">
            <w:pPr>
              <w:pStyle w:val="ListBullet"/>
              <w:rPr>
                <w:lang w:val="en-NZ"/>
              </w:rPr>
            </w:pPr>
            <w:r w:rsidRPr="00C33CD9">
              <w:t>transport and storage.</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Stakeholders and other organisations</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Austrade and Department of Foreign Affairs</w:t>
            </w:r>
          </w:p>
          <w:p w:rsidR="00000000" w:rsidRPr="00C33CD9" w:rsidP="00C33CD9">
            <w:pPr>
              <w:pStyle w:val="ListBullet"/>
            </w:pPr>
            <w:r w:rsidRPr="00C33CD9">
              <w:t>certification or accreditation bodies, and third-party auditors</w:t>
            </w:r>
          </w:p>
          <w:p w:rsidR="00000000" w:rsidRPr="00C33CD9" w:rsidP="00C33CD9">
            <w:pPr>
              <w:pStyle w:val="ListBullet"/>
            </w:pPr>
            <w:r w:rsidRPr="00C33CD9">
              <w:t>cooperatives, marketing bodies and associ</w:t>
            </w:r>
            <w:r w:rsidRPr="00C33CD9">
              <w:t>ations</w:t>
            </w:r>
          </w:p>
          <w:p w:rsidR="00000000" w:rsidRPr="00C33CD9" w:rsidP="00C33CD9">
            <w:pPr>
              <w:pStyle w:val="ListBullet"/>
            </w:pPr>
            <w:r w:rsidRPr="00C33CD9">
              <w:t>commercial fishing or aquatic groups</w:t>
            </w:r>
          </w:p>
          <w:p w:rsidR="00000000" w:rsidRPr="00C33CD9" w:rsidP="00C33CD9">
            <w:pPr>
              <w:pStyle w:val="ListBullet"/>
            </w:pPr>
            <w:r w:rsidRPr="00C33CD9">
              <w:t>community representatives, local land holders and residents</w:t>
            </w:r>
          </w:p>
          <w:p w:rsidR="00000000" w:rsidRPr="00C33CD9" w:rsidP="00C33CD9">
            <w:pPr>
              <w:pStyle w:val="ListBullet"/>
            </w:pPr>
            <w:r w:rsidRPr="00C33CD9">
              <w:t>conservation and environmental organisations, such as the Nature Conservation Council and the World Wide Fund for Nature</w:t>
            </w:r>
          </w:p>
          <w:p w:rsidR="00000000" w:rsidRPr="00C33CD9" w:rsidP="00C33CD9">
            <w:pPr>
              <w:pStyle w:val="ListBullet"/>
            </w:pPr>
            <w:r w:rsidRPr="00C33CD9">
              <w:t>current and potential customers, clients and suppliers</w:t>
            </w:r>
          </w:p>
          <w:p w:rsidR="00000000" w:rsidRPr="00C33CD9" w:rsidP="00C33CD9">
            <w:pPr>
              <w:pStyle w:val="ListBullet"/>
            </w:pPr>
            <w:r w:rsidRPr="00C33CD9">
              <w:t xml:space="preserve">ecosystem or resource management committees or advisory groups, including Management Advisory Committees (MACs), catchment management groups, Landcare, Bushcare, Coastcare and Seacare </w:t>
            </w:r>
          </w:p>
          <w:p w:rsidR="00000000" w:rsidRPr="00C33CD9" w:rsidP="00C33CD9">
            <w:pPr>
              <w:pStyle w:val="ListBullet"/>
            </w:pPr>
            <w:r w:rsidRPr="00C33CD9">
              <w:t>employer, compan</w:t>
            </w:r>
            <w:r w:rsidRPr="00C33CD9">
              <w:t>y directors and other professional associations</w:t>
            </w:r>
          </w:p>
          <w:p w:rsidR="00000000" w:rsidRPr="00C33CD9" w:rsidP="00C33CD9">
            <w:pPr>
              <w:pStyle w:val="ListBullet"/>
            </w:pPr>
            <w:r w:rsidRPr="00C33CD9">
              <w:t>export promotion agencies, such as the Exporters Club</w:t>
            </w:r>
          </w:p>
          <w:p w:rsidR="00000000" w:rsidRPr="00C33CD9" w:rsidP="00C33CD9">
            <w:pPr>
              <w:pStyle w:val="ListBullet"/>
            </w:pPr>
            <w:r w:rsidRPr="00C33CD9">
              <w:t>government funding providers</w:t>
            </w:r>
          </w:p>
          <w:p w:rsidR="00000000" w:rsidRPr="00C33CD9" w:rsidP="00C33CD9">
            <w:pPr>
              <w:pStyle w:val="ListBullet"/>
            </w:pPr>
            <w:r w:rsidRPr="00C33CD9">
              <w:t>Indigenous seafood or resource management groups and traditional fishing groups/cooperatives</w:t>
            </w:r>
          </w:p>
          <w:p w:rsidR="00000000" w:rsidRPr="00C33CD9" w:rsidP="00C33CD9">
            <w:pPr>
              <w:pStyle w:val="ListBullet"/>
            </w:pPr>
            <w:r w:rsidRPr="00C33CD9">
              <w:t>media</w:t>
            </w:r>
          </w:p>
          <w:p w:rsidR="00000000" w:rsidRPr="00C33CD9" w:rsidP="00C33CD9">
            <w:pPr>
              <w:pStyle w:val="ListBullet"/>
            </w:pPr>
            <w:r w:rsidRPr="00C33CD9">
              <w:t>ornamental, aquarium and o</w:t>
            </w:r>
            <w:r w:rsidRPr="00C33CD9">
              <w:t>ther hobby groups</w:t>
            </w:r>
          </w:p>
          <w:p w:rsidR="00000000" w:rsidRPr="00C33CD9" w:rsidP="00C33CD9">
            <w:pPr>
              <w:pStyle w:val="ListBullet"/>
            </w:pPr>
            <w:r w:rsidRPr="00C33CD9">
              <w:t>political organisations, politicians and ministerial advisors</w:t>
            </w:r>
          </w:p>
          <w:p w:rsidR="00000000" w:rsidRPr="00C33CD9" w:rsidP="00C33CD9">
            <w:pPr>
              <w:pStyle w:val="ListBullet"/>
            </w:pPr>
            <w:r w:rsidRPr="00C33CD9">
              <w:t>professional, industry and state or territory representative bodies, including Seafood Experience Australia, National Aquaculture Council, Commonwealth Fisheries Association an</w:t>
            </w:r>
            <w:r w:rsidRPr="00C33CD9">
              <w:t>d Seafood Services Australia</w:t>
            </w:r>
          </w:p>
          <w:p w:rsidR="00000000" w:rsidRPr="00C33CD9" w:rsidP="00C33CD9">
            <w:pPr>
              <w:pStyle w:val="ListBullet"/>
            </w:pPr>
            <w:r w:rsidRPr="00C33CD9">
              <w:t>relevant ministries, government departments (federal, state or territory and local) and other regulation authorities, such as Department of Agriculture, Forestry and Fisheries, Australian Fisheries Management Authority and Aust</w:t>
            </w:r>
            <w:r w:rsidRPr="00C33CD9">
              <w:t>ralian Aquaculture Inspection Service</w:t>
            </w:r>
          </w:p>
          <w:p w:rsidR="00000000" w:rsidRPr="00C33CD9" w:rsidP="00C33CD9">
            <w:pPr>
              <w:pStyle w:val="ListBullet"/>
            </w:pPr>
            <w:r w:rsidRPr="00C33CD9">
              <w:t>research organisations, such as Australian Bureau of Agricultural Resource Economics and the Bureau of Rural Sciences</w:t>
            </w:r>
          </w:p>
          <w:p w:rsidR="00000000" w:rsidRPr="00C33CD9" w:rsidP="00C33CD9">
            <w:pPr>
              <w:pStyle w:val="ListBullet"/>
            </w:pPr>
            <w:r w:rsidRPr="00C33CD9">
              <w:t>schools, registered training organisations (RTOs) and industry training centres, AgriFood Skills Aus</w:t>
            </w:r>
            <w:r w:rsidRPr="00C33CD9">
              <w:t>tralia Standing Committee and industry training advisory bodies (ITABs)</w:t>
            </w:r>
          </w:p>
          <w:p w:rsidR="00000000" w:rsidRPr="00C33CD9" w:rsidP="00C33CD9">
            <w:pPr>
              <w:pStyle w:val="ListBullet"/>
            </w:pPr>
            <w:r w:rsidRPr="00C33CD9">
              <w:t>statutory authorities, such as the Fisheries Research and Development Corporation</w:t>
            </w:r>
          </w:p>
          <w:p w:rsidR="00000000" w:rsidRPr="00C33CD9" w:rsidP="00C33CD9">
            <w:pPr>
              <w:pStyle w:val="ListBullet"/>
            </w:pPr>
            <w:r w:rsidRPr="00C33CD9">
              <w:t>surfing, recreational fishing and boating groups</w:t>
            </w:r>
          </w:p>
          <w:p w:rsidR="00000000" w:rsidP="00C33CD9">
            <w:pPr>
              <w:pStyle w:val="ListBullet"/>
              <w:rPr>
                <w:lang w:val="en-NZ"/>
              </w:rPr>
            </w:pPr>
            <w:r w:rsidRPr="00C33CD9">
              <w:t>unions.</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Relevant legislation and regulations</w:t>
            </w:r>
            <w:r w:rsidRPr="00C33CD9">
              <w:t xml:space="preserve"> may include: </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business or workplace operations, policies and practices:</w:t>
            </w:r>
          </w:p>
          <w:p w:rsidR="00000000" w:rsidRPr="00C33CD9" w:rsidP="00C33CD9">
            <w:pPr>
              <w:pStyle w:val="ListBullet2"/>
            </w:pPr>
            <w:r w:rsidRPr="00C33CD9">
              <w:t xml:space="preserve">commercial law, including fair trading and trade practices </w:t>
            </w:r>
          </w:p>
          <w:p w:rsidR="00000000" w:rsidRPr="00C33CD9" w:rsidP="00C33CD9">
            <w:pPr>
              <w:pStyle w:val="ListBullet2"/>
            </w:pPr>
            <w:r w:rsidRPr="00C33CD9">
              <w:t>consumer law</w:t>
            </w:r>
          </w:p>
          <w:p w:rsidR="00000000" w:rsidRPr="00C33CD9" w:rsidP="00C33CD9">
            <w:pPr>
              <w:pStyle w:val="ListBullet2"/>
            </w:pPr>
            <w:r w:rsidRPr="00C33CD9">
              <w:t xml:space="preserve">corporate law, including registration, licensing and financial reporting </w:t>
            </w:r>
          </w:p>
          <w:p w:rsidR="00000000" w:rsidRPr="00C33CD9" w:rsidP="00C33CD9">
            <w:pPr>
              <w:pStyle w:val="ListBullet2"/>
            </w:pPr>
            <w:r w:rsidRPr="00C33CD9">
              <w:t>disability policies and practices</w:t>
            </w:r>
          </w:p>
          <w:p w:rsidR="00000000" w:rsidRPr="00C33CD9" w:rsidP="00C33CD9">
            <w:pPr>
              <w:pStyle w:val="ListBullet2"/>
            </w:pPr>
            <w:r w:rsidRPr="00C33CD9">
              <w:t xml:space="preserve">equal opportunity, anti-discrimination and sexual harassment </w:t>
            </w:r>
          </w:p>
          <w:p w:rsidR="00000000" w:rsidRPr="00C33CD9" w:rsidP="00C33CD9">
            <w:pPr>
              <w:pStyle w:val="ListBullet2"/>
            </w:pPr>
            <w:r w:rsidRPr="00C33CD9">
              <w:t>industrial relations and awards, individual employment contracts and share of catch agreements</w:t>
            </w:r>
          </w:p>
          <w:p w:rsidR="00000000" w:rsidRPr="00C33CD9" w:rsidP="00C33CD9">
            <w:pPr>
              <w:pStyle w:val="ListBullet2"/>
            </w:pPr>
            <w:r w:rsidRPr="00C33CD9">
              <w:t>jurisdictional variations</w:t>
            </w:r>
          </w:p>
          <w:p w:rsidR="00000000" w:rsidRPr="00C33CD9" w:rsidP="00C33CD9">
            <w:pPr>
              <w:pStyle w:val="ListBullet2"/>
            </w:pPr>
            <w:r w:rsidRPr="00C33CD9">
              <w:t>superannuation</w:t>
            </w:r>
          </w:p>
          <w:p w:rsidR="00000000" w:rsidRPr="00C33CD9" w:rsidP="00C33CD9">
            <w:pPr>
              <w:pStyle w:val="ListBullet2"/>
            </w:pPr>
            <w:r w:rsidRPr="00C33CD9">
              <w:t>taxation</w:t>
            </w:r>
          </w:p>
          <w:p w:rsidR="00000000" w:rsidRPr="00C33CD9" w:rsidP="00C33CD9">
            <w:pPr>
              <w:pStyle w:val="ListBullet2"/>
            </w:pPr>
            <w:r w:rsidRPr="00C33CD9">
              <w:t xml:space="preserve">trade practices </w:t>
            </w:r>
          </w:p>
          <w:p w:rsidR="00000000" w:rsidRPr="00C33CD9" w:rsidP="00C33CD9">
            <w:pPr>
              <w:pStyle w:val="ListBullet2"/>
            </w:pPr>
            <w:r w:rsidRPr="00C33CD9">
              <w:t>warnings and dismissals</w:t>
            </w:r>
          </w:p>
          <w:p w:rsidR="00000000" w:rsidRPr="00C33CD9" w:rsidP="00C33CD9">
            <w:pPr>
              <w:pStyle w:val="ListBullet2"/>
            </w:pPr>
            <w:r w:rsidRPr="00C33CD9">
              <w:t>worker's</w:t>
            </w:r>
            <w:r w:rsidRPr="00C33CD9">
              <w:t xml:space="preserve"> compensation</w:t>
            </w:r>
          </w:p>
          <w:p w:rsidR="00000000" w:rsidRPr="00C33CD9" w:rsidP="00C33CD9">
            <w:pPr>
              <w:pStyle w:val="ListBullet"/>
            </w:pPr>
            <w:r w:rsidRPr="00C33CD9">
              <w:t>ESD principles, environmental hazard identification, risk assessment and control</w:t>
            </w:r>
          </w:p>
          <w:p w:rsidR="00000000" w:rsidRPr="00C33CD9" w:rsidP="00C33CD9">
            <w:pPr>
              <w:pStyle w:val="ListBullet"/>
            </w:pPr>
            <w:r w:rsidRPr="00C33CD9">
              <w:t>fisheries or aquaculture regulations, permits, licences, quotas, catch restrictions, and other compliance requirements, including:</w:t>
            </w:r>
          </w:p>
          <w:p w:rsidR="00000000" w:rsidRPr="00C33CD9" w:rsidP="00C33CD9">
            <w:pPr>
              <w:pStyle w:val="ListBullet2"/>
            </w:pPr>
            <w:r w:rsidRPr="00C33CD9">
              <w:t>Australian Exclusive Economi</w:t>
            </w:r>
            <w:r w:rsidRPr="00C33CD9">
              <w:t>c Zone</w:t>
            </w:r>
          </w:p>
          <w:p w:rsidR="00000000" w:rsidRPr="00C33CD9" w:rsidP="00C33CD9">
            <w:pPr>
              <w:pStyle w:val="ListBullet2"/>
            </w:pPr>
            <w:r w:rsidRPr="00C33CD9">
              <w:t>international treaties and agreements</w:t>
            </w:r>
          </w:p>
          <w:p w:rsidR="00000000" w:rsidRPr="00C33CD9" w:rsidP="00C33CD9">
            <w:pPr>
              <w:pStyle w:val="ListBullet"/>
            </w:pPr>
            <w:r w:rsidRPr="00C33CD9">
              <w:t>food safety, Hazard Analysis Critical Control Point (HACCP), hygiene and temperature control along chain of custody</w:t>
            </w:r>
          </w:p>
          <w:p w:rsidR="00000000" w:rsidRPr="00C33CD9" w:rsidP="00C33CD9">
            <w:pPr>
              <w:pStyle w:val="ListBullet"/>
            </w:pPr>
            <w:r w:rsidRPr="00C33CD9">
              <w:t>imports quarantine and inspection, and importing approved arrangements for Australian Quarantine Inspection Service (AQIS), Australian Customs Service (ACS) and Biosecurity Australia (BA)</w:t>
            </w:r>
          </w:p>
          <w:p w:rsidR="00000000" w:rsidRPr="00C33CD9" w:rsidP="00C33CD9">
            <w:pPr>
              <w:pStyle w:val="ListBullet"/>
            </w:pPr>
            <w:r w:rsidRPr="00C33CD9">
              <w:t>Indigenous native title, land claims and cultural activities, includ</w:t>
            </w:r>
            <w:r w:rsidRPr="00C33CD9">
              <w:t>ing fishing by traditional methods</w:t>
            </w:r>
          </w:p>
          <w:p w:rsidR="00000000" w:rsidRPr="00C33CD9" w:rsidP="00C33CD9">
            <w:pPr>
              <w:pStyle w:val="ListBullet"/>
            </w:pPr>
            <w:r w:rsidRPr="00C33CD9">
              <w:t>land, buildings and vehicle operations:</w:t>
            </w:r>
          </w:p>
          <w:p w:rsidR="00000000" w:rsidRPr="00C33CD9" w:rsidP="00C33CD9">
            <w:pPr>
              <w:pStyle w:val="ListBullet2"/>
            </w:pPr>
            <w:r w:rsidRPr="00C33CD9">
              <w:t>buildings and structures design and appearance, constructions and additions</w:t>
            </w:r>
          </w:p>
          <w:p w:rsidR="00000000" w:rsidRPr="00C33CD9" w:rsidP="00C33CD9">
            <w:pPr>
              <w:pStyle w:val="ListBullet2"/>
            </w:pPr>
            <w:r w:rsidRPr="00C33CD9">
              <w:t xml:space="preserve">poaching, trespass and theft </w:t>
            </w:r>
          </w:p>
          <w:p w:rsidR="00000000" w:rsidRPr="00C33CD9" w:rsidP="00C33CD9">
            <w:pPr>
              <w:pStyle w:val="ListBullet2"/>
            </w:pPr>
            <w:r w:rsidRPr="00C33CD9">
              <w:t>road laws for use of motor vehicles, bikes, trucks and other transport equ</w:t>
            </w:r>
            <w:r w:rsidRPr="00C33CD9">
              <w:t>ipment</w:t>
            </w:r>
          </w:p>
          <w:p w:rsidR="00000000" w:rsidRPr="00C33CD9" w:rsidP="00C33CD9">
            <w:pPr>
              <w:pStyle w:val="ListBullet2"/>
            </w:pPr>
            <w:r w:rsidRPr="00C33CD9">
              <w:t xml:space="preserve">soil and water management </w:t>
            </w:r>
          </w:p>
          <w:p w:rsidR="00000000" w:rsidRPr="00C33CD9" w:rsidP="00C33CD9">
            <w:pPr>
              <w:pStyle w:val="ListBullet2"/>
            </w:pPr>
            <w:r w:rsidRPr="00C33CD9">
              <w:t>use of chemicals and biological agents</w:t>
            </w:r>
          </w:p>
          <w:p w:rsidR="00000000" w:rsidRPr="00C33CD9" w:rsidP="00C33CD9">
            <w:pPr>
              <w:pStyle w:val="ListBullet2"/>
            </w:pPr>
            <w:r w:rsidRPr="00C33CD9">
              <w:t>use of firearms and powerheads</w:t>
            </w:r>
          </w:p>
          <w:p w:rsidR="00000000" w:rsidRPr="00C33CD9" w:rsidP="00C33CD9">
            <w:pPr>
              <w:pStyle w:val="ListBullet2"/>
            </w:pPr>
            <w:r w:rsidRPr="00C33CD9">
              <w:t>use of utilities, including water, natural gas, electricity and sewage</w:t>
            </w:r>
          </w:p>
          <w:p w:rsidR="00000000" w:rsidRPr="00C33CD9" w:rsidP="00C33CD9">
            <w:pPr>
              <w:pStyle w:val="ListBullet2"/>
            </w:pPr>
            <w:r w:rsidRPr="00C33CD9">
              <w:t xml:space="preserve">water or land lease, tenure or ownership and use </w:t>
            </w:r>
          </w:p>
          <w:p w:rsidR="00000000" w:rsidRPr="00C33CD9" w:rsidP="00C33CD9">
            <w:pPr>
              <w:pStyle w:val="ListBullet"/>
            </w:pPr>
            <w:r w:rsidRPr="00C33CD9">
              <w:t>maritime, vessel and occupatio</w:t>
            </w:r>
            <w:r w:rsidRPr="00C33CD9">
              <w:t>nal diving operations:</w:t>
            </w:r>
          </w:p>
          <w:p w:rsidR="00000000" w:rsidRPr="00C33CD9" w:rsidP="00C33CD9">
            <w:pPr>
              <w:pStyle w:val="ListBullet2"/>
            </w:pPr>
            <w:r w:rsidRPr="00C33CD9">
              <w:t>Australian occupational diving standards and codes of practice</w:t>
            </w:r>
          </w:p>
          <w:p w:rsidR="00000000" w:rsidRPr="00C33CD9" w:rsidP="00C33CD9">
            <w:pPr>
              <w:pStyle w:val="ListBullet2"/>
            </w:pPr>
            <w:r w:rsidRPr="00C33CD9">
              <w:t>foreign and Australian legislation applying to quarantine and customs</w:t>
            </w:r>
          </w:p>
          <w:p w:rsidR="00000000" w:rsidRPr="00C33CD9" w:rsidP="00C33CD9">
            <w:pPr>
              <w:pStyle w:val="ListBullet2"/>
            </w:pPr>
            <w:r w:rsidRPr="00C33CD9">
              <w:t>International Convention for the Safety of Life at Sea (SOLAS)</w:t>
            </w:r>
          </w:p>
          <w:p w:rsidR="00000000" w:rsidRPr="00C33CD9" w:rsidP="00C33CD9">
            <w:pPr>
              <w:pStyle w:val="ListBullet2"/>
            </w:pPr>
            <w:r w:rsidRPr="00C33CD9">
              <w:t xml:space="preserve">International Convention on Standards of Training, Certification and Watchkeeping for Seafarers (STCW 1978) </w:t>
            </w:r>
          </w:p>
          <w:p w:rsidR="00000000" w:rsidRPr="00C33CD9" w:rsidP="00C33CD9">
            <w:pPr>
              <w:pStyle w:val="ListBullet2"/>
            </w:pPr>
            <w:r w:rsidRPr="00C33CD9">
              <w:t>Marine Emergency Response Search and Rescue (MERSAR)</w:t>
            </w:r>
          </w:p>
          <w:p w:rsidR="00000000" w:rsidRPr="00C33CD9" w:rsidP="00C33CD9">
            <w:pPr>
              <w:pStyle w:val="ListBullet2"/>
            </w:pPr>
            <w:r w:rsidRPr="00C33CD9">
              <w:t>National Standards for Commercial Vessels</w:t>
            </w:r>
          </w:p>
          <w:p w:rsidR="00000000" w:rsidRPr="00C33CD9" w:rsidP="00C33CD9">
            <w:pPr>
              <w:pStyle w:val="ListBullet2"/>
            </w:pPr>
            <w:r w:rsidRPr="00C33CD9">
              <w:t xml:space="preserve">pollution prevention - International Convention for </w:t>
            </w:r>
            <w:r w:rsidRPr="00C33CD9">
              <w:t>the Prevention of Pollution from Ships (MARPOL 73/78)</w:t>
            </w:r>
          </w:p>
          <w:p w:rsidR="00000000" w:rsidRPr="00C33CD9" w:rsidP="00C33CD9">
            <w:pPr>
              <w:pStyle w:val="ListBullet2"/>
            </w:pPr>
            <w:r w:rsidRPr="00C33CD9">
              <w:t xml:space="preserve">Uniform Shipping Laws (USL) Code </w:t>
            </w:r>
          </w:p>
          <w:p w:rsidR="00000000" w:rsidRPr="00C33CD9" w:rsidP="00C33CD9">
            <w:pPr>
              <w:pStyle w:val="ListBullet2"/>
            </w:pPr>
            <w:r w:rsidRPr="00C33CD9">
              <w:t>use of vessels, right of way and other marine orders, bunkering and refuelling</w:t>
            </w:r>
          </w:p>
          <w:p w:rsidR="00000000" w:rsidRPr="00C33CD9" w:rsidP="00C33CD9">
            <w:pPr>
              <w:pStyle w:val="ListBullet"/>
            </w:pPr>
            <w:r w:rsidRPr="00C33CD9">
              <w:t>occupational health and safety (OHS) hazard identification, risk assessment and control</w:t>
            </w:r>
          </w:p>
          <w:p w:rsidR="00000000" w:rsidRPr="00C33CD9" w:rsidP="00C33CD9">
            <w:pPr>
              <w:pStyle w:val="ListBullet"/>
            </w:pPr>
            <w:r w:rsidRPr="00C33CD9">
              <w:t>product quality assurance:</w:t>
            </w:r>
          </w:p>
          <w:p w:rsidR="00000000" w:rsidRPr="00C33CD9" w:rsidP="00C33CD9">
            <w:pPr>
              <w:pStyle w:val="ListBullet2"/>
            </w:pPr>
            <w:r w:rsidRPr="00C33CD9">
              <w:t>correct naming and labelling (country of origin, Australian Fish Names Standard and eco-labelling)</w:t>
            </w:r>
          </w:p>
          <w:p w:rsidR="00000000" w:rsidRPr="00C33CD9" w:rsidP="00C33CD9">
            <w:pPr>
              <w:pStyle w:val="ListBullet2"/>
            </w:pPr>
            <w:r w:rsidRPr="00C33CD9">
              <w:t>correct quantities, sizes and other customer requirements</w:t>
            </w:r>
          </w:p>
          <w:p w:rsidR="00000000" w:rsidP="00C33CD9">
            <w:pPr>
              <w:pStyle w:val="ListBullet2"/>
              <w:rPr>
                <w:lang w:val="en-NZ"/>
              </w:rPr>
            </w:pPr>
            <w:r w:rsidRPr="00C33CD9">
              <w:t>third-party certification (e.g. Australian Grown and ISO 14001:2004 Env</w:t>
            </w:r>
            <w:r w:rsidRPr="00C33CD9">
              <w:t>ironmental management systems).</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Industry sectors</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aquaculture</w:t>
            </w:r>
          </w:p>
          <w:p w:rsidR="00000000" w:rsidRPr="00C33CD9" w:rsidP="00C33CD9">
            <w:pPr>
              <w:pStyle w:val="ListBullet"/>
            </w:pPr>
            <w:r w:rsidRPr="00C33CD9">
              <w:t>fisheries compliance</w:t>
            </w:r>
          </w:p>
          <w:p w:rsidR="00000000" w:rsidRPr="00C33CD9" w:rsidP="00C33CD9">
            <w:pPr>
              <w:pStyle w:val="ListBullet"/>
            </w:pPr>
            <w:r w:rsidRPr="00C33CD9">
              <w:t>foreign fishers and companies</w:t>
            </w:r>
          </w:p>
          <w:p w:rsidR="00000000" w:rsidRPr="00C33CD9" w:rsidP="00C33CD9">
            <w:pPr>
              <w:pStyle w:val="ListBullet"/>
            </w:pPr>
            <w:r w:rsidRPr="00C33CD9">
              <w:t>importing, exporting, trading and marketing</w:t>
            </w:r>
          </w:p>
          <w:p w:rsidR="00000000" w:rsidRPr="00C33CD9" w:rsidP="00C33CD9">
            <w:pPr>
              <w:pStyle w:val="ListBullet"/>
            </w:pPr>
            <w:r w:rsidRPr="00C33CD9">
              <w:t>Indigenous Australian fishers</w:t>
            </w:r>
          </w:p>
          <w:p w:rsidR="00000000" w:rsidRPr="00C33CD9" w:rsidP="00C33CD9">
            <w:pPr>
              <w:pStyle w:val="ListBullet"/>
            </w:pPr>
            <w:r w:rsidRPr="00C33CD9">
              <w:t>ornamentals and aquaria</w:t>
            </w:r>
          </w:p>
          <w:p w:rsidR="00000000" w:rsidRPr="00C33CD9" w:rsidP="00C33CD9">
            <w:pPr>
              <w:pStyle w:val="ListBullet"/>
            </w:pPr>
            <w:r w:rsidRPr="00C33CD9">
              <w:t>post-harvest:</w:t>
            </w:r>
          </w:p>
          <w:p w:rsidR="00000000" w:rsidRPr="00C33CD9" w:rsidP="00C33CD9">
            <w:pPr>
              <w:pStyle w:val="ListBullet2"/>
            </w:pPr>
            <w:r w:rsidRPr="00C33CD9">
              <w:t>live holding or display</w:t>
            </w:r>
          </w:p>
          <w:p w:rsidR="00000000" w:rsidRPr="00C33CD9" w:rsidP="00C33CD9">
            <w:pPr>
              <w:pStyle w:val="ListBullet2"/>
            </w:pPr>
            <w:r w:rsidRPr="00C33CD9">
              <w:t>processing</w:t>
            </w:r>
          </w:p>
          <w:p w:rsidR="00000000" w:rsidRPr="00C33CD9" w:rsidP="00C33CD9">
            <w:pPr>
              <w:pStyle w:val="ListBullet2"/>
            </w:pPr>
            <w:r w:rsidRPr="00C33CD9">
              <w:t>transport and distribution</w:t>
            </w:r>
          </w:p>
          <w:p w:rsidR="00000000" w:rsidRPr="00C33CD9" w:rsidP="00C33CD9">
            <w:pPr>
              <w:pStyle w:val="ListBullet2"/>
            </w:pPr>
            <w:r w:rsidRPr="00C33CD9">
              <w:t>wholesale and retail</w:t>
            </w:r>
          </w:p>
          <w:p w:rsidR="00000000" w:rsidRPr="00C33CD9" w:rsidP="00C33CD9">
            <w:pPr>
              <w:pStyle w:val="ListBullet"/>
            </w:pPr>
            <w:r w:rsidRPr="00C33CD9">
              <w:t>wild catch fisheries, including fishing charter operations</w:t>
            </w:r>
          </w:p>
          <w:p w:rsidR="00000000" w:rsidP="00C33CD9">
            <w:pPr>
              <w:pStyle w:val="ListBullet"/>
              <w:rPr>
                <w:lang w:val="en-NZ"/>
              </w:rPr>
            </w:pPr>
            <w:r w:rsidRPr="00C33CD9">
              <w:t>vessel operations.</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Information</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discussion of issues:</w:t>
            </w:r>
          </w:p>
          <w:p w:rsidR="00000000" w:rsidRPr="00C33CD9" w:rsidP="00C33CD9">
            <w:pPr>
              <w:pStyle w:val="ListBullet2"/>
            </w:pPr>
            <w:r w:rsidRPr="00C33CD9">
              <w:t>at port, sector, cooperative and community meetings</w:t>
            </w:r>
          </w:p>
          <w:p w:rsidR="00000000" w:rsidRPr="00C33CD9" w:rsidP="00C33CD9">
            <w:pPr>
              <w:pStyle w:val="ListBullet2"/>
            </w:pPr>
            <w:r w:rsidRPr="00C33CD9">
              <w:t>with industry groups and government representatives</w:t>
            </w:r>
          </w:p>
          <w:p w:rsidR="00000000" w:rsidRPr="00C33CD9" w:rsidP="00C33CD9">
            <w:pPr>
              <w:pStyle w:val="ListBullet"/>
            </w:pPr>
            <w:r w:rsidRPr="00C33CD9">
              <w:t>verbal information (e.g. face to face and telephone)</w:t>
            </w:r>
          </w:p>
          <w:p w:rsidR="00000000" w:rsidRPr="00C33CD9" w:rsidP="00C33CD9">
            <w:pPr>
              <w:pStyle w:val="ListBullet"/>
            </w:pPr>
            <w:r w:rsidRPr="00C33CD9">
              <w:t>websites, Facebook, Twitter and other online networks</w:t>
            </w:r>
          </w:p>
          <w:p w:rsidR="00000000" w:rsidP="00C33CD9">
            <w:pPr>
              <w:pStyle w:val="ListBullet"/>
              <w:rPr>
                <w:lang w:val="en-NZ"/>
              </w:rPr>
            </w:pPr>
            <w:r w:rsidRPr="00C33CD9">
              <w:t xml:space="preserve">written information (e.g. electronic, </w:t>
            </w:r>
            <w:r w:rsidRPr="00C33CD9">
              <w:t>SMS, memos, reports, newsletters, surveys, media releases, posters and brochures).</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New developments</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climate change</w:t>
            </w:r>
          </w:p>
          <w:p w:rsidR="00000000" w:rsidRPr="00C33CD9" w:rsidP="00C33CD9">
            <w:pPr>
              <w:pStyle w:val="ListBullet"/>
            </w:pPr>
            <w:r w:rsidRPr="00C33CD9">
              <w:t>economic change</w:t>
            </w:r>
          </w:p>
          <w:p w:rsidR="00000000" w:rsidRPr="00C33CD9" w:rsidP="00C33CD9">
            <w:pPr>
              <w:pStyle w:val="ListBullet"/>
            </w:pPr>
            <w:r w:rsidRPr="00C33CD9">
              <w:t>legislative and resource management changes</w:t>
            </w:r>
          </w:p>
          <w:p w:rsidR="00000000" w:rsidRPr="00C33CD9" w:rsidP="00C33CD9">
            <w:pPr>
              <w:pStyle w:val="ListBullet"/>
            </w:pPr>
            <w:r w:rsidRPr="00C33CD9">
              <w:t>new products, markets, processing, packaging and equipment</w:t>
            </w:r>
          </w:p>
          <w:p w:rsidR="00000000" w:rsidRPr="00C33CD9" w:rsidP="00C33CD9">
            <w:pPr>
              <w:pStyle w:val="ListBullet"/>
            </w:pPr>
            <w:r w:rsidRPr="00C33CD9">
              <w:t>politic</w:t>
            </w:r>
            <w:r w:rsidRPr="00C33CD9">
              <w:t>al issues</w:t>
            </w:r>
          </w:p>
          <w:p w:rsidR="00000000" w:rsidRPr="00C33CD9" w:rsidP="00C33CD9">
            <w:pPr>
              <w:pStyle w:val="ListBullet"/>
            </w:pPr>
            <w:r w:rsidRPr="00C33CD9">
              <w:t>proposed policy changes</w:t>
            </w:r>
          </w:p>
          <w:p w:rsidR="00000000" w:rsidRPr="00C33CD9" w:rsidP="00C33CD9">
            <w:pPr>
              <w:pStyle w:val="ListBullet"/>
            </w:pPr>
            <w:r w:rsidRPr="00C33CD9">
              <w:t>quality and environmental requirements</w:t>
            </w:r>
          </w:p>
          <w:p w:rsidR="00000000" w:rsidRPr="00C33CD9" w:rsidP="00C33CD9">
            <w:pPr>
              <w:pStyle w:val="ListBullet"/>
            </w:pPr>
            <w:r w:rsidRPr="00C33CD9">
              <w:t>research findings</w:t>
            </w:r>
          </w:p>
          <w:p w:rsidR="00000000" w:rsidRPr="00C33CD9" w:rsidP="00C33CD9">
            <w:pPr>
              <w:pStyle w:val="ListBullet"/>
            </w:pPr>
            <w:r w:rsidRPr="00C33CD9">
              <w:t>technological change</w:t>
            </w:r>
          </w:p>
          <w:p w:rsidR="00000000" w:rsidP="00C33CD9">
            <w:pPr>
              <w:pStyle w:val="ListBullet"/>
              <w:rPr>
                <w:lang w:val="en-NZ"/>
              </w:rPr>
            </w:pPr>
            <w:r w:rsidRPr="00C33CD9">
              <w:t>third-party accreditation or certification.</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Quality and environmental requirements</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animal welfare</w:t>
            </w:r>
          </w:p>
          <w:p w:rsidR="00000000" w:rsidRPr="00C33CD9" w:rsidP="00C33CD9">
            <w:pPr>
              <w:pStyle w:val="ListBullet"/>
            </w:pPr>
            <w:r w:rsidRPr="00C33CD9">
              <w:t>ecologically sustainable fisheries requirements, including population dynamics, fishing impacts and management strategies</w:t>
            </w:r>
          </w:p>
          <w:p w:rsidR="00000000" w:rsidRPr="00C33CD9" w:rsidP="00C33CD9">
            <w:pPr>
              <w:pStyle w:val="ListBullet"/>
            </w:pPr>
            <w:r w:rsidRPr="00C33CD9">
              <w:t>enterprise standard operating procedures and quality assurance systems</w:t>
            </w:r>
          </w:p>
          <w:p w:rsidR="00000000" w:rsidRPr="00C33CD9" w:rsidP="00C33CD9">
            <w:pPr>
              <w:pStyle w:val="ListBullet"/>
            </w:pPr>
            <w:r w:rsidRPr="00C33CD9">
              <w:t xml:space="preserve">food safety, including state or territory food regulations and </w:t>
            </w:r>
            <w:r w:rsidRPr="00C33CD9">
              <w:t>Australian and New Zealand Food Safety requirements</w:t>
            </w:r>
          </w:p>
          <w:p w:rsidR="00000000" w:rsidRPr="00C33CD9" w:rsidP="00C33CD9">
            <w:pPr>
              <w:pStyle w:val="ListBullet"/>
            </w:pPr>
            <w:r w:rsidRPr="00C33CD9">
              <w:t>HACCP</w:t>
            </w:r>
          </w:p>
          <w:p w:rsidR="00000000" w:rsidRPr="00C33CD9" w:rsidP="00C33CD9">
            <w:pPr>
              <w:pStyle w:val="ListBullet"/>
            </w:pPr>
            <w:r w:rsidRPr="00C33CD9">
              <w:t>industry or sector codes of practice</w:t>
            </w:r>
          </w:p>
          <w:p w:rsidR="00000000" w:rsidRPr="00C33CD9" w:rsidP="00C33CD9">
            <w:pPr>
              <w:pStyle w:val="ListBullet"/>
            </w:pPr>
            <w:r w:rsidRPr="00C33CD9">
              <w:t>legal/regulatory requirements, such as legal limits and quotas</w:t>
            </w:r>
          </w:p>
          <w:p w:rsidR="00000000" w:rsidP="00C33CD9">
            <w:pPr>
              <w:pStyle w:val="ListBullet"/>
              <w:rPr>
                <w:lang w:val="en-NZ"/>
              </w:rPr>
            </w:pPr>
            <w:r w:rsidRPr="00C33CD9">
              <w:t>personal hygiene.</w:t>
            </w:r>
          </w:p>
        </w:tc>
      </w:tr>
      <w:tr w:rsidTr="00A9124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BoldandItalics"/>
              </w:rPr>
              <w:t>Professional and ethical manner</w:t>
            </w:r>
            <w:r w:rsidRPr="00C33CD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ListBullet"/>
            </w:pPr>
            <w:r w:rsidRPr="00C33CD9">
              <w:t>acknowledging the roles and accou</w:t>
            </w:r>
            <w:r w:rsidRPr="00C33CD9">
              <w:t>ntability of other stakeholders</w:t>
            </w:r>
          </w:p>
          <w:p w:rsidR="00000000" w:rsidRPr="00C33CD9" w:rsidP="00C33CD9">
            <w:pPr>
              <w:pStyle w:val="ListBullet"/>
            </w:pPr>
            <w:r w:rsidRPr="00C33CD9">
              <w:t>declaring any financial and other self-interest</w:t>
            </w:r>
          </w:p>
          <w:p w:rsidR="00000000" w:rsidRPr="00C33CD9" w:rsidP="00C33CD9">
            <w:pPr>
              <w:pStyle w:val="ListBullet"/>
            </w:pPr>
            <w:r w:rsidRPr="00C33CD9">
              <w:t>ensuring that contributions are in the best interests of the industry sector, rather than acting as an advocate for an organisation or interest group</w:t>
            </w:r>
          </w:p>
          <w:p w:rsidR="00000000" w:rsidRPr="00C33CD9" w:rsidP="00C33CD9">
            <w:pPr>
              <w:pStyle w:val="ListBullet"/>
            </w:pPr>
            <w:r w:rsidRPr="00C33CD9">
              <w:t>making time for consultati</w:t>
            </w:r>
            <w:r w:rsidRPr="00C33CD9">
              <w:t>on and meeting preparation</w:t>
            </w:r>
          </w:p>
          <w:p w:rsidR="00000000" w:rsidRPr="00C33CD9" w:rsidP="00C33CD9">
            <w:pPr>
              <w:pStyle w:val="ListBullet"/>
            </w:pPr>
            <w:r w:rsidRPr="00C33CD9">
              <w:t>observing confidentiality, tact and discretion when dealing with sensitive issues and documents</w:t>
            </w:r>
          </w:p>
          <w:p w:rsidR="00000000" w:rsidRPr="00C33CD9" w:rsidP="00C33CD9">
            <w:pPr>
              <w:pStyle w:val="ListBullet"/>
            </w:pPr>
            <w:r w:rsidRPr="00C33CD9">
              <w:t>putting views forward in a manner that engenders cooperation and compromise.</w:t>
            </w:r>
          </w:p>
        </w:tc>
      </w:tr>
    </w:tbl>
    <w:p w:rsidR="00A91245" w:rsidP="00C33CD9">
      <w:pPr>
        <w:pStyle w:val="BodyText"/>
      </w:pPr>
    </w:p>
    <w:p w:rsidR="00A91245" w:rsidP="00C33CD9">
      <w:pPr>
        <w:pStyle w:val="BodyText"/>
      </w:pPr>
    </w:p>
    <w:p w:rsidR="00000000" w:rsidRPr="00C33CD9" w:rsidP="00C33CD9">
      <w:pPr>
        <w:pStyle w:val="Heading1"/>
      </w:pPr>
      <w:bookmarkStart w:id="12" w:name="O_218359"/>
      <w:bookmarkEnd w:id="12"/>
      <w:r w:rsidRPr="00C33CD9">
        <w:t>Unit Sector(s)</w:t>
      </w:r>
    </w:p>
    <w:tbl>
      <w:tblPr>
        <w:tblW w:w="0" w:type="auto"/>
        <w:tblLayout w:type="fixed"/>
        <w:tblCellMar>
          <w:left w:w="62" w:type="dxa"/>
          <w:right w:w="62" w:type="dxa"/>
        </w:tblCellMar>
        <w:tblLook w:val="0000"/>
      </w:tblPr>
      <w:tblGrid>
        <w:gridCol w:w="2606"/>
        <w:gridCol w:w="5916"/>
      </w:tblGrid>
      <w:tr w:rsidTr="00A91245">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r w:rsidRPr="00C33CD9">
              <w:t>Leadership</w:t>
            </w:r>
          </w:p>
        </w:tc>
      </w:tr>
    </w:tbl>
    <w:p w:rsidR="00A91245" w:rsidP="00C33CD9">
      <w:pPr>
        <w:pStyle w:val="BodyText"/>
      </w:pPr>
    </w:p>
    <w:p w:rsidR="00A91245" w:rsidP="00C33CD9">
      <w:pPr>
        <w:pStyle w:val="BodyText"/>
      </w:pPr>
    </w:p>
    <w:p w:rsidR="00000000" w:rsidRPr="00C33CD9" w:rsidP="00C33CD9">
      <w:pPr>
        <w:pStyle w:val="Heading1"/>
      </w:pPr>
      <w:bookmarkStart w:id="13" w:name="O_218356"/>
      <w:bookmarkEnd w:id="13"/>
      <w:r w:rsidRPr="00C33CD9">
        <w:t>Co-requisite units</w:t>
      </w:r>
    </w:p>
    <w:tbl>
      <w:tblPr>
        <w:tblW w:w="0" w:type="auto"/>
        <w:tblLayout w:type="fixed"/>
        <w:tblCellMar>
          <w:left w:w="62" w:type="dxa"/>
          <w:right w:w="62" w:type="dxa"/>
        </w:tblCellMar>
        <w:tblLook w:val="0000"/>
      </w:tblPr>
      <w:tblGrid>
        <w:gridCol w:w="2641"/>
        <w:gridCol w:w="1322"/>
        <w:gridCol w:w="4559"/>
      </w:tblGrid>
      <w:tr w:rsidTr="00A912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p>
        </w:tc>
      </w:tr>
      <w:tr w:rsidTr="00A912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p>
        </w:tc>
      </w:tr>
      <w:tr w:rsidTr="00A912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p>
        </w:tc>
      </w:tr>
    </w:tbl>
    <w:p w:rsidR="00A91245" w:rsidP="00C33CD9">
      <w:pPr>
        <w:pStyle w:val="BodyText"/>
      </w:pPr>
    </w:p>
    <w:p w:rsidR="00A91245" w:rsidP="00C33CD9">
      <w:pPr>
        <w:pStyle w:val="BodyText"/>
      </w:pPr>
    </w:p>
    <w:p w:rsidR="00000000" w:rsidRPr="00C33CD9" w:rsidP="00C33CD9">
      <w:pPr>
        <w:pStyle w:val="Heading1"/>
      </w:pPr>
      <w:bookmarkStart w:id="14" w:name="O_218358"/>
      <w:bookmarkEnd w:id="14"/>
      <w:r w:rsidRPr="00C33CD9">
        <w:t>Competency field</w:t>
      </w:r>
    </w:p>
    <w:tbl>
      <w:tblPr>
        <w:tblW w:w="0" w:type="auto"/>
        <w:tblLayout w:type="fixed"/>
        <w:tblCellMar>
          <w:left w:w="62" w:type="dxa"/>
          <w:right w:w="62" w:type="dxa"/>
        </w:tblCellMar>
        <w:tblLook w:val="0000"/>
      </w:tblPr>
      <w:tblGrid>
        <w:gridCol w:w="2784"/>
        <w:gridCol w:w="5738"/>
      </w:tblGrid>
      <w:tr w:rsidTr="00A912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D9">
            <w:pPr>
              <w:pStyle w:val="BodyText"/>
              <w:rPr>
                <w:lang w:val="en-NZ"/>
              </w:rPr>
            </w:pPr>
            <w:r w:rsidRPr="00C33C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D9" w:rsidP="00C33CD9">
            <w:pPr>
              <w:pStyle w:val="BodyText"/>
            </w:pPr>
          </w:p>
        </w:tc>
      </w:tr>
    </w:tbl>
    <w:p w:rsidR="00A91245" w:rsidP="00C33CD9">
      <w:pPr>
        <w:pStyle w:val="BodyText"/>
      </w:pPr>
    </w:p>
    <w:p w:rsidR="00A91245" w:rsidP="00C33CD9">
      <w:pPr>
        <w:pStyle w:val="BodyText"/>
      </w:pPr>
    </w:p>
    <w:p w:rsidR="00000000" w:rsidRPr="00C33CD9" w:rsidP="00C33CD9"/>
    <w:sectPr w:rsidSect="00C33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245" w:rsidP="00A91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45" w:rsidP="00C33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1245" w:rsidP="00C33C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1245" w:rsidP="00C33C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245" w:rsidP="00A912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45" w:rsidP="00C33CD9">
    <w:pPr>
      <w:pStyle w:val="Header"/>
      <w:framePr w:wrap="around"/>
    </w:pPr>
    <w:r>
      <w:fldChar w:fldCharType="begin"/>
    </w:r>
    <w:r>
      <w:instrText xml:space="preserve"> TITLE   \* MERGEFORMAT </w:instrText>
    </w:r>
    <w:r>
      <w:fldChar w:fldCharType="separate"/>
    </w:r>
    <w:r>
      <w:t>SFILEAD407A Provide expert information to a resource management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1245" w:rsidP="00C33C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46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29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C5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C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3CD9"/>
    <w:pPr>
      <w:spacing w:before="360" w:after="60"/>
      <w:outlineLvl w:val="0"/>
    </w:pPr>
    <w:rPr>
      <w:sz w:val="32"/>
    </w:rPr>
  </w:style>
  <w:style w:type="paragraph" w:styleId="Heading2">
    <w:name w:val="heading 2"/>
    <w:basedOn w:val="HeadingBase"/>
    <w:next w:val="BodyText"/>
    <w:link w:val="Heading2Char"/>
    <w:qFormat/>
    <w:rsid w:val="00C33CD9"/>
    <w:pPr>
      <w:keepLines/>
      <w:spacing w:before="240" w:after="120"/>
      <w:outlineLvl w:val="1"/>
    </w:pPr>
    <w:rPr>
      <w:sz w:val="28"/>
      <w:szCs w:val="40"/>
    </w:rPr>
  </w:style>
  <w:style w:type="paragraph" w:styleId="Heading3">
    <w:name w:val="heading 3"/>
    <w:basedOn w:val="HeadingBase"/>
    <w:next w:val="BodyText"/>
    <w:link w:val="Heading3Char"/>
    <w:qFormat/>
    <w:rsid w:val="00C33CD9"/>
    <w:pPr>
      <w:spacing w:before="180" w:after="120"/>
      <w:outlineLvl w:val="2"/>
    </w:pPr>
    <w:rPr>
      <w:spacing w:val="-10"/>
      <w:kern w:val="32"/>
    </w:rPr>
  </w:style>
  <w:style w:type="paragraph" w:styleId="Heading4">
    <w:name w:val="heading 4"/>
    <w:basedOn w:val="HeadingBase"/>
    <w:next w:val="BodyText"/>
    <w:link w:val="Heading4Char"/>
    <w:qFormat/>
    <w:rsid w:val="00C33CD9"/>
    <w:pPr>
      <w:spacing w:before="160" w:after="120"/>
      <w:outlineLvl w:val="3"/>
    </w:pPr>
    <w:rPr>
      <w:sz w:val="22"/>
    </w:rPr>
  </w:style>
  <w:style w:type="paragraph" w:styleId="Heading5">
    <w:name w:val="heading 5"/>
    <w:basedOn w:val="HeadingBase"/>
    <w:next w:val="Normal"/>
    <w:link w:val="Heading5Char"/>
    <w:qFormat/>
    <w:rsid w:val="00C33CD9"/>
    <w:pPr>
      <w:spacing w:before="80"/>
      <w:outlineLvl w:val="4"/>
    </w:pPr>
    <w:rPr>
      <w:color w:val="918585"/>
      <w:sz w:val="20"/>
    </w:rPr>
  </w:style>
  <w:style w:type="paragraph" w:styleId="Heading6">
    <w:name w:val="heading 6"/>
    <w:basedOn w:val="HeadingBase"/>
    <w:next w:val="Normal"/>
    <w:link w:val="Heading6Char"/>
    <w:qFormat/>
    <w:rsid w:val="00C33CD9"/>
    <w:pPr>
      <w:spacing w:before="60"/>
      <w:outlineLvl w:val="5"/>
    </w:pPr>
    <w:rPr>
      <w:color w:val="918585"/>
      <w:sz w:val="20"/>
    </w:rPr>
  </w:style>
  <w:style w:type="paragraph" w:styleId="Heading7">
    <w:name w:val="heading 7"/>
    <w:basedOn w:val="Normal"/>
    <w:next w:val="Normal"/>
    <w:link w:val="Heading7Char"/>
    <w:qFormat/>
    <w:rsid w:val="00C33CD9"/>
    <w:pPr>
      <w:ind w:left="720"/>
      <w:outlineLvl w:val="6"/>
    </w:pPr>
    <w:rPr>
      <w:i/>
    </w:rPr>
  </w:style>
  <w:style w:type="paragraph" w:styleId="Heading8">
    <w:name w:val="heading 8"/>
    <w:basedOn w:val="Normal"/>
    <w:next w:val="Normal"/>
    <w:link w:val="Heading8Char"/>
    <w:qFormat/>
    <w:rsid w:val="00C33CD9"/>
    <w:pPr>
      <w:ind w:left="720"/>
      <w:outlineLvl w:val="7"/>
    </w:pPr>
    <w:rPr>
      <w:i/>
    </w:rPr>
  </w:style>
  <w:style w:type="paragraph" w:styleId="Heading9">
    <w:name w:val="heading 9"/>
    <w:basedOn w:val="Normal"/>
    <w:next w:val="Normal"/>
    <w:link w:val="Heading9Char"/>
    <w:qFormat/>
    <w:rsid w:val="00C33CD9"/>
    <w:pPr>
      <w:ind w:left="720"/>
      <w:outlineLvl w:val="8"/>
    </w:pPr>
    <w:rPr>
      <w:i/>
    </w:rPr>
  </w:style>
  <w:style w:type="character" w:default="1" w:styleId="DefaultParagraphFont">
    <w:name w:val="Default Paragraph Font"/>
    <w:uiPriority w:val="1"/>
    <w:unhideWhenUsed/>
    <w:rsid w:val="00C33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CD9"/>
  </w:style>
  <w:style w:type="character" w:customStyle="1" w:styleId="Heading1Char">
    <w:name w:val="Heading 1 Char"/>
    <w:basedOn w:val="DefaultParagraphFont"/>
    <w:link w:val="Heading1"/>
    <w:rsid w:val="00C33CD9"/>
    <w:rPr>
      <w:rFonts w:ascii="Times New Roman" w:eastAsia="Times New Roman" w:hAnsi="Times New Roman" w:cs="Times New Roman"/>
      <w:b/>
      <w:sz w:val="32"/>
      <w:szCs w:val="20"/>
      <w:lang w:eastAsia="en-US"/>
    </w:rPr>
  </w:style>
  <w:style w:type="paragraph" w:styleId="BodyText">
    <w:name w:val="Body Text"/>
    <w:basedOn w:val="Normal"/>
    <w:link w:val="BodyTextChar"/>
    <w:rsid w:val="00C33C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3CD9"/>
    <w:rPr>
      <w:rFonts w:ascii="Times New Roman" w:eastAsia="Times New Roman" w:hAnsi="Times New Roman" w:cs="Times New Roman"/>
      <w:sz w:val="24"/>
      <w:lang w:val="en-US" w:eastAsia="en-US"/>
    </w:rPr>
  </w:style>
  <w:style w:type="paragraph" w:styleId="Footer">
    <w:name w:val="footer"/>
    <w:basedOn w:val="Normal"/>
    <w:link w:val="FooterChar"/>
    <w:rsid w:val="00C33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CD9"/>
    <w:rPr>
      <w:rFonts w:ascii="Times New Roman" w:eastAsia="Times New Roman" w:hAnsi="Times New Roman" w:cs="Times New Roman"/>
      <w:sz w:val="16"/>
      <w:lang w:val="en-US" w:eastAsia="en-US"/>
    </w:rPr>
  </w:style>
  <w:style w:type="paragraph" w:styleId="List">
    <w:name w:val="List"/>
    <w:basedOn w:val="BodyText"/>
    <w:next w:val="BodyText"/>
    <w:rsid w:val="00C33CD9"/>
    <w:pPr>
      <w:tabs>
        <w:tab w:val="left" w:pos="340"/>
      </w:tabs>
      <w:spacing w:before="60" w:after="60"/>
      <w:ind w:left="340" w:hanging="340"/>
    </w:pPr>
  </w:style>
  <w:style w:type="paragraph" w:styleId="ListBullet">
    <w:name w:val="List Bullet"/>
    <w:basedOn w:val="List"/>
    <w:rsid w:val="00C33CD9"/>
    <w:pPr>
      <w:numPr>
        <w:numId w:val="13"/>
      </w:numPr>
      <w:tabs>
        <w:tab w:val="clear" w:pos="340"/>
      </w:tabs>
      <w:spacing w:before="40" w:after="40"/>
    </w:pPr>
  </w:style>
  <w:style w:type="character" w:customStyle="1" w:styleId="SpecialBold">
    <w:name w:val="Special Bold"/>
    <w:basedOn w:val="DefaultParagraphFont"/>
    <w:rsid w:val="00C33CD9"/>
    <w:rPr>
      <w:b/>
      <w:spacing w:val="0"/>
    </w:rPr>
  </w:style>
  <w:style w:type="paragraph" w:styleId="ListBullet2">
    <w:name w:val="List Bullet 2"/>
    <w:basedOn w:val="List2"/>
    <w:rsid w:val="00C33CD9"/>
    <w:pPr>
      <w:numPr>
        <w:numId w:val="14"/>
      </w:numPr>
      <w:tabs>
        <w:tab w:val="clear" w:pos="680"/>
      </w:tabs>
    </w:pPr>
  </w:style>
  <w:style w:type="paragraph" w:styleId="Header">
    <w:name w:val="header"/>
    <w:basedOn w:val="Normal"/>
    <w:link w:val="HeaderChar"/>
    <w:rsid w:val="00C33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C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3CD9"/>
    <w:pPr>
      <w:spacing w:before="240" w:after="120"/>
      <w:outlineLvl w:val="0"/>
    </w:pPr>
    <w:rPr>
      <w:rFonts w:ascii="Times New Roman" w:hAnsi="Times New Roman"/>
      <w:b/>
      <w:sz w:val="28"/>
    </w:rPr>
  </w:style>
  <w:style w:type="paragraph" w:customStyle="1" w:styleId="AllowPageBreak">
    <w:name w:val="AllowPageBreak"/>
    <w:rsid w:val="00C33C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3CD9"/>
    <w:pPr>
      <w:tabs>
        <w:tab w:val="left" w:pos="680"/>
      </w:tabs>
      <w:spacing w:before="60" w:after="60"/>
      <w:ind w:left="680" w:hanging="340"/>
    </w:pPr>
  </w:style>
  <w:style w:type="character" w:customStyle="1" w:styleId="BoldandItalics">
    <w:name w:val="Bold and Italics"/>
    <w:qFormat/>
    <w:rsid w:val="00C33CD9"/>
    <w:rPr>
      <w:b/>
      <w:i/>
      <w:u w:val="none"/>
    </w:rPr>
  </w:style>
  <w:style w:type="character" w:customStyle="1" w:styleId="Heading2Char">
    <w:name w:val="Heading 2 Char"/>
    <w:basedOn w:val="DefaultParagraphFont"/>
    <w:link w:val="Heading2"/>
    <w:rsid w:val="00C33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C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3C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3CD9"/>
    <w:rPr>
      <w:rFonts w:ascii="Courier New" w:eastAsia="Times New Roman" w:hAnsi="Courier New" w:cs="Times New Roman"/>
      <w:i/>
      <w:szCs w:val="20"/>
      <w:lang w:val="en-US" w:eastAsia="en-US"/>
    </w:rPr>
  </w:style>
  <w:style w:type="paragraph" w:customStyle="1" w:styleId="HeadingBase">
    <w:name w:val="Heading Base"/>
    <w:rsid w:val="00C33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CD9"/>
    <w:pPr>
      <w:tabs>
        <w:tab w:val="right" w:leader="dot" w:pos="9072"/>
      </w:tabs>
      <w:ind w:left="567"/>
    </w:pPr>
    <w:rPr>
      <w:szCs w:val="22"/>
    </w:rPr>
  </w:style>
  <w:style w:type="paragraph" w:customStyle="1" w:styleId="TOCBase">
    <w:name w:val="TOC Base"/>
    <w:rsid w:val="00C33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CD9"/>
    <w:pPr>
      <w:tabs>
        <w:tab w:val="right" w:leader="dot" w:pos="9072"/>
      </w:tabs>
      <w:spacing w:before="40" w:after="40"/>
      <w:ind w:left="284"/>
    </w:pPr>
    <w:rPr>
      <w:rFonts w:ascii="Times New Roman" w:hAnsi="Times New Roman"/>
    </w:rPr>
  </w:style>
  <w:style w:type="paragraph" w:styleId="TOC1">
    <w:name w:val="toc 1"/>
    <w:basedOn w:val="TOCBase"/>
    <w:next w:val="Normal"/>
    <w:rsid w:val="00C33C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3CD9"/>
    <w:pPr>
      <w:spacing w:before="5040"/>
      <w:jc w:val="center"/>
    </w:pPr>
    <w:rPr>
      <w:sz w:val="48"/>
      <w:szCs w:val="72"/>
      <w:lang w:val="en-US"/>
    </w:rPr>
  </w:style>
  <w:style w:type="character" w:customStyle="1" w:styleId="TitleChar">
    <w:name w:val="Title Char"/>
    <w:basedOn w:val="DefaultParagraphFont"/>
    <w:link w:val="Title"/>
    <w:rsid w:val="00C33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CD9"/>
    <w:pPr>
      <w:tabs>
        <w:tab w:val="left" w:pos="3600"/>
        <w:tab w:val="left" w:pos="3958"/>
      </w:tabs>
    </w:pPr>
  </w:style>
  <w:style w:type="paragraph" w:customStyle="1" w:styleId="Note">
    <w:name w:val="Note"/>
    <w:basedOn w:val="BodyText"/>
    <w:rsid w:val="00C33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CD9"/>
    <w:pPr>
      <w:framePr w:wrap="auto" w:hAnchor="text" w:y="6049"/>
    </w:pPr>
    <w:rPr>
      <w:color w:val="000000"/>
      <w:sz w:val="40"/>
    </w:rPr>
  </w:style>
  <w:style w:type="paragraph" w:customStyle="1" w:styleId="TOCTitle">
    <w:name w:val="TOCTitle"/>
    <w:basedOn w:val="Heading1"/>
    <w:rsid w:val="00C33CD9"/>
    <w:pPr>
      <w:spacing w:after="240"/>
      <w:jc w:val="center"/>
      <w:outlineLvl w:val="9"/>
    </w:pPr>
    <w:rPr>
      <w:caps/>
    </w:rPr>
  </w:style>
  <w:style w:type="paragraph" w:customStyle="1" w:styleId="Version">
    <w:name w:val="Version"/>
    <w:rsid w:val="00C33C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CD9"/>
    <w:pPr>
      <w:keepNext w:val="0"/>
      <w:tabs>
        <w:tab w:val="right" w:pos="4176"/>
      </w:tabs>
      <w:ind w:left="198" w:hanging="198"/>
    </w:pPr>
    <w:rPr>
      <w:rFonts w:ascii="Garamond" w:hAnsi="Garamond"/>
    </w:rPr>
  </w:style>
  <w:style w:type="paragraph" w:styleId="IndexHeading">
    <w:name w:val="index heading"/>
    <w:basedOn w:val="Normal"/>
    <w:next w:val="Index1"/>
    <w:semiHidden/>
    <w:rsid w:val="00C33CD9"/>
    <w:pPr>
      <w:spacing w:before="120" w:after="120"/>
    </w:pPr>
    <w:rPr>
      <w:rFonts w:ascii="Arial" w:hAnsi="Arial"/>
      <w:b/>
      <w:color w:val="918585"/>
      <w:sz w:val="24"/>
    </w:rPr>
  </w:style>
  <w:style w:type="paragraph" w:customStyle="1" w:styleId="Chapter">
    <w:name w:val="Chapter"/>
    <w:basedOn w:val="Normal"/>
    <w:rsid w:val="00C33CD9"/>
    <w:pPr>
      <w:spacing w:before="240"/>
    </w:pPr>
    <w:rPr>
      <w:rFonts w:ascii="Times New Roman" w:hAnsi="Times New Roman"/>
      <w:smallCaps/>
      <w:spacing w:val="80"/>
      <w:sz w:val="28"/>
    </w:rPr>
  </w:style>
  <w:style w:type="paragraph" w:customStyle="1" w:styleId="InChapter">
    <w:name w:val="InChapter"/>
    <w:basedOn w:val="Heading3"/>
    <w:rsid w:val="00C33CD9"/>
    <w:pPr>
      <w:spacing w:after="240"/>
      <w:outlineLvl w:val="9"/>
    </w:pPr>
    <w:rPr>
      <w:noProof/>
    </w:rPr>
  </w:style>
  <w:style w:type="paragraph" w:styleId="Index2">
    <w:name w:val="index 2"/>
    <w:basedOn w:val="Normal"/>
    <w:next w:val="Normal"/>
    <w:semiHidden/>
    <w:rsid w:val="00C33CD9"/>
    <w:pPr>
      <w:tabs>
        <w:tab w:val="right" w:pos="4176"/>
      </w:tabs>
      <w:ind w:left="568" w:hanging="284"/>
    </w:pPr>
    <w:rPr>
      <w:rFonts w:ascii="Garamond" w:hAnsi="Garamond"/>
    </w:rPr>
  </w:style>
  <w:style w:type="paragraph" w:customStyle="1" w:styleId="Byline">
    <w:name w:val="Byline"/>
    <w:rsid w:val="00C33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CD9"/>
    <w:pPr>
      <w:tabs>
        <w:tab w:val="clear" w:pos="3600"/>
        <w:tab w:val="clear" w:pos="3958"/>
      </w:tabs>
      <w:jc w:val="right"/>
    </w:pPr>
  </w:style>
  <w:style w:type="character" w:styleId="Emphasis">
    <w:name w:val="Emphasis"/>
    <w:basedOn w:val="DefaultParagraphFont"/>
    <w:qFormat/>
    <w:rsid w:val="00C33CD9"/>
    <w:rPr>
      <w:i/>
    </w:rPr>
  </w:style>
  <w:style w:type="paragraph" w:styleId="Caption">
    <w:name w:val="caption"/>
    <w:basedOn w:val="BodyText"/>
    <w:next w:val="Normal"/>
    <w:qFormat/>
    <w:rsid w:val="00C33CD9"/>
    <w:pPr>
      <w:framePr w:w="2268" w:hSpace="181" w:vSpace="181" w:wrap="around" w:vAnchor="text" w:hAnchor="page" w:x="1135" w:y="285" w:anchorLock="1"/>
    </w:pPr>
    <w:rPr>
      <w:i/>
    </w:rPr>
  </w:style>
  <w:style w:type="paragraph" w:customStyle="1" w:styleId="MiniTOCTitle">
    <w:name w:val="MiniTOCTitle"/>
    <w:basedOn w:val="Heading4"/>
    <w:rsid w:val="00C33CD9"/>
    <w:pPr>
      <w:spacing w:before="240"/>
      <w:outlineLvl w:val="9"/>
    </w:pPr>
    <w:rPr>
      <w:noProof/>
      <w:sz w:val="24"/>
    </w:rPr>
  </w:style>
  <w:style w:type="paragraph" w:customStyle="1" w:styleId="MiniTOCItem">
    <w:name w:val="MiniTOCItem"/>
    <w:basedOn w:val="ListBullet"/>
    <w:rsid w:val="00C33CD9"/>
    <w:pPr>
      <w:numPr>
        <w:numId w:val="0"/>
      </w:numPr>
      <w:tabs>
        <w:tab w:val="right" w:leader="dot" w:pos="6521"/>
      </w:tabs>
      <w:spacing w:before="0" w:after="0"/>
    </w:pPr>
  </w:style>
  <w:style w:type="paragraph" w:customStyle="1" w:styleId="TOFTitle">
    <w:name w:val="TOFTitle"/>
    <w:basedOn w:val="TOCTitle"/>
    <w:rsid w:val="00C33CD9"/>
  </w:style>
  <w:style w:type="paragraph" w:styleId="TableofFigures">
    <w:name w:val="table of figures"/>
    <w:basedOn w:val="Normal"/>
    <w:next w:val="Normal"/>
    <w:semiHidden/>
    <w:rsid w:val="00C33CD9"/>
    <w:pPr>
      <w:tabs>
        <w:tab w:val="right" w:leader="dot" w:pos="9072"/>
      </w:tabs>
      <w:ind w:left="970" w:hanging="403"/>
    </w:pPr>
    <w:rPr>
      <w:rFonts w:ascii="Times New Roman" w:hAnsi="Times New Roman"/>
      <w:b/>
    </w:rPr>
  </w:style>
  <w:style w:type="paragraph" w:styleId="ListNumber">
    <w:name w:val="List Number"/>
    <w:basedOn w:val="List"/>
    <w:rsid w:val="00C33CD9"/>
    <w:pPr>
      <w:numPr>
        <w:numId w:val="11"/>
      </w:numPr>
    </w:pPr>
  </w:style>
  <w:style w:type="character" w:customStyle="1" w:styleId="WingdingSymbols">
    <w:name w:val="Wingding Symbols"/>
    <w:rsid w:val="00C33CD9"/>
    <w:rPr>
      <w:rFonts w:ascii="Wingdings" w:hAnsi="Wingdings"/>
    </w:rPr>
  </w:style>
  <w:style w:type="paragraph" w:customStyle="1" w:styleId="TableHeading">
    <w:name w:val="Table Heading"/>
    <w:basedOn w:val="HeadingBase"/>
    <w:rsid w:val="00C33CD9"/>
    <w:pPr>
      <w:keepLines/>
      <w:pBdr>
        <w:bottom w:val="single" w:sz="6" w:space="1" w:color="918585"/>
      </w:pBdr>
      <w:spacing w:before="240"/>
    </w:pPr>
  </w:style>
  <w:style w:type="character" w:customStyle="1" w:styleId="HotSpot">
    <w:name w:val="HotSpot"/>
    <w:rsid w:val="00C33CD9"/>
    <w:rPr>
      <w:color w:val="0033CC"/>
      <w:u w:val="none"/>
    </w:rPr>
  </w:style>
  <w:style w:type="paragraph" w:customStyle="1" w:styleId="BodyTextRight">
    <w:name w:val="Body Text Right"/>
    <w:basedOn w:val="BodyText"/>
    <w:rsid w:val="00C33CD9"/>
    <w:pPr>
      <w:spacing w:before="0" w:after="0"/>
      <w:jc w:val="right"/>
    </w:pPr>
  </w:style>
  <w:style w:type="paragraph" w:styleId="Index3">
    <w:name w:val="index 3"/>
    <w:basedOn w:val="ListNumber2"/>
    <w:next w:val="Normal"/>
    <w:semiHidden/>
    <w:rsid w:val="00C33CD9"/>
    <w:pPr>
      <w:numPr>
        <w:numId w:val="0"/>
      </w:numPr>
      <w:tabs>
        <w:tab w:val="right" w:leader="dot" w:pos="4176"/>
      </w:tabs>
    </w:pPr>
  </w:style>
  <w:style w:type="paragraph" w:styleId="ListNumber2">
    <w:name w:val="List Number 2"/>
    <w:basedOn w:val="List2"/>
    <w:rsid w:val="00C33CD9"/>
    <w:pPr>
      <w:numPr>
        <w:numId w:val="10"/>
      </w:numPr>
      <w:tabs>
        <w:tab w:val="clear" w:pos="1060"/>
      </w:tabs>
    </w:pPr>
  </w:style>
  <w:style w:type="paragraph" w:customStyle="1" w:styleId="MarginNote">
    <w:name w:val="Margin Note"/>
    <w:basedOn w:val="BodyText"/>
    <w:rsid w:val="00C33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C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3CD9"/>
    <w:rPr>
      <w:sz w:val="32"/>
    </w:rPr>
  </w:style>
  <w:style w:type="paragraph" w:customStyle="1" w:styleId="HeadingProcedure">
    <w:name w:val="Heading Procedure"/>
    <w:basedOn w:val="HeadingBase"/>
    <w:next w:val="Normal"/>
    <w:rsid w:val="00C33CD9"/>
    <w:pPr>
      <w:tabs>
        <w:tab w:val="left" w:pos="0"/>
      </w:tabs>
      <w:spacing w:before="120" w:after="60"/>
    </w:pPr>
    <w:rPr>
      <w:i/>
      <w:color w:val="918585"/>
      <w:sz w:val="22"/>
    </w:rPr>
  </w:style>
  <w:style w:type="paragraph" w:customStyle="1" w:styleId="TableBodyText">
    <w:name w:val="Table Body Text"/>
    <w:basedOn w:val="BodyText"/>
    <w:rsid w:val="00C33CD9"/>
    <w:pPr>
      <w:spacing w:before="60" w:after="60"/>
    </w:pPr>
  </w:style>
  <w:style w:type="paragraph" w:styleId="ListContinue">
    <w:name w:val="List Continue"/>
    <w:basedOn w:val="List"/>
    <w:rsid w:val="00C33CD9"/>
    <w:pPr>
      <w:ind w:firstLine="0"/>
    </w:pPr>
  </w:style>
  <w:style w:type="paragraph" w:customStyle="1" w:styleId="ListNote">
    <w:name w:val="List Note"/>
    <w:basedOn w:val="List"/>
    <w:rsid w:val="00C33CD9"/>
    <w:pPr>
      <w:pBdr>
        <w:top w:val="single" w:sz="6" w:space="2" w:color="918585"/>
        <w:bottom w:val="single" w:sz="6" w:space="2" w:color="918585"/>
      </w:pBdr>
      <w:tabs>
        <w:tab w:val="left" w:pos="1021"/>
      </w:tabs>
      <w:ind w:firstLine="0"/>
    </w:pPr>
  </w:style>
  <w:style w:type="paragraph" w:customStyle="1" w:styleId="Warning">
    <w:name w:val="Warning"/>
    <w:basedOn w:val="BodyText"/>
    <w:rsid w:val="00C33CD9"/>
    <w:pPr>
      <w:shd w:val="clear" w:color="auto" w:fill="D9D9D9"/>
      <w:tabs>
        <w:tab w:val="left" w:pos="992"/>
      </w:tabs>
      <w:ind w:left="119" w:right="119"/>
    </w:pPr>
    <w:rPr>
      <w:sz w:val="20"/>
    </w:rPr>
  </w:style>
  <w:style w:type="paragraph" w:customStyle="1" w:styleId="MarginIcons">
    <w:name w:val="Margin Icons"/>
    <w:basedOn w:val="BodyText"/>
    <w:rsid w:val="00C33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CD9"/>
    <w:rPr>
      <w:rFonts w:ascii="Courier New" w:hAnsi="Courier New"/>
    </w:rPr>
  </w:style>
  <w:style w:type="paragraph" w:customStyle="1" w:styleId="NoteBullet">
    <w:name w:val="Note Bullet"/>
    <w:basedOn w:val="Note"/>
    <w:rsid w:val="00C33CD9"/>
    <w:pPr>
      <w:tabs>
        <w:tab w:val="clear" w:pos="680"/>
      </w:tabs>
      <w:spacing w:before="60" w:after="60"/>
    </w:pPr>
  </w:style>
  <w:style w:type="paragraph" w:customStyle="1" w:styleId="SubHeading2">
    <w:name w:val="SubHeading2"/>
    <w:basedOn w:val="HeadingBase"/>
    <w:rsid w:val="00C33CD9"/>
    <w:pPr>
      <w:spacing w:before="240" w:after="60"/>
    </w:pPr>
    <w:rPr>
      <w:sz w:val="20"/>
    </w:rPr>
  </w:style>
  <w:style w:type="paragraph" w:customStyle="1" w:styleId="SubHeading1">
    <w:name w:val="SubHeading1"/>
    <w:basedOn w:val="HeadingBase"/>
    <w:rsid w:val="00C33CD9"/>
    <w:pPr>
      <w:spacing w:before="240" w:after="60"/>
    </w:pPr>
    <w:rPr>
      <w:color w:val="918585"/>
      <w:sz w:val="22"/>
    </w:rPr>
  </w:style>
  <w:style w:type="paragraph" w:customStyle="1" w:styleId="SideHeading">
    <w:name w:val="Side Heading"/>
    <w:basedOn w:val="HeadingBase"/>
    <w:rsid w:val="00C33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CD9"/>
    <w:pPr>
      <w:numPr>
        <w:numId w:val="12"/>
      </w:numPr>
    </w:pPr>
  </w:style>
  <w:style w:type="paragraph" w:styleId="PlainText">
    <w:name w:val="Plain Text"/>
    <w:basedOn w:val="Normal"/>
    <w:link w:val="PlainTextChar"/>
    <w:rsid w:val="00C33CD9"/>
    <w:rPr>
      <w:sz w:val="20"/>
    </w:rPr>
  </w:style>
  <w:style w:type="character" w:customStyle="1" w:styleId="PlainTextChar">
    <w:name w:val="Plain Text Char"/>
    <w:basedOn w:val="DefaultParagraphFont"/>
    <w:link w:val="PlainText"/>
    <w:rsid w:val="00C33C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3CD9"/>
    <w:rPr>
      <w:b/>
      <w:smallCaps/>
    </w:rPr>
  </w:style>
  <w:style w:type="paragraph" w:customStyle="1" w:styleId="TableListNumber">
    <w:name w:val="Table List Number"/>
    <w:basedOn w:val="ListNumber"/>
    <w:rsid w:val="00C33CD9"/>
    <w:pPr>
      <w:numPr>
        <w:numId w:val="0"/>
      </w:numPr>
    </w:pPr>
  </w:style>
  <w:style w:type="paragraph" w:styleId="TOC4">
    <w:name w:val="toc 4"/>
    <w:basedOn w:val="TOCBase"/>
    <w:next w:val="Normal"/>
    <w:semiHidden/>
    <w:rsid w:val="00C33CD9"/>
    <w:pPr>
      <w:tabs>
        <w:tab w:val="right" w:leader="dot" w:pos="9071"/>
      </w:tabs>
      <w:ind w:left="1701"/>
    </w:pPr>
  </w:style>
  <w:style w:type="paragraph" w:customStyle="1" w:styleId="ListAlpha">
    <w:name w:val="List Alpha"/>
    <w:basedOn w:val="List"/>
    <w:rsid w:val="00C33CD9"/>
    <w:pPr>
      <w:numPr>
        <w:numId w:val="9"/>
      </w:numPr>
    </w:pPr>
  </w:style>
  <w:style w:type="paragraph" w:customStyle="1" w:styleId="ListAlpha2">
    <w:name w:val="List Alpha 2"/>
    <w:basedOn w:val="List2"/>
    <w:rsid w:val="00C33CD9"/>
    <w:pPr>
      <w:numPr>
        <w:numId w:val="8"/>
      </w:numPr>
    </w:pPr>
  </w:style>
  <w:style w:type="paragraph" w:styleId="List3">
    <w:name w:val="List 3"/>
    <w:basedOn w:val="BodyText"/>
    <w:rsid w:val="00C33CD9"/>
    <w:pPr>
      <w:tabs>
        <w:tab w:val="left" w:pos="1021"/>
      </w:tabs>
      <w:spacing w:before="60" w:after="60"/>
      <w:ind w:left="1020" w:hanging="340"/>
    </w:pPr>
  </w:style>
  <w:style w:type="paragraph" w:styleId="List4">
    <w:name w:val="List 4"/>
    <w:basedOn w:val="BodyText"/>
    <w:rsid w:val="00C33CD9"/>
    <w:pPr>
      <w:tabs>
        <w:tab w:val="left" w:pos="1361"/>
      </w:tabs>
      <w:spacing w:before="60" w:after="60"/>
      <w:ind w:left="1361" w:hanging="340"/>
    </w:pPr>
  </w:style>
  <w:style w:type="paragraph" w:styleId="List5">
    <w:name w:val="List 5"/>
    <w:basedOn w:val="BodyText"/>
    <w:rsid w:val="00C33CD9"/>
    <w:pPr>
      <w:tabs>
        <w:tab w:val="left" w:pos="1701"/>
      </w:tabs>
      <w:spacing w:before="60" w:after="60"/>
      <w:ind w:left="1701" w:hanging="340"/>
    </w:pPr>
  </w:style>
  <w:style w:type="paragraph" w:styleId="ListBullet3">
    <w:name w:val="List Bullet 3"/>
    <w:basedOn w:val="List3"/>
    <w:rsid w:val="00C33CD9"/>
    <w:pPr>
      <w:numPr>
        <w:numId w:val="15"/>
      </w:numPr>
      <w:tabs>
        <w:tab w:val="clear" w:pos="1021"/>
      </w:tabs>
      <w:ind w:left="1037" w:hanging="357"/>
    </w:pPr>
  </w:style>
  <w:style w:type="paragraph" w:styleId="ListBullet4">
    <w:name w:val="List Bullet 4"/>
    <w:basedOn w:val="List4"/>
    <w:rsid w:val="00C33CD9"/>
    <w:pPr>
      <w:numPr>
        <w:numId w:val="3"/>
      </w:numPr>
    </w:pPr>
  </w:style>
  <w:style w:type="paragraph" w:styleId="ListBullet5">
    <w:name w:val="List Bullet 5"/>
    <w:basedOn w:val="List5"/>
    <w:rsid w:val="00C33CD9"/>
    <w:pPr>
      <w:numPr>
        <w:numId w:val="4"/>
      </w:numPr>
    </w:pPr>
  </w:style>
  <w:style w:type="paragraph" w:styleId="ListContinue2">
    <w:name w:val="List Continue 2"/>
    <w:basedOn w:val="List2"/>
    <w:rsid w:val="00C33CD9"/>
    <w:pPr>
      <w:ind w:firstLine="0"/>
    </w:pPr>
  </w:style>
  <w:style w:type="paragraph" w:styleId="ListContinue3">
    <w:name w:val="List Continue 3"/>
    <w:basedOn w:val="List3"/>
    <w:rsid w:val="00C33CD9"/>
    <w:pPr>
      <w:ind w:left="1021" w:firstLine="0"/>
    </w:pPr>
  </w:style>
  <w:style w:type="paragraph" w:styleId="ListContinue4">
    <w:name w:val="List Continue 4"/>
    <w:basedOn w:val="List4"/>
    <w:rsid w:val="00C33CD9"/>
    <w:pPr>
      <w:ind w:firstLine="0"/>
    </w:pPr>
  </w:style>
  <w:style w:type="paragraph" w:styleId="ListContinue5">
    <w:name w:val="List Continue 5"/>
    <w:basedOn w:val="List5"/>
    <w:rsid w:val="00C33CD9"/>
    <w:pPr>
      <w:ind w:firstLine="0"/>
    </w:pPr>
  </w:style>
  <w:style w:type="paragraph" w:styleId="ListNumber3">
    <w:name w:val="List Number 3"/>
    <w:basedOn w:val="List3"/>
    <w:rsid w:val="00C33CD9"/>
    <w:pPr>
      <w:numPr>
        <w:numId w:val="5"/>
      </w:numPr>
    </w:pPr>
  </w:style>
  <w:style w:type="paragraph" w:styleId="ListNumber4">
    <w:name w:val="List Number 4"/>
    <w:basedOn w:val="List4"/>
    <w:rsid w:val="00C33CD9"/>
    <w:pPr>
      <w:numPr>
        <w:numId w:val="6"/>
      </w:numPr>
    </w:pPr>
  </w:style>
  <w:style w:type="paragraph" w:styleId="ListNumber5">
    <w:name w:val="List Number 5"/>
    <w:basedOn w:val="List5"/>
    <w:rsid w:val="00C33CD9"/>
    <w:pPr>
      <w:numPr>
        <w:numId w:val="7"/>
      </w:numPr>
    </w:pPr>
  </w:style>
  <w:style w:type="paragraph" w:styleId="BlockText">
    <w:name w:val="Block Text"/>
    <w:basedOn w:val="Normal"/>
    <w:rsid w:val="00C33CD9"/>
    <w:pPr>
      <w:spacing w:after="120"/>
      <w:ind w:left="1440" w:right="1440"/>
    </w:pPr>
  </w:style>
  <w:style w:type="character" w:customStyle="1" w:styleId="Subscript">
    <w:name w:val="Subscript"/>
    <w:basedOn w:val="DefaultParagraphFont"/>
    <w:rsid w:val="00C33CD9"/>
    <w:rPr>
      <w:sz w:val="16"/>
      <w:vertAlign w:val="subscript"/>
    </w:rPr>
  </w:style>
  <w:style w:type="character" w:customStyle="1" w:styleId="Superscript">
    <w:name w:val="Superscript"/>
    <w:basedOn w:val="DefaultParagraphFont"/>
    <w:rsid w:val="00C33CD9"/>
    <w:rPr>
      <w:sz w:val="16"/>
      <w:vertAlign w:val="superscript"/>
    </w:rPr>
  </w:style>
  <w:style w:type="character" w:customStyle="1" w:styleId="Symbols">
    <w:name w:val="Symbols"/>
    <w:basedOn w:val="DefaultParagraphFont"/>
    <w:rsid w:val="00C33CD9"/>
    <w:rPr>
      <w:rFonts w:ascii="Symbol" w:hAnsi="Symbol"/>
    </w:rPr>
  </w:style>
  <w:style w:type="character" w:customStyle="1" w:styleId="MenuOptions">
    <w:name w:val="Menu Options"/>
    <w:basedOn w:val="DefaultParagraphFont"/>
    <w:rsid w:val="00C33CD9"/>
    <w:rPr>
      <w:rFonts w:ascii="Arial Narrow" w:hAnsi="Arial Narrow"/>
      <w:smallCaps/>
    </w:rPr>
  </w:style>
  <w:style w:type="character" w:customStyle="1" w:styleId="Buttons">
    <w:name w:val="Buttons"/>
    <w:basedOn w:val="DefaultParagraphFont"/>
    <w:rsid w:val="00C33CD9"/>
    <w:rPr>
      <w:b/>
    </w:rPr>
  </w:style>
  <w:style w:type="character" w:customStyle="1" w:styleId="Underlined">
    <w:name w:val="Underlined"/>
    <w:basedOn w:val="DefaultParagraphFont"/>
    <w:rsid w:val="00C33CD9"/>
    <w:rPr>
      <w:u w:val="single"/>
    </w:rPr>
  </w:style>
  <w:style w:type="paragraph" w:customStyle="1" w:styleId="TableBodyTextRight">
    <w:name w:val="Table Body Text Right"/>
    <w:basedOn w:val="TableBodyText"/>
    <w:rsid w:val="00C33CD9"/>
    <w:pPr>
      <w:widowControl w:val="0"/>
      <w:autoSpaceDE w:val="0"/>
      <w:autoSpaceDN w:val="0"/>
      <w:adjustRightInd w:val="0"/>
      <w:jc w:val="right"/>
    </w:pPr>
    <w:rPr>
      <w:rFonts w:cs="Arial"/>
      <w:szCs w:val="18"/>
    </w:rPr>
  </w:style>
  <w:style w:type="paragraph" w:customStyle="1" w:styleId="CopyrightText">
    <w:name w:val="Copyright Text"/>
    <w:basedOn w:val="BodyText"/>
    <w:rsid w:val="00C33CD9"/>
    <w:rPr>
      <w:sz w:val="18"/>
    </w:rPr>
  </w:style>
  <w:style w:type="paragraph" w:customStyle="1" w:styleId="BodySmallRight">
    <w:name w:val="Body Small Right"/>
    <w:basedOn w:val="BodyTextRight"/>
    <w:rsid w:val="00C33CD9"/>
    <w:rPr>
      <w:sz w:val="18"/>
      <w:szCs w:val="18"/>
    </w:rPr>
  </w:style>
  <w:style w:type="paragraph" w:customStyle="1" w:styleId="MarginEdition">
    <w:name w:val="Margin Edition"/>
    <w:basedOn w:val="MarginNote"/>
    <w:rsid w:val="00C33CD9"/>
    <w:pPr>
      <w:spacing w:before="0" w:after="0"/>
    </w:pPr>
    <w:rPr>
      <w:rFonts w:ascii="Times New Roman" w:hAnsi="Times New Roman"/>
      <w:color w:val="999999"/>
    </w:rPr>
  </w:style>
  <w:style w:type="paragraph" w:customStyle="1" w:styleId="Spacer">
    <w:name w:val="Spacer"/>
    <w:basedOn w:val="Normal"/>
    <w:rsid w:val="00C33CD9"/>
    <w:rPr>
      <w:sz w:val="2"/>
      <w:szCs w:val="2"/>
    </w:rPr>
  </w:style>
  <w:style w:type="character" w:customStyle="1" w:styleId="Small">
    <w:name w:val="Small"/>
    <w:basedOn w:val="DefaultParagraphFont"/>
    <w:rsid w:val="00C33CD9"/>
    <w:rPr>
      <w:sz w:val="16"/>
    </w:rPr>
  </w:style>
  <w:style w:type="paragraph" w:customStyle="1" w:styleId="WideTable">
    <w:name w:val="Wide Table"/>
    <w:basedOn w:val="Normal"/>
    <w:rsid w:val="00C33CD9"/>
    <w:pPr>
      <w:ind w:left="-1418"/>
    </w:pPr>
    <w:rPr>
      <w:sz w:val="2"/>
      <w:szCs w:val="2"/>
    </w:rPr>
  </w:style>
  <w:style w:type="character" w:styleId="PageNumber">
    <w:name w:val="page number"/>
    <w:basedOn w:val="DefaultParagraphFont"/>
    <w:rsid w:val="00C33CD9"/>
  </w:style>
  <w:style w:type="paragraph" w:styleId="Quote">
    <w:name w:val="Quote"/>
    <w:basedOn w:val="Heading1"/>
    <w:link w:val="QuoteChar"/>
    <w:qFormat/>
    <w:rsid w:val="00C33CD9"/>
    <w:rPr>
      <w:b w:val="0"/>
      <w:sz w:val="72"/>
      <w:szCs w:val="72"/>
      <w:lang w:val="en-NZ"/>
    </w:rPr>
  </w:style>
  <w:style w:type="character" w:customStyle="1" w:styleId="QuoteChar">
    <w:name w:val="Quote Char"/>
    <w:basedOn w:val="DefaultParagraphFont"/>
    <w:link w:val="Quote"/>
    <w:rsid w:val="00C33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CD9"/>
    <w:pPr>
      <w:pageBreakBefore/>
    </w:pPr>
  </w:style>
  <w:style w:type="paragraph" w:customStyle="1" w:styleId="Border">
    <w:name w:val="Border"/>
    <w:basedOn w:val="Normal"/>
    <w:qFormat/>
    <w:rsid w:val="00C33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CD9"/>
    <w:rPr>
      <w:b/>
      <w:bCs/>
      <w:i/>
      <w:iCs/>
      <w:color w:val="auto"/>
    </w:rPr>
  </w:style>
  <w:style w:type="paragraph" w:styleId="IntenseQuote">
    <w:name w:val="Intense Quote"/>
    <w:basedOn w:val="Normal"/>
    <w:next w:val="Normal"/>
    <w:link w:val="IntenseQuoteChar"/>
    <w:uiPriority w:val="30"/>
    <w:qFormat/>
    <w:rsid w:val="00C33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C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3CD9"/>
    <w:rPr>
      <w:smallCaps/>
      <w:color w:val="auto"/>
      <w:u w:val="single"/>
    </w:rPr>
  </w:style>
  <w:style w:type="character" w:styleId="IntenseReference">
    <w:name w:val="Intense Reference"/>
    <w:basedOn w:val="DefaultParagraphFont"/>
    <w:uiPriority w:val="32"/>
    <w:qFormat/>
    <w:rsid w:val="00C33CD9"/>
    <w:rPr>
      <w:b/>
      <w:bCs/>
      <w:smallCaps/>
      <w:color w:val="auto"/>
      <w:spacing w:val="5"/>
      <w:u w:val="single"/>
    </w:rPr>
  </w:style>
  <w:style w:type="paragraph" w:customStyle="1" w:styleId="2ColumnHeading">
    <w:name w:val="2Column Heading"/>
    <w:basedOn w:val="BodyText"/>
    <w:qFormat/>
    <w:rsid w:val="00C33CD9"/>
    <w:pPr>
      <w:spacing w:after="60"/>
      <w:ind w:left="-2268"/>
    </w:pPr>
    <w:rPr>
      <w:b/>
    </w:rPr>
  </w:style>
  <w:style w:type="paragraph" w:customStyle="1" w:styleId="Heading1TOC">
    <w:name w:val="Heading1 TOC"/>
    <w:basedOn w:val="Normal"/>
    <w:qFormat/>
    <w:rsid w:val="00C33CD9"/>
    <w:pPr>
      <w:spacing w:before="240" w:after="120"/>
    </w:pPr>
    <w:rPr>
      <w:rFonts w:ascii="Times New Roman" w:hAnsi="Times New Roman"/>
      <w:b/>
      <w:sz w:val="32"/>
    </w:rPr>
  </w:style>
  <w:style w:type="paragraph" w:customStyle="1" w:styleId="Heading2TOC">
    <w:name w:val="Heading2 TOC"/>
    <w:basedOn w:val="Normal"/>
    <w:qFormat/>
    <w:rsid w:val="00C33CD9"/>
    <w:pPr>
      <w:spacing w:before="240" w:after="60"/>
    </w:pPr>
    <w:rPr>
      <w:rFonts w:ascii="Times New Roman" w:hAnsi="Times New Roman"/>
      <w:b/>
      <w:sz w:val="28"/>
    </w:rPr>
  </w:style>
  <w:style w:type="character" w:customStyle="1" w:styleId="Underline">
    <w:name w:val="Underline"/>
    <w:basedOn w:val="DefaultParagraphFont"/>
    <w:qFormat/>
    <w:rsid w:val="00C33CD9"/>
    <w:rPr>
      <w:u w:val="single"/>
    </w:rPr>
  </w:style>
  <w:style w:type="paragraph" w:styleId="BalloonText">
    <w:name w:val="Balloon Text"/>
    <w:basedOn w:val="Normal"/>
    <w:link w:val="BalloonTextChar"/>
    <w:rsid w:val="00C33CD9"/>
    <w:rPr>
      <w:rFonts w:ascii="Tahoma" w:hAnsi="Tahoma" w:cs="Tahoma"/>
      <w:sz w:val="16"/>
      <w:szCs w:val="16"/>
    </w:rPr>
  </w:style>
  <w:style w:type="character" w:customStyle="1" w:styleId="BalloonTextChar">
    <w:name w:val="Balloon Text Char"/>
    <w:basedOn w:val="DefaultParagraphFont"/>
    <w:link w:val="BalloonText"/>
    <w:rsid w:val="00C33C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3C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3C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1952</Words>
  <Characters>13127</Characters>
  <Application>Microsoft Office Word</Application>
  <DocSecurity>0</DocSecurity>
  <Lines>466</Lines>
  <Paragraphs>241</Paragraphs>
  <ScaleCrop>false</ScaleCrop>
  <Company>Author-it Software Corporation Ltd.</Company>
  <LinksUpToDate>false</LinksUpToDate>
  <CharactersWithSpaces>15018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SFILEAD407A Provide expert information to a resource management group</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2012-05-26T08:37:00Z</dcterms:created>
  <dcterms:modified xsi:type="dcterms:W3CDTF">2012-05-26T08:37:00Z</dcterms:modified>
</cp:coreProperties>
</file>