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F1D" w:rsidP="00386F1D">
      <w:pPr>
        <w:pStyle w:val="Title"/>
      </w:pPr>
      <w:r>
        <w:fldChar w:fldCharType="begin"/>
      </w:r>
      <w:r>
        <w:instrText xml:space="preserve"> TITLE   \* MERGEFORMAT </w:instrText>
      </w:r>
      <w:r>
        <w:fldChar w:fldCharType="separate"/>
      </w:r>
      <w:r>
        <w:t>SFIDIVE308B Perform underwater work in the wild catch sector</w:t>
      </w:r>
      <w:r>
        <w:fldChar w:fldCharType="end"/>
      </w:r>
    </w:p>
    <w:p w:rsidR="00386F1D" w:rsidP="00386F1D">
      <w:pPr>
        <w:pStyle w:val="Version"/>
        <w:sectPr w:rsidSect="00212A1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2A17" w:rsidP="00212A17">
      <w:pPr>
        <w:pStyle w:val="SuperHeading"/>
      </w:pPr>
      <w:r w:rsidRPr="00212A17">
        <w:t>SFIDIVE308B Perform underwater work in the wild catch sector</w:t>
      </w:r>
    </w:p>
    <w:p w:rsidR="00000000" w:rsidRPr="00212A17" w:rsidP="00212A17">
      <w:pPr>
        <w:pStyle w:val="Heading1"/>
      </w:pPr>
      <w:bookmarkStart w:id="1" w:name="O_273236"/>
      <w:bookmarkEnd w:id="1"/>
      <w:r w:rsidRPr="00212A17">
        <w:t>Modification History</w:t>
      </w:r>
    </w:p>
    <w:p w:rsidR="00000000" w:rsidRPr="00212A17" w:rsidP="00212A17">
      <w:pPr>
        <w:pStyle w:val="BodyText"/>
      </w:pPr>
      <w:r w:rsidRPr="00212A17">
        <w:t>Not Applicable</w:t>
      </w:r>
    </w:p>
    <w:p w:rsidR="00000000" w:rsidRPr="00212A17" w:rsidP="00212A17">
      <w:pPr>
        <w:pStyle w:val="AllowPageBreak"/>
      </w:pPr>
    </w:p>
    <w:p w:rsidR="00000000" w:rsidRPr="00212A17" w:rsidP="00212A17">
      <w:pPr>
        <w:pStyle w:val="Heading1"/>
      </w:pPr>
      <w:bookmarkStart w:id="2" w:name="O_218143"/>
      <w:bookmarkEnd w:id="2"/>
      <w:r w:rsidRPr="00212A17">
        <w:t>Unit Descriptor</w:t>
      </w:r>
    </w:p>
    <w:tbl>
      <w:tblPr>
        <w:tblW w:w="0" w:type="auto"/>
        <w:tblLayout w:type="fixed"/>
        <w:tblCellMar>
          <w:left w:w="62" w:type="dxa"/>
          <w:right w:w="62" w:type="dxa"/>
        </w:tblCellMar>
        <w:tblLook w:val="0000"/>
      </w:tblPr>
      <w:tblGrid>
        <w:gridCol w:w="2669"/>
        <w:gridCol w:w="5853"/>
      </w:tblGrid>
      <w:tr w:rsidTr="00386F1D">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 xml:space="preserve">This unit of competency involves performing underwater dive work in the wild catch sector </w:t>
            </w:r>
            <w:r w:rsidRPr="00212A17">
              <w:t>of the seafood industry, including lifting and handling activities, using basic hand tools and harvesting seafood and other aquatic products, including ornamental species. Licensing, legislative, regulatory or certification requirements may apply to this u</w:t>
            </w:r>
            <w:r w:rsidRPr="00212A17">
              <w:t>nit. Therefore it will be necessary to check with the relevant state or territory regulators for current licensing, legislative or regulatory requirements before undertaking this unit.</w:t>
            </w:r>
          </w:p>
        </w:tc>
      </w:tr>
    </w:tbl>
    <w:p w:rsidR="00386F1D" w:rsidP="00212A17">
      <w:pPr>
        <w:pStyle w:val="BodyText"/>
      </w:pPr>
    </w:p>
    <w:p w:rsidR="00386F1D" w:rsidP="00212A17">
      <w:pPr>
        <w:pStyle w:val="BodyText"/>
      </w:pPr>
    </w:p>
    <w:p w:rsidR="00000000" w:rsidRPr="00212A17" w:rsidP="00212A17">
      <w:pPr>
        <w:pStyle w:val="Heading1"/>
      </w:pPr>
      <w:bookmarkStart w:id="3" w:name="O_218147"/>
      <w:bookmarkEnd w:id="3"/>
      <w:r w:rsidRPr="00212A17">
        <w:t>Application of the Unit</w:t>
      </w:r>
    </w:p>
    <w:tbl>
      <w:tblPr>
        <w:tblW w:w="0" w:type="auto"/>
        <w:tblLayout w:type="fixed"/>
        <w:tblCellMar>
          <w:left w:w="62" w:type="dxa"/>
          <w:right w:w="62" w:type="dxa"/>
        </w:tblCellMar>
        <w:tblLook w:val="0000"/>
      </w:tblPr>
      <w:tblGrid>
        <w:gridCol w:w="2733"/>
        <w:gridCol w:w="5789"/>
      </w:tblGrid>
      <w:tr w:rsidTr="00386F1D">
        <w:tblPrEx>
          <w:tblW w:w="0" w:type="auto"/>
          <w:tblLayout w:type="fixed"/>
          <w:tblCellMar>
            <w:left w:w="62" w:type="dxa"/>
            <w:right w:w="62" w:type="dxa"/>
          </w:tblCellMar>
          <w:tblLook w:val="0000"/>
        </w:tblPrEx>
        <w:tc>
          <w:tcPr>
            <w:tcW w:w="2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Application of the unit</w:t>
            </w:r>
          </w:p>
        </w:tc>
        <w:tc>
          <w:tcPr>
            <w:tcW w:w="57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 xml:space="preserve">Completion of this and other diving units may lead to further accreditation in occupational diving by industry and/or regulatory authorities. Check with the relevant industry or regulatory body for specific requirements.  </w:t>
            </w:r>
          </w:p>
          <w:p w:rsidR="00000000" w:rsidRPr="00212A17" w:rsidP="00212A17">
            <w:pPr>
              <w:pStyle w:val="BodyText"/>
            </w:pPr>
            <w:r w:rsidRPr="00212A17">
              <w:t>All enterprise or workplace proce</w:t>
            </w:r>
            <w:r w:rsidRPr="00212A17">
              <w:t xml:space="preserve">dures and activities are carried out according to </w:t>
            </w:r>
            <w:r w:rsidRPr="00212A17">
              <w:rPr>
                <w:rStyle w:val="BoldandItalics"/>
              </w:rPr>
              <w:t>relevant government regulations</w:t>
            </w:r>
            <w:r w:rsidRPr="00212A17">
              <w:t xml:space="preserve">, </w:t>
            </w:r>
            <w:r w:rsidRPr="00212A17">
              <w:rPr>
                <w:rStyle w:val="BoldandItalics"/>
              </w:rPr>
              <w:t>licensing and other compliance requirements</w:t>
            </w:r>
            <w:r w:rsidRPr="00212A17">
              <w:t xml:space="preserve">, including </w:t>
            </w:r>
            <w:r w:rsidRPr="00212A17">
              <w:rPr>
                <w:rStyle w:val="BoldandItalics"/>
              </w:rPr>
              <w:t>occupational health and safety</w:t>
            </w:r>
            <w:r w:rsidRPr="00212A17">
              <w:t xml:space="preserve"> (</w:t>
            </w:r>
            <w:r w:rsidRPr="00212A17">
              <w:rPr>
                <w:rStyle w:val="BoldandItalics"/>
              </w:rPr>
              <w:t>OHS</w:t>
            </w:r>
            <w:r w:rsidRPr="00212A17">
              <w:t xml:space="preserve">) </w:t>
            </w:r>
            <w:r w:rsidRPr="00212A17">
              <w:rPr>
                <w:rStyle w:val="BoldandItalics"/>
              </w:rPr>
              <w:t>guidelines</w:t>
            </w:r>
            <w:r w:rsidRPr="00212A17">
              <w:t xml:space="preserve">, maritime and occupational diver codes of practice and procedures and </w:t>
            </w:r>
            <w:r w:rsidRPr="00212A17">
              <w:rPr>
                <w:rStyle w:val="BoldandItalics"/>
              </w:rPr>
              <w:t>ecologically sustainable development</w:t>
            </w:r>
            <w:r w:rsidRPr="00212A17">
              <w:t xml:space="preserve"> (</w:t>
            </w:r>
            <w:r w:rsidRPr="00212A17">
              <w:rPr>
                <w:rStyle w:val="BoldandItalics"/>
              </w:rPr>
              <w:t>ESD</w:t>
            </w:r>
            <w:r w:rsidRPr="00212A17">
              <w:t xml:space="preserve">) </w:t>
            </w:r>
            <w:r w:rsidRPr="00212A17">
              <w:rPr>
                <w:rStyle w:val="BoldandItalics"/>
              </w:rPr>
              <w:t>principles</w:t>
            </w:r>
            <w:r w:rsidRPr="00212A17">
              <w:t xml:space="preserve">.  </w:t>
            </w:r>
          </w:p>
          <w:p w:rsidR="00000000" w:rsidRPr="00212A17" w:rsidP="00212A17">
            <w:pPr>
              <w:pStyle w:val="BodyText"/>
            </w:pPr>
            <w:r w:rsidRPr="00212A17">
              <w:t xml:space="preserve">Equipment operation, maintenance, repairs and calibrations are undertaken in a safe manner that conforms to manufacturer instructions. Appropriate </w:t>
            </w:r>
            <w:r w:rsidRPr="00212A17">
              <w:rPr>
                <w:rStyle w:val="BoldandItalics"/>
              </w:rPr>
              <w:t>personal protective</w:t>
            </w:r>
            <w:r w:rsidRPr="00212A17">
              <w:t xml:space="preserve"> </w:t>
            </w:r>
            <w:r w:rsidRPr="00212A17">
              <w:rPr>
                <w:rStyle w:val="BoldandItalics"/>
              </w:rPr>
              <w:t>equipment</w:t>
            </w:r>
            <w:r w:rsidRPr="00212A17">
              <w:t xml:space="preserve"> (</w:t>
            </w:r>
            <w:r w:rsidRPr="00212A17">
              <w:rPr>
                <w:rStyle w:val="BoldandItalics"/>
              </w:rPr>
              <w:t>PPE</w:t>
            </w:r>
            <w:r w:rsidRPr="00212A17">
              <w:t>) is selected, che</w:t>
            </w:r>
            <w:r w:rsidRPr="00212A17">
              <w:t>cked, used and maintained.</w:t>
            </w:r>
          </w:p>
        </w:tc>
      </w:tr>
    </w:tbl>
    <w:p w:rsidR="00386F1D" w:rsidP="00212A17">
      <w:pPr>
        <w:pStyle w:val="BodyText"/>
      </w:pPr>
    </w:p>
    <w:p w:rsidR="00386F1D" w:rsidP="00212A17">
      <w:pPr>
        <w:pStyle w:val="BodyText"/>
      </w:pPr>
    </w:p>
    <w:p w:rsidR="00000000" w:rsidRPr="00212A17" w:rsidP="00212A17">
      <w:pPr>
        <w:pStyle w:val="Heading1"/>
      </w:pPr>
      <w:bookmarkStart w:id="4" w:name="O_281496"/>
      <w:bookmarkEnd w:id="4"/>
      <w:r w:rsidRPr="00212A17">
        <w:t>Licensing/Regulatory Information</w:t>
      </w:r>
    </w:p>
    <w:p w:rsidR="00000000" w:rsidRPr="00212A17" w:rsidP="00212A17">
      <w:pPr>
        <w:pStyle w:val="BodyText"/>
      </w:pPr>
      <w:r w:rsidRPr="00212A17">
        <w:t>Refer to Unit Descriptor</w:t>
      </w:r>
    </w:p>
    <w:p w:rsidR="00000000" w:rsidRPr="00212A17" w:rsidP="00212A17">
      <w:pPr>
        <w:pStyle w:val="AllowPageBreak"/>
      </w:pPr>
    </w:p>
    <w:p w:rsidR="00000000" w:rsidRPr="00212A17" w:rsidP="00212A17">
      <w:pPr>
        <w:pStyle w:val="Heading1"/>
      </w:pPr>
      <w:bookmarkStart w:id="5" w:name="O_218145"/>
      <w:bookmarkEnd w:id="5"/>
      <w:r w:rsidRPr="00212A17">
        <w:t>Pre-Requisites</w:t>
      </w:r>
    </w:p>
    <w:tbl>
      <w:tblPr>
        <w:tblW w:w="0" w:type="auto"/>
        <w:tblLayout w:type="fixed"/>
        <w:tblCellMar>
          <w:left w:w="62" w:type="dxa"/>
          <w:right w:w="62" w:type="dxa"/>
        </w:tblCellMar>
        <w:tblLook w:val="0000"/>
      </w:tblPr>
      <w:tblGrid>
        <w:gridCol w:w="2722"/>
        <w:gridCol w:w="2134"/>
        <w:gridCol w:w="3666"/>
      </w:tblGrid>
      <w:tr w:rsidTr="00386F1D">
        <w:tblPrEx>
          <w:tblW w:w="0" w:type="auto"/>
          <w:tblLayout w:type="fixed"/>
          <w:tblCellMar>
            <w:left w:w="62" w:type="dxa"/>
            <w:right w:w="62" w:type="dxa"/>
          </w:tblCellMar>
          <w:tblLook w:val="0000"/>
        </w:tblPrEx>
        <w:trPr>
          <w:tblHeader/>
        </w:trPr>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Prerequisite units</w:t>
            </w:r>
          </w:p>
        </w:tc>
        <w:tc>
          <w:tcPr>
            <w:tcW w:w="58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p>
        </w:tc>
      </w:tr>
      <w:tr w:rsidTr="00386F1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HLTFA301B</w:t>
            </w: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Apply first aid</w:t>
            </w:r>
          </w:p>
        </w:tc>
      </w:tr>
      <w:tr w:rsidTr="00386F1D">
        <w:tblPrEx>
          <w:tblW w:w="0" w:type="auto"/>
          <w:tblLayout w:type="fixed"/>
          <w:tblCellMar>
            <w:left w:w="62" w:type="dxa"/>
            <w:right w:w="62" w:type="dxa"/>
          </w:tblCellMar>
          <w:tblLook w:val="0000"/>
        </w:tblPrEx>
        <w:tc>
          <w:tcPr>
            <w:tcW w:w="27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p>
        </w:tc>
      </w:tr>
    </w:tbl>
    <w:p w:rsidR="00386F1D" w:rsidP="00212A17">
      <w:pPr>
        <w:pStyle w:val="BodyText"/>
      </w:pPr>
    </w:p>
    <w:p w:rsidR="00386F1D" w:rsidP="00212A17">
      <w:pPr>
        <w:pStyle w:val="BodyText"/>
      </w:pPr>
    </w:p>
    <w:p w:rsidR="00000000" w:rsidRPr="00212A17" w:rsidP="00212A17">
      <w:pPr>
        <w:pStyle w:val="Heading1"/>
      </w:pPr>
      <w:bookmarkStart w:id="6" w:name="O_218144"/>
      <w:bookmarkEnd w:id="6"/>
      <w:r w:rsidRPr="00212A17">
        <w:t>Employability Skills Information</w:t>
      </w:r>
    </w:p>
    <w:tbl>
      <w:tblPr>
        <w:tblW w:w="0" w:type="auto"/>
        <w:tblLayout w:type="fixed"/>
        <w:tblCellMar>
          <w:left w:w="62" w:type="dxa"/>
          <w:right w:w="62" w:type="dxa"/>
        </w:tblCellMar>
        <w:tblLook w:val="0000"/>
      </w:tblPr>
      <w:tblGrid>
        <w:gridCol w:w="2802"/>
        <w:gridCol w:w="5720"/>
      </w:tblGrid>
      <w:tr w:rsidTr="00386F1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This unit contains employability skills.</w:t>
            </w:r>
          </w:p>
        </w:tc>
      </w:tr>
    </w:tbl>
    <w:p w:rsidR="00386F1D" w:rsidP="00212A17">
      <w:pPr>
        <w:pStyle w:val="BodyText"/>
      </w:pPr>
    </w:p>
    <w:p w:rsidR="00386F1D" w:rsidP="00212A17">
      <w:pPr>
        <w:pStyle w:val="BodyText"/>
      </w:pPr>
    </w:p>
    <w:p w:rsidR="00000000" w:rsidRPr="00212A17" w:rsidP="00212A17">
      <w:pPr>
        <w:pStyle w:val="Heading1"/>
      </w:pPr>
      <w:bookmarkStart w:id="7" w:name="O_291282"/>
      <w:bookmarkEnd w:id="7"/>
      <w:r w:rsidRPr="00212A17">
        <w:t>Elements and Performance Criteria Pre-Content</w:t>
      </w:r>
    </w:p>
    <w:tbl>
      <w:tblPr>
        <w:tblW w:w="0" w:type="auto"/>
        <w:tblLayout w:type="fixed"/>
        <w:tblCellMar>
          <w:left w:w="62" w:type="dxa"/>
          <w:right w:w="62" w:type="dxa"/>
        </w:tblCellMar>
        <w:tblLook w:val="0000"/>
      </w:tblPr>
      <w:tblGrid>
        <w:gridCol w:w="2543"/>
        <w:gridCol w:w="5979"/>
      </w:tblGrid>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Elements describe the essential outcomes of a unit of competency.</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Performance criteria describe the performance needed to demons</w:t>
            </w:r>
            <w:r w:rsidRPr="00212A17">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212A17" w:rsidP="00212A17">
      <w:pPr>
        <w:pStyle w:val="BodyText"/>
      </w:pPr>
    </w:p>
    <w:p w:rsidR="00000000" w:rsidRPr="00212A17" w:rsidP="00212A17">
      <w:pPr>
        <w:pStyle w:val="AllowPageBreak"/>
      </w:pPr>
    </w:p>
    <w:p w:rsidR="00000000" w:rsidRPr="00212A17" w:rsidP="00212A17">
      <w:pPr>
        <w:pStyle w:val="Heading1"/>
      </w:pPr>
      <w:bookmarkStart w:id="8" w:name="O_237950"/>
      <w:bookmarkEnd w:id="8"/>
      <w:r w:rsidRPr="00212A17">
        <w:t>Elements and Performance Criteria</w:t>
      </w:r>
    </w:p>
    <w:tbl>
      <w:tblPr>
        <w:tblW w:w="0" w:type="auto"/>
        <w:tblLayout w:type="fixed"/>
        <w:tblCellMar>
          <w:left w:w="62" w:type="dxa"/>
          <w:right w:w="62" w:type="dxa"/>
        </w:tblCellMar>
        <w:tblLook w:val="0000"/>
      </w:tblPr>
      <w:tblGrid>
        <w:gridCol w:w="2543"/>
        <w:gridCol w:w="5979"/>
      </w:tblGrid>
      <w:tr w:rsidTr="00386F1D">
        <w:tblPrEx>
          <w:tblW w:w="0" w:type="auto"/>
          <w:tblLayout w:type="fixed"/>
          <w:tblCellMar>
            <w:left w:w="62" w:type="dxa"/>
            <w:right w:w="62" w:type="dxa"/>
          </w:tblCellMar>
          <w:tblLook w:val="0000"/>
        </w:tblPrEx>
        <w:trPr>
          <w:tblHeader/>
        </w:trPr>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rPr>
                <w:rStyle w:val="SpecialBold"/>
              </w:rPr>
              <w:t>ELEMENT</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PERFORMANCE CRITERIA</w:t>
            </w:r>
          </w:p>
        </w:tc>
      </w:tr>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List"/>
              <w:rPr>
                <w:lang w:val="en-NZ"/>
              </w:rPr>
            </w:pPr>
            <w:r w:rsidRPr="00212A17">
              <w:t>1.</w:t>
            </w:r>
            <w:r w:rsidRPr="00212A17">
              <w:tab/>
              <w:t>Enter and leave the water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2"/>
            </w:pPr>
            <w:r w:rsidRPr="00212A17">
              <w:t>1.1.</w:t>
            </w:r>
            <w:r w:rsidRPr="00212A17">
              <w:tab/>
              <w:t xml:space="preserve">Prevailing weather and water conditions are considered when assessing the safety of diving operations and a decision on </w:t>
            </w:r>
            <w:r w:rsidRPr="00212A17">
              <w:t>whether to continue the dive is taken.</w:t>
            </w:r>
          </w:p>
          <w:p w:rsidR="00000000" w:rsidRPr="00212A17" w:rsidP="00212A17">
            <w:pPr>
              <w:pStyle w:val="List2"/>
            </w:pPr>
            <w:r w:rsidRPr="00212A17">
              <w:t>1.2.</w:t>
            </w:r>
            <w:r w:rsidRPr="00212A17">
              <w:tab/>
              <w:t xml:space="preserve">Procedures when entering and leaving the water from the </w:t>
            </w:r>
            <w:r w:rsidRPr="00212A17">
              <w:rPr>
                <w:rStyle w:val="BoldandItalics"/>
              </w:rPr>
              <w:t>dive platform</w:t>
            </w:r>
            <w:r w:rsidRPr="00212A17">
              <w:t xml:space="preserve"> meet accepted </w:t>
            </w:r>
            <w:r w:rsidRPr="00212A17">
              <w:rPr>
                <w:rStyle w:val="BoldandItalics"/>
              </w:rPr>
              <w:t>diving guidelines</w:t>
            </w:r>
            <w:r w:rsidRPr="00212A17">
              <w:t xml:space="preserve"> and are in accordance with normal dive practices. </w:t>
            </w:r>
          </w:p>
          <w:p w:rsidR="00000000" w:rsidP="00212A17">
            <w:pPr>
              <w:pStyle w:val="List2"/>
              <w:rPr>
                <w:lang w:val="en-NZ"/>
              </w:rPr>
            </w:pPr>
            <w:r w:rsidRPr="00212A17">
              <w:t>1.3.</w:t>
            </w:r>
            <w:r w:rsidRPr="00212A17">
              <w:tab/>
              <w:t>Signals to the dive platform prior to descent and foll</w:t>
            </w:r>
            <w:r w:rsidRPr="00212A17">
              <w:t>owing ascent are conducted according to normal dive practices.</w:t>
            </w:r>
          </w:p>
        </w:tc>
      </w:tr>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List"/>
              <w:rPr>
                <w:lang w:val="en-NZ"/>
              </w:rPr>
            </w:pPr>
            <w:r w:rsidRPr="00212A17">
              <w:t>2.</w:t>
            </w:r>
            <w:r w:rsidRPr="00212A17">
              <w:tab/>
              <w:t>Identify and harvest underwater and land seafood catch</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2"/>
            </w:pPr>
            <w:r w:rsidRPr="00212A17">
              <w:t>2.1.</w:t>
            </w:r>
            <w:r w:rsidRPr="00212A17">
              <w:tab/>
              <w:t xml:space="preserve">Targeted </w:t>
            </w:r>
            <w:r w:rsidRPr="00212A17">
              <w:rPr>
                <w:rStyle w:val="BoldandItalics"/>
              </w:rPr>
              <w:t>seafood</w:t>
            </w:r>
            <w:r w:rsidRPr="00212A17">
              <w:t xml:space="preserve"> </w:t>
            </w:r>
            <w:r w:rsidRPr="00212A17">
              <w:rPr>
                <w:rStyle w:val="BoldandItalics"/>
              </w:rPr>
              <w:t>and other aquatic products</w:t>
            </w:r>
            <w:r w:rsidRPr="00212A17">
              <w:t xml:space="preserve"> are identified and harvested </w:t>
            </w:r>
            <w:r w:rsidRPr="00212A17">
              <w:rPr>
                <w:rStyle w:val="BoldandItalics"/>
              </w:rPr>
              <w:t>legally</w:t>
            </w:r>
            <w:r w:rsidRPr="00212A17">
              <w:t xml:space="preserve"> and safely. </w:t>
            </w:r>
          </w:p>
          <w:p w:rsidR="00000000" w:rsidRPr="00212A17" w:rsidP="00212A17">
            <w:pPr>
              <w:pStyle w:val="List2"/>
            </w:pPr>
            <w:r w:rsidRPr="00212A17">
              <w:t>2.2.</w:t>
            </w:r>
            <w:r w:rsidRPr="00212A17">
              <w:tab/>
              <w:t>Catch is handled in a way that</w:t>
            </w:r>
            <w:r w:rsidRPr="00212A17">
              <w:t xml:space="preserve"> maintains maximum quality, and according to enterprise and industry operating procedures.</w:t>
            </w:r>
          </w:p>
          <w:p w:rsidR="00000000" w:rsidP="00212A17">
            <w:pPr>
              <w:pStyle w:val="List2"/>
              <w:rPr>
                <w:lang w:val="en-NZ"/>
              </w:rPr>
            </w:pPr>
            <w:r w:rsidRPr="00212A17">
              <w:t>2.3.</w:t>
            </w:r>
            <w:r w:rsidRPr="00212A17">
              <w:tab/>
              <w:t xml:space="preserve">Catch is </w:t>
            </w:r>
            <w:r w:rsidRPr="00212A17">
              <w:rPr>
                <w:rStyle w:val="BoldandItalics"/>
              </w:rPr>
              <w:t>landed</w:t>
            </w:r>
            <w:r w:rsidRPr="00212A17">
              <w:t xml:space="preserve"> according to enterprise and industry operating procedures. </w:t>
            </w:r>
          </w:p>
        </w:tc>
      </w:tr>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List"/>
              <w:rPr>
                <w:lang w:val="en-NZ"/>
              </w:rPr>
            </w:pPr>
            <w:r w:rsidRPr="00212A17">
              <w:t>3.</w:t>
            </w:r>
            <w:r w:rsidRPr="00212A17">
              <w:tab/>
              <w:t>Assist in lifting and handling</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2"/>
            </w:pPr>
            <w:r w:rsidRPr="00212A17">
              <w:t>3.1.</w:t>
            </w:r>
            <w:r w:rsidRPr="00212A17">
              <w:tab/>
            </w:r>
            <w:r w:rsidRPr="00212A17">
              <w:t>The limitations and suitability of winches with hydraulic and air motors for use on the surface and under water are understood and applied.</w:t>
            </w:r>
          </w:p>
          <w:p w:rsidR="00000000" w:rsidRPr="00212A17" w:rsidP="00212A17">
            <w:pPr>
              <w:pStyle w:val="List2"/>
            </w:pPr>
            <w:r w:rsidRPr="00212A17">
              <w:t>3.2.</w:t>
            </w:r>
            <w:r w:rsidRPr="00212A17">
              <w:tab/>
              <w:t>The correct signs and signals are used during winch operations.</w:t>
            </w:r>
          </w:p>
          <w:p w:rsidR="00000000" w:rsidRPr="00212A17" w:rsidP="00212A17">
            <w:pPr>
              <w:pStyle w:val="List2"/>
            </w:pPr>
            <w:r w:rsidRPr="00212A17">
              <w:t>3.3.</w:t>
            </w:r>
            <w:r w:rsidRPr="00212A17">
              <w:tab/>
            </w:r>
            <w:r w:rsidRPr="00212A17">
              <w:rPr>
                <w:rStyle w:val="BoldandItalics"/>
              </w:rPr>
              <w:t>Lifting</w:t>
            </w:r>
            <w:r w:rsidRPr="00212A17">
              <w:t xml:space="preserve"> equipment and ropes of the correct type and safe working load are selected and rigged, using the correct mechanical advantage for the load being lifted. </w:t>
            </w:r>
          </w:p>
          <w:p w:rsidR="00000000" w:rsidRPr="00212A17" w:rsidP="00212A17">
            <w:pPr>
              <w:pStyle w:val="List2"/>
            </w:pPr>
            <w:r w:rsidRPr="00212A17">
              <w:t>3.4.</w:t>
            </w:r>
            <w:r w:rsidRPr="00212A17">
              <w:tab/>
              <w:t>Lifting bags are properly secured and used to raise an object and the load is restrained so that</w:t>
            </w:r>
            <w:r w:rsidRPr="00212A17">
              <w:t xml:space="preserve"> ascent is controlled.</w:t>
            </w:r>
          </w:p>
          <w:p w:rsidR="00000000" w:rsidP="00212A17">
            <w:pPr>
              <w:pStyle w:val="List2"/>
              <w:rPr>
                <w:lang w:val="en-NZ"/>
              </w:rPr>
            </w:pPr>
            <w:r w:rsidRPr="00212A17">
              <w:t>3.5.</w:t>
            </w:r>
            <w:r w:rsidRPr="00212A17">
              <w:tab/>
            </w:r>
            <w:r w:rsidRPr="00212A17">
              <w:rPr>
                <w:rStyle w:val="BoldandItalics"/>
              </w:rPr>
              <w:t>Slings</w:t>
            </w:r>
            <w:r w:rsidRPr="00212A17">
              <w:t xml:space="preserve">, ropes and lifting bags are inspected and maintained and pre- and post-dive checks on lifting devices are carried out. </w:t>
            </w:r>
          </w:p>
        </w:tc>
      </w:tr>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List"/>
              <w:rPr>
                <w:lang w:val="en-NZ"/>
              </w:rPr>
            </w:pPr>
            <w:r w:rsidRPr="00212A17">
              <w:t>4.</w:t>
            </w:r>
            <w:r w:rsidRPr="00212A17">
              <w:tab/>
              <w:t>Use basic hand tools and auxiliary equipment underwater</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2"/>
            </w:pPr>
            <w:r w:rsidRPr="00212A17">
              <w:t>4.1.</w:t>
            </w:r>
            <w:r w:rsidRPr="00212A17">
              <w:tab/>
              <w:t xml:space="preserve">A range of basic hand </w:t>
            </w:r>
            <w:r w:rsidRPr="00212A17">
              <w:rPr>
                <w:rStyle w:val="BoldandItalics"/>
              </w:rPr>
              <w:t>tools</w:t>
            </w:r>
            <w:r w:rsidRPr="00212A17">
              <w:t xml:space="preserve"> is used </w:t>
            </w:r>
            <w:r w:rsidRPr="00212A17">
              <w:t xml:space="preserve">to complete simple tasks under water. </w:t>
            </w:r>
          </w:p>
          <w:p w:rsidR="00000000" w:rsidRPr="00212A17" w:rsidP="00212A17">
            <w:pPr>
              <w:pStyle w:val="List2"/>
            </w:pPr>
            <w:r w:rsidRPr="00212A17">
              <w:t>4.2.</w:t>
            </w:r>
            <w:r w:rsidRPr="00212A17">
              <w:tab/>
            </w:r>
            <w:r w:rsidRPr="00212A17">
              <w:rPr>
                <w:rStyle w:val="BoldandItalics"/>
              </w:rPr>
              <w:t>Auxiliary equipment</w:t>
            </w:r>
            <w:r w:rsidRPr="00212A17">
              <w:t xml:space="preserve"> is used in underwater operations according to established safety standards and enterprise procedures. </w:t>
            </w:r>
          </w:p>
          <w:p w:rsidR="00000000" w:rsidP="00212A17">
            <w:pPr>
              <w:pStyle w:val="List2"/>
              <w:rPr>
                <w:lang w:val="en-NZ"/>
              </w:rPr>
            </w:pPr>
            <w:r w:rsidRPr="00212A17">
              <w:t>4.3.</w:t>
            </w:r>
            <w:r w:rsidRPr="00212A17">
              <w:tab/>
              <w:t>Tools are inspected for defects, maintained appropriately or set aside for repair, i</w:t>
            </w:r>
            <w:r w:rsidRPr="00212A17">
              <w:t>f necessary, and stored correctly after use.</w:t>
            </w:r>
          </w:p>
        </w:tc>
      </w:tr>
      <w:tr w:rsidTr="00386F1D">
        <w:tblPrEx>
          <w:tblW w:w="0" w:type="auto"/>
          <w:tblLayout w:type="fixed"/>
          <w:tblCellMar>
            <w:left w:w="62" w:type="dxa"/>
            <w:right w:w="62" w:type="dxa"/>
          </w:tblCellMar>
          <w:tblLook w:val="0000"/>
        </w:tblPrEx>
        <w:tc>
          <w:tcPr>
            <w:tcW w:w="2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List"/>
              <w:rPr>
                <w:lang w:val="en-NZ"/>
              </w:rPr>
            </w:pPr>
            <w:r w:rsidRPr="00212A17">
              <w:t>5.</w:t>
            </w:r>
            <w:r w:rsidRPr="00212A17">
              <w:tab/>
              <w:t>Apply underwater search and survey techniques</w:t>
            </w:r>
          </w:p>
        </w:tc>
        <w:tc>
          <w:tcPr>
            <w:tcW w:w="5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2"/>
            </w:pPr>
            <w:r w:rsidRPr="00212A17">
              <w:t>5.1.</w:t>
            </w:r>
            <w:r w:rsidRPr="00212A17">
              <w:tab/>
              <w:t>A range of underwater search and survey techniques is used to locate targeted items.</w:t>
            </w:r>
          </w:p>
        </w:tc>
      </w:tr>
    </w:tbl>
    <w:p w:rsidR="00386F1D" w:rsidP="00212A17">
      <w:pPr>
        <w:pStyle w:val="BodyText"/>
      </w:pPr>
    </w:p>
    <w:p w:rsidR="00386F1D" w:rsidP="00212A17">
      <w:pPr>
        <w:pStyle w:val="BodyText"/>
      </w:pPr>
    </w:p>
    <w:p w:rsidR="00000000" w:rsidRPr="00212A17" w:rsidP="00212A17">
      <w:pPr>
        <w:pStyle w:val="Heading1"/>
      </w:pPr>
      <w:bookmarkStart w:id="9" w:name="O_261741"/>
      <w:bookmarkEnd w:id="9"/>
      <w:r w:rsidRPr="00212A17">
        <w:t>Required Skills and Knowledge</w:t>
      </w:r>
    </w:p>
    <w:tbl>
      <w:tblPr>
        <w:tblW w:w="0" w:type="auto"/>
        <w:tblLayout w:type="fixed"/>
        <w:tblCellMar>
          <w:left w:w="62" w:type="dxa"/>
          <w:right w:w="62" w:type="dxa"/>
        </w:tblCellMar>
        <w:tblLook w:val="0000"/>
      </w:tblPr>
      <w:tblGrid>
        <w:gridCol w:w="8522"/>
      </w:tblGrid>
      <w:tr w:rsidTr="00386F1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REQUIRED SKILLS AND KNOWLEDGE</w:t>
            </w:r>
          </w:p>
        </w:tc>
      </w:tr>
      <w:tr w:rsidTr="00386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This section describes the skills and knowledge required for this unit.</w:t>
            </w:r>
          </w:p>
        </w:tc>
      </w:tr>
      <w:tr w:rsidTr="00386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Required skills</w:t>
            </w:r>
          </w:p>
        </w:tc>
      </w:tr>
      <w:tr w:rsidTr="00386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assessing weather conditions for safe diving operations</w:t>
            </w:r>
          </w:p>
          <w:p w:rsidR="00000000" w:rsidRPr="00212A17" w:rsidP="00212A17">
            <w:pPr>
              <w:pStyle w:val="ListBullet"/>
            </w:pPr>
            <w:r w:rsidRPr="00212A17">
              <w:t>attaching slings, ropes and other connection equipment</w:t>
            </w:r>
          </w:p>
          <w:p w:rsidR="00000000" w:rsidRPr="00212A17" w:rsidP="00212A17">
            <w:pPr>
              <w:pStyle w:val="ListBullet"/>
            </w:pPr>
            <w:r w:rsidRPr="00212A17">
              <w:t>communicating wi</w:t>
            </w:r>
            <w:r w:rsidRPr="00212A17">
              <w:t>th the diver's tender prior to entering the water, during the underwater work and on leaving the water</w:t>
            </w:r>
          </w:p>
          <w:p w:rsidR="00000000" w:rsidRPr="00212A17" w:rsidP="00212A17">
            <w:pPr>
              <w:pStyle w:val="ListBullet"/>
            </w:pPr>
            <w:r w:rsidRPr="00212A17">
              <w:t>entering and leaving the water</w:t>
            </w:r>
          </w:p>
          <w:p w:rsidR="00000000" w:rsidRPr="00212A17" w:rsidP="00212A17">
            <w:pPr>
              <w:pStyle w:val="ListBullet"/>
            </w:pPr>
            <w:r w:rsidRPr="00212A17">
              <w:t>handling and landing targeted seafood and other aquatic species</w:t>
            </w:r>
          </w:p>
          <w:p w:rsidR="00000000" w:rsidRPr="00212A17" w:rsidP="00212A17">
            <w:pPr>
              <w:pStyle w:val="ListBullet"/>
            </w:pPr>
            <w:r w:rsidRPr="00212A17">
              <w:t>identifying and harvesting targeted seafood and other aqua</w:t>
            </w:r>
            <w:r w:rsidRPr="00212A17">
              <w:t>tic species</w:t>
            </w:r>
          </w:p>
          <w:p w:rsidR="00000000" w:rsidRPr="00212A17" w:rsidP="00212A17">
            <w:pPr>
              <w:pStyle w:val="ListBullet"/>
            </w:pPr>
            <w:r w:rsidRPr="00212A17">
              <w:t>maintaining tools, propulsion devices and auxiliary equipment</w:t>
            </w:r>
          </w:p>
          <w:p w:rsidR="00000000" w:rsidRPr="00212A17" w:rsidP="00212A17">
            <w:pPr>
              <w:pStyle w:val="ListBullet"/>
            </w:pPr>
            <w:r w:rsidRPr="00212A17">
              <w:t>searching and surveying underwater</w:t>
            </w:r>
          </w:p>
          <w:p w:rsidR="00000000" w:rsidRPr="00212A17" w:rsidP="00212A17">
            <w:pPr>
              <w:pStyle w:val="ListBullet"/>
            </w:pPr>
            <w:r w:rsidRPr="00212A17">
              <w:t>signalling during lifting and handling activities</w:t>
            </w:r>
          </w:p>
          <w:p w:rsidR="00000000" w:rsidRPr="00212A17" w:rsidP="00212A17">
            <w:pPr>
              <w:pStyle w:val="ListBullet"/>
            </w:pPr>
            <w:r w:rsidRPr="00212A17">
              <w:t>using auxiliary equipment underwater</w:t>
            </w:r>
          </w:p>
          <w:p w:rsidR="00000000" w:rsidRPr="00212A17" w:rsidP="00212A17">
            <w:pPr>
              <w:pStyle w:val="ListBullet"/>
            </w:pPr>
            <w:r w:rsidRPr="00212A17">
              <w:t>using tools underwater.</w:t>
            </w:r>
          </w:p>
          <w:p w:rsidR="00000000" w:rsidRPr="00212A17" w:rsidP="00212A17">
            <w:pPr>
              <w:pStyle w:val="BodyText"/>
            </w:pPr>
          </w:p>
          <w:p w:rsidR="00000000" w:rsidRPr="00212A17" w:rsidP="00212A17">
            <w:pPr>
              <w:pStyle w:val="BodyText"/>
            </w:pPr>
            <w:r w:rsidRPr="00212A17">
              <w:rPr>
                <w:rStyle w:val="SpecialBold"/>
              </w:rPr>
              <w:t>Literacy skills used for</w:t>
            </w:r>
            <w:r w:rsidRPr="00212A17">
              <w:t xml:space="preserve">: </w:t>
            </w:r>
          </w:p>
          <w:p w:rsidR="00000000" w:rsidRPr="00212A17" w:rsidP="00212A17">
            <w:pPr>
              <w:pStyle w:val="ListBullet"/>
            </w:pPr>
            <w:r w:rsidRPr="00212A17">
              <w:t>following dive tables</w:t>
            </w:r>
          </w:p>
          <w:p w:rsidR="00000000" w:rsidRPr="00212A17" w:rsidP="00212A17">
            <w:pPr>
              <w:pStyle w:val="ListBullet"/>
            </w:pPr>
            <w:r w:rsidRPr="00212A17">
              <w:t>reading diving information and instruments.</w:t>
            </w:r>
          </w:p>
          <w:p w:rsidR="00000000" w:rsidRPr="00212A17" w:rsidP="00212A17">
            <w:pPr>
              <w:pStyle w:val="BodyText"/>
            </w:pPr>
          </w:p>
          <w:p w:rsidR="00000000" w:rsidRPr="00212A17" w:rsidP="00212A17">
            <w:pPr>
              <w:pStyle w:val="BodyText"/>
            </w:pPr>
            <w:r w:rsidRPr="00212A17">
              <w:rPr>
                <w:rStyle w:val="SpecialBold"/>
              </w:rPr>
              <w:t>Numeracy skills used for</w:t>
            </w:r>
            <w:r w:rsidRPr="00212A17">
              <w:t xml:space="preserve">: </w:t>
            </w:r>
          </w:p>
          <w:p w:rsidR="00000000" w:rsidP="00212A17">
            <w:pPr>
              <w:pStyle w:val="ListBullet"/>
              <w:rPr>
                <w:lang w:val="en-NZ"/>
              </w:rPr>
            </w:pPr>
            <w:r w:rsidRPr="00212A17">
              <w:t>performing calculations for diving operations.</w:t>
            </w:r>
          </w:p>
        </w:tc>
      </w:tr>
      <w:tr w:rsidTr="00386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Required knowledge</w:t>
            </w:r>
          </w:p>
        </w:tc>
      </w:tr>
      <w:tr w:rsidTr="00386F1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diving signals</w:t>
            </w:r>
          </w:p>
          <w:p w:rsidR="00000000" w:rsidRPr="00212A17" w:rsidP="00212A17">
            <w:pPr>
              <w:pStyle w:val="ListBullet"/>
            </w:pPr>
            <w:r w:rsidRPr="00212A17">
              <w:t>lifting equipment used in the wild catch sector, including its suitability an</w:t>
            </w:r>
            <w:r w:rsidRPr="00212A17">
              <w:t>d limitations</w:t>
            </w:r>
          </w:p>
          <w:p w:rsidR="00000000" w:rsidRPr="00212A17" w:rsidP="00212A17">
            <w:pPr>
              <w:pStyle w:val="ListBullet"/>
            </w:pPr>
            <w:r w:rsidRPr="00212A17">
              <w:t>lifting signals</w:t>
            </w:r>
          </w:p>
          <w:p w:rsidR="00000000" w:rsidRPr="00212A17" w:rsidP="00212A17">
            <w:pPr>
              <w:pStyle w:val="ListBullet"/>
            </w:pPr>
            <w:r w:rsidRPr="00212A17">
              <w:t>local weather and sea conditions</w:t>
            </w:r>
          </w:p>
          <w:p w:rsidR="00000000" w:rsidRPr="00212A17" w:rsidP="00212A17">
            <w:pPr>
              <w:pStyle w:val="ListBullet"/>
            </w:pPr>
            <w:r w:rsidRPr="00212A17">
              <w:t>methods for entering and leaving the water</w:t>
            </w:r>
          </w:p>
          <w:p w:rsidR="00000000" w:rsidRPr="00212A17" w:rsidP="00212A17">
            <w:pPr>
              <w:pStyle w:val="ListBullet"/>
            </w:pPr>
            <w:r w:rsidRPr="00212A17">
              <w:t>quality procedures for handling and landing seafood and other aquatic products</w:t>
            </w:r>
          </w:p>
          <w:p w:rsidR="00000000" w:rsidRPr="00212A17" w:rsidP="00212A17">
            <w:pPr>
              <w:pStyle w:val="ListBullet"/>
            </w:pPr>
            <w:r w:rsidRPr="00212A17">
              <w:t>safe working loads and mechanical advantages</w:t>
            </w:r>
          </w:p>
          <w:p w:rsidR="00000000" w:rsidRPr="00212A17" w:rsidP="00212A17">
            <w:pPr>
              <w:pStyle w:val="ListBullet"/>
            </w:pPr>
            <w:r w:rsidRPr="00212A17">
              <w:t>targeted seafood species</w:t>
            </w:r>
          </w:p>
          <w:p w:rsidR="00000000" w:rsidRPr="00212A17" w:rsidP="00212A17">
            <w:pPr>
              <w:pStyle w:val="ListBullet"/>
            </w:pPr>
            <w:r w:rsidRPr="00212A17">
              <w:t>tools used in the wild catch sector</w:t>
            </w:r>
          </w:p>
          <w:p w:rsidR="00000000" w:rsidRPr="00212A17" w:rsidP="00212A17">
            <w:pPr>
              <w:pStyle w:val="ListBullet"/>
            </w:pPr>
            <w:r w:rsidRPr="00212A17">
              <w:t>underwater search and survey techniques</w:t>
            </w:r>
          </w:p>
          <w:p w:rsidR="00000000" w:rsidRPr="00212A17" w:rsidP="00212A17">
            <w:pPr>
              <w:pStyle w:val="ListBullet"/>
            </w:pPr>
            <w:r w:rsidRPr="00212A17">
              <w:t>use of auxiliary equipment.</w:t>
            </w:r>
          </w:p>
        </w:tc>
      </w:tr>
    </w:tbl>
    <w:p w:rsidR="00386F1D" w:rsidP="00212A17">
      <w:pPr>
        <w:pStyle w:val="BodyText"/>
      </w:pPr>
    </w:p>
    <w:p w:rsidR="00386F1D" w:rsidP="00212A17">
      <w:pPr>
        <w:pStyle w:val="BodyText"/>
      </w:pPr>
    </w:p>
    <w:p w:rsidR="00000000" w:rsidRPr="00212A17" w:rsidP="00212A17">
      <w:pPr>
        <w:pStyle w:val="AllowPageBreak"/>
      </w:pPr>
    </w:p>
    <w:p w:rsidR="00000000" w:rsidRPr="00212A17" w:rsidP="00212A17">
      <w:pPr>
        <w:pStyle w:val="Heading1"/>
      </w:pPr>
      <w:bookmarkStart w:id="10" w:name="O_245934"/>
      <w:bookmarkEnd w:id="10"/>
      <w:r w:rsidRPr="00212A17">
        <w:t>Evidence Guide</w:t>
      </w:r>
    </w:p>
    <w:tbl>
      <w:tblPr>
        <w:tblW w:w="9570" w:type="dxa"/>
        <w:tblLayout w:type="fixed"/>
        <w:tblCellMar>
          <w:left w:w="62" w:type="dxa"/>
          <w:right w:w="62" w:type="dxa"/>
        </w:tblCellMar>
        <w:tblLook w:val="0000"/>
      </w:tblPr>
      <w:tblGrid>
        <w:gridCol w:w="3908"/>
        <w:gridCol w:w="5662"/>
      </w:tblGrid>
      <w:tr w:rsidTr="00386F1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EVIDENCE GUIDE</w:t>
            </w:r>
          </w:p>
        </w:tc>
      </w:tr>
      <w:tr w:rsidTr="00386F1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The evidence guide provides advice on assessment and must be read in conjunction with the performance criteria, required skills and knowledge, range statement and the Assessment Guidelines for the Training Package.</w:t>
            </w:r>
          </w:p>
        </w:tc>
      </w:tr>
      <w:tr w:rsidTr="00386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p>
        </w:tc>
      </w:tr>
      <w:tr w:rsidTr="00386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Assessment must confirm the ability to:</w:t>
            </w:r>
          </w:p>
          <w:p w:rsidR="00000000" w:rsidRPr="00212A17" w:rsidP="00212A17">
            <w:pPr>
              <w:pStyle w:val="ListBullet"/>
            </w:pPr>
            <w:r w:rsidRPr="00212A17">
              <w:t>assess weather conditions before undertaking a dive</w:t>
            </w:r>
          </w:p>
          <w:p w:rsidR="00000000" w:rsidRPr="00212A17" w:rsidP="00212A17">
            <w:pPr>
              <w:pStyle w:val="ListBullet"/>
            </w:pPr>
            <w:r w:rsidRPr="00212A17">
              <w:t>assist in lifting and handling activities</w:t>
            </w:r>
          </w:p>
          <w:p w:rsidR="00000000" w:rsidRPr="00212A17" w:rsidP="00212A17">
            <w:pPr>
              <w:pStyle w:val="ListBullet"/>
            </w:pPr>
            <w:r w:rsidRPr="00212A17">
              <w:t>enter and leave the water accord</w:t>
            </w:r>
            <w:r w:rsidRPr="00212A17">
              <w:t>ing to standard dive procedures</w:t>
            </w:r>
          </w:p>
          <w:p w:rsidR="00000000" w:rsidRPr="00212A17" w:rsidP="00212A17">
            <w:pPr>
              <w:pStyle w:val="ListBullet"/>
            </w:pPr>
            <w:r w:rsidRPr="00212A17">
              <w:t>harvest and land targeted seafood and other aquatic species</w:t>
            </w:r>
          </w:p>
          <w:p w:rsidR="00000000" w:rsidRPr="00212A17" w:rsidP="00212A17">
            <w:pPr>
              <w:pStyle w:val="ListBullet"/>
            </w:pPr>
            <w:r w:rsidRPr="00212A17">
              <w:t>search and survey under water for targeted items</w:t>
            </w:r>
          </w:p>
          <w:p w:rsidR="00000000" w:rsidRPr="00212A17" w:rsidP="00212A17">
            <w:pPr>
              <w:pStyle w:val="ListBullet"/>
            </w:pPr>
            <w:r w:rsidRPr="00212A17">
              <w:t>use basic tools and auxiliary equipment under water</w:t>
            </w:r>
          </w:p>
          <w:p w:rsidR="00000000" w:rsidRPr="00212A17" w:rsidP="00212A17">
            <w:pPr>
              <w:pStyle w:val="ListBullet"/>
            </w:pPr>
            <w:r w:rsidRPr="00212A17">
              <w:t>use dive signals when communicating.</w:t>
            </w:r>
          </w:p>
          <w:p w:rsidR="00000000" w:rsidRPr="00212A17" w:rsidP="00212A17">
            <w:pPr>
              <w:pStyle w:val="BodyText"/>
            </w:pPr>
          </w:p>
          <w:p w:rsidR="00000000" w:rsidRPr="00212A17" w:rsidP="00212A17">
            <w:pPr>
              <w:pStyle w:val="BodyText"/>
            </w:pPr>
            <w:r w:rsidRPr="00212A17">
              <w:t xml:space="preserve">Assessment must confirm knowledge of: </w:t>
            </w:r>
          </w:p>
          <w:p w:rsidR="00000000" w:rsidRPr="00212A17" w:rsidP="00212A17">
            <w:pPr>
              <w:pStyle w:val="ListBullet"/>
            </w:pPr>
            <w:r w:rsidRPr="00212A17">
              <w:t>common maintenance procedures</w:t>
            </w:r>
          </w:p>
          <w:p w:rsidR="00000000" w:rsidRPr="00212A17" w:rsidP="00212A17">
            <w:pPr>
              <w:pStyle w:val="ListBullet"/>
            </w:pPr>
            <w:r w:rsidRPr="00212A17">
              <w:t>diver communication systems</w:t>
            </w:r>
          </w:p>
          <w:p w:rsidR="00000000" w:rsidRPr="00212A17" w:rsidP="00212A17">
            <w:pPr>
              <w:pStyle w:val="ListBullet"/>
            </w:pPr>
            <w:r w:rsidRPr="00212A17">
              <w:t>local climatic conditions</w:t>
            </w:r>
          </w:p>
          <w:p w:rsidR="00000000" w:rsidRPr="00212A17" w:rsidP="00212A17">
            <w:pPr>
              <w:pStyle w:val="ListBullet"/>
            </w:pPr>
            <w:r w:rsidRPr="00212A17">
              <w:t>seafood harvesting procedures</w:t>
            </w:r>
          </w:p>
          <w:p w:rsidR="00000000" w:rsidRPr="00212A17" w:rsidP="00212A17">
            <w:pPr>
              <w:pStyle w:val="ListBullet"/>
            </w:pPr>
            <w:r w:rsidRPr="00212A17">
              <w:t>seafood species common to the enterprise or industry</w:t>
            </w:r>
          </w:p>
          <w:p w:rsidR="00000000" w:rsidP="00212A17">
            <w:pPr>
              <w:pStyle w:val="ListBullet"/>
              <w:rPr>
                <w:lang w:val="en-NZ"/>
              </w:rPr>
            </w:pPr>
            <w:r w:rsidRPr="00212A17">
              <w:t>search and survey techniques.</w:t>
            </w:r>
          </w:p>
        </w:tc>
      </w:tr>
      <w:tr w:rsidTr="00386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Context of and spe</w:t>
            </w:r>
            <w:r w:rsidRPr="00212A17">
              <w:rPr>
                <w:rStyle w:val="SpecialBold"/>
              </w:rPr>
              <w:t>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 xml:space="preserve">Assessment is to be conducted at the workplace or in a simulated work environment. </w:t>
            </w:r>
          </w:p>
          <w:p w:rsidR="00000000" w:rsidRPr="00212A17" w:rsidP="00212A17">
            <w:pPr>
              <w:pStyle w:val="BodyText"/>
            </w:pPr>
          </w:p>
          <w:p w:rsidR="00000000" w:rsidRPr="00212A17" w:rsidP="00212A17">
            <w:pPr>
              <w:pStyle w:val="BodyText"/>
            </w:pPr>
            <w:r w:rsidRPr="00212A17">
              <w:t xml:space="preserve">Resources may include: </w:t>
            </w:r>
          </w:p>
          <w:p w:rsidR="00000000" w:rsidRPr="00212A17" w:rsidP="00212A17">
            <w:pPr>
              <w:pStyle w:val="ListBullet"/>
            </w:pPr>
            <w:r w:rsidRPr="00212A17">
              <w:t>diving equipment</w:t>
            </w:r>
          </w:p>
          <w:p w:rsidR="00000000" w:rsidRPr="00212A17" w:rsidP="00212A17">
            <w:pPr>
              <w:pStyle w:val="ListBullet"/>
            </w:pPr>
            <w:r w:rsidRPr="00212A17">
              <w:t>fisheries legislation relating to harvesting</w:t>
            </w:r>
          </w:p>
          <w:p w:rsidR="00000000" w:rsidRPr="00212A17" w:rsidP="00212A17">
            <w:pPr>
              <w:pStyle w:val="ListBullet"/>
            </w:pPr>
            <w:r w:rsidRPr="00212A17">
              <w:t>suitable diving environment</w:t>
            </w:r>
          </w:p>
          <w:p w:rsidR="00000000" w:rsidRPr="00212A17" w:rsidP="00212A17">
            <w:pPr>
              <w:pStyle w:val="ListBullet"/>
            </w:pPr>
            <w:r w:rsidRPr="00212A17">
              <w:t>tools used in the wild catch sector</w:t>
            </w:r>
          </w:p>
          <w:p w:rsidR="00000000" w:rsidP="00212A17">
            <w:pPr>
              <w:pStyle w:val="ListBullet"/>
              <w:rPr>
                <w:lang w:val="en-NZ"/>
              </w:rPr>
            </w:pPr>
            <w:r w:rsidRPr="00212A17">
              <w:t>underwater auxiliary equipment.</w:t>
            </w:r>
          </w:p>
        </w:tc>
      </w:tr>
      <w:tr w:rsidTr="00386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 xml:space="preserve">The following assessment methods are suggested: </w:t>
            </w:r>
          </w:p>
          <w:p w:rsidR="00000000" w:rsidRPr="00212A17" w:rsidP="00212A17">
            <w:pPr>
              <w:pStyle w:val="ListBullet"/>
            </w:pPr>
            <w:r w:rsidRPr="00212A17">
              <w:t>observation of practical demonstration</w:t>
            </w:r>
          </w:p>
          <w:p w:rsidR="00000000" w:rsidRPr="00212A17" w:rsidP="00212A17">
            <w:pPr>
              <w:pStyle w:val="ListBullet"/>
            </w:pPr>
            <w:r w:rsidRPr="00212A17">
              <w:t>practical exercises</w:t>
            </w:r>
          </w:p>
          <w:p w:rsidR="00000000" w:rsidP="00212A17">
            <w:pPr>
              <w:pStyle w:val="ListBullet"/>
              <w:rPr>
                <w:lang w:val="en-NZ"/>
              </w:rPr>
            </w:pPr>
            <w:r w:rsidRPr="00212A17">
              <w:t>written or oral short-answer testing.</w:t>
            </w:r>
          </w:p>
        </w:tc>
      </w:tr>
      <w:tr w:rsidTr="00386F1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Guidance informati</w:t>
            </w:r>
            <w:r w:rsidRPr="00212A17">
              <w:rPr>
                <w:rStyle w:val="SpecialBold"/>
              </w:rPr>
              <w:t>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This unit may be assessed holistically with other diving units.</w:t>
            </w:r>
          </w:p>
        </w:tc>
      </w:tr>
    </w:tbl>
    <w:p w:rsidR="00386F1D" w:rsidP="00212A17">
      <w:pPr>
        <w:pStyle w:val="BodyText"/>
      </w:pPr>
    </w:p>
    <w:p w:rsidR="00386F1D" w:rsidP="00212A17">
      <w:pPr>
        <w:pStyle w:val="BodyText"/>
      </w:pPr>
    </w:p>
    <w:p w:rsidR="00000000" w:rsidRPr="00212A17" w:rsidP="00212A17">
      <w:pPr>
        <w:pStyle w:val="Heading1"/>
      </w:pPr>
      <w:bookmarkStart w:id="11" w:name="O_253917"/>
      <w:bookmarkEnd w:id="11"/>
      <w:r w:rsidRPr="00212A17">
        <w:t>Range Statement</w:t>
      </w:r>
    </w:p>
    <w:tbl>
      <w:tblPr>
        <w:tblW w:w="0" w:type="auto"/>
        <w:tblLayout w:type="fixed"/>
        <w:tblCellMar>
          <w:left w:w="62" w:type="dxa"/>
          <w:right w:w="62" w:type="dxa"/>
        </w:tblCellMar>
        <w:tblLook w:val="0000"/>
      </w:tblPr>
      <w:tblGrid>
        <w:gridCol w:w="3475"/>
        <w:gridCol w:w="5047"/>
      </w:tblGrid>
      <w:tr w:rsidTr="00386F1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RANGE STATEMENT</w:t>
            </w:r>
          </w:p>
        </w:tc>
      </w:tr>
      <w:tr w:rsidTr="00386F1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t>The range statement relates to the unit of competency as a whole. It allows for different work environments and situations that may affect performance. Bold italicised wording, if used in the performance criteria, is detailed below. Essential operating con</w:t>
            </w:r>
            <w:r w:rsidRPr="00212A17">
              <w:t>ditions that may be present with training and assessment (depending on the work situation, needs of the candidate, accessibility of the item, and local industry and regional contexts) may also be included.</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Relevant government regulations</w:t>
            </w:r>
            <w:r w:rsidRPr="00212A17">
              <w:t xml:space="preserve">, </w:t>
            </w:r>
            <w:r w:rsidRPr="00212A17">
              <w:rPr>
                <w:rStyle w:val="BoldandItalics"/>
              </w:rPr>
              <w:t>licensing and other compliance requirements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business or workplace operations, policies and practices</w:t>
            </w:r>
          </w:p>
          <w:p w:rsidR="00000000" w:rsidRPr="00212A17" w:rsidP="00212A17">
            <w:pPr>
              <w:pStyle w:val="ListBullet"/>
            </w:pPr>
            <w:r w:rsidRPr="00212A17">
              <w:t>ESD principles, environmental hazard identification, risk assessment and control</w:t>
            </w:r>
          </w:p>
          <w:p w:rsidR="00000000" w:rsidRPr="00212A17" w:rsidP="00212A17">
            <w:pPr>
              <w:pStyle w:val="ListBullet"/>
            </w:pPr>
            <w:r w:rsidRPr="00212A17">
              <w:t xml:space="preserve">fisheries or aquaculture regulations, permits and licences </w:t>
            </w:r>
          </w:p>
          <w:p w:rsidR="00000000" w:rsidRPr="00212A17" w:rsidP="00212A17">
            <w:pPr>
              <w:pStyle w:val="ListBullet"/>
            </w:pPr>
            <w:r w:rsidRPr="00212A17">
              <w:t>health and welfare of aquatic animals</w:t>
            </w:r>
          </w:p>
          <w:p w:rsidR="00000000" w:rsidRPr="00212A17" w:rsidP="00212A17">
            <w:pPr>
              <w:pStyle w:val="ListBullet"/>
            </w:pPr>
            <w:r w:rsidRPr="00212A17">
              <w:t xml:space="preserve">Indigenous land rights and cultural activities </w:t>
            </w:r>
          </w:p>
          <w:p w:rsidR="00000000" w:rsidRPr="00212A17" w:rsidP="00212A17">
            <w:pPr>
              <w:pStyle w:val="ListBullet"/>
            </w:pPr>
            <w:r w:rsidRPr="00212A17">
              <w:t>maritime and occupational diving operations, safety at sea and pollution control</w:t>
            </w:r>
          </w:p>
          <w:p w:rsidR="00000000" w:rsidP="00212A17">
            <w:pPr>
              <w:pStyle w:val="ListBullet"/>
              <w:rPr>
                <w:lang w:val="en-NZ"/>
              </w:rPr>
            </w:pPr>
            <w:r w:rsidRPr="00212A17">
              <w:t>OHS hazard identification, risk assessment and control.</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OHS guidelines</w:t>
            </w:r>
            <w:r w:rsidRPr="00212A17">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 xml:space="preserve">appropriate workplace provision of first aid kits </w:t>
            </w:r>
          </w:p>
          <w:p w:rsidR="00000000" w:rsidRPr="00212A17" w:rsidP="00212A17">
            <w:pPr>
              <w:pStyle w:val="ListBullet"/>
            </w:pPr>
            <w:r w:rsidRPr="00212A17">
              <w:t>codes of practice, regulations and/or guidance notes which may apply in a jurisdiction or industry sector</w:t>
            </w:r>
          </w:p>
          <w:p w:rsidR="00000000" w:rsidRPr="00212A17" w:rsidP="00212A17">
            <w:pPr>
              <w:pStyle w:val="ListBullet"/>
            </w:pPr>
            <w:r w:rsidRPr="00212A17">
              <w:t>enterprise-specific OHS procedures, policies or standards</w:t>
            </w:r>
          </w:p>
          <w:p w:rsidR="00000000" w:rsidRPr="00212A17" w:rsidP="00212A17">
            <w:pPr>
              <w:pStyle w:val="ListBullet"/>
            </w:pPr>
            <w:r w:rsidRPr="00212A17">
              <w:t xml:space="preserve">hazard and risk assessment of workplace, </w:t>
            </w:r>
            <w:r w:rsidRPr="00212A17">
              <w:t>maintenance activities and control measures</w:t>
            </w:r>
          </w:p>
          <w:p w:rsidR="00000000" w:rsidRPr="00212A17" w:rsidP="00212A17">
            <w:pPr>
              <w:pStyle w:val="ListBullet"/>
            </w:pPr>
            <w:r w:rsidRPr="00212A17">
              <w:t xml:space="preserve">induction or training of staff and contractors in relevant OHS procedures and/or requirements to allow them to carry out their duties in a safe manner </w:t>
            </w:r>
          </w:p>
          <w:p w:rsidR="00000000" w:rsidRPr="00212A17" w:rsidP="00212A17">
            <w:pPr>
              <w:pStyle w:val="ListBullet"/>
            </w:pPr>
            <w:r w:rsidRPr="00212A17">
              <w:t>OHS training register</w:t>
            </w:r>
          </w:p>
          <w:p w:rsidR="00000000" w:rsidRPr="00212A17" w:rsidP="00212A17">
            <w:pPr>
              <w:pStyle w:val="ListBullet"/>
            </w:pPr>
            <w:r w:rsidRPr="00212A17">
              <w:t>safe lifting, carrying and handling te</w:t>
            </w:r>
            <w:r w:rsidRPr="00212A17">
              <w:t xml:space="preserve">chniques </w:t>
            </w:r>
          </w:p>
          <w:p w:rsidR="00000000" w:rsidRPr="00212A17" w:rsidP="00212A17">
            <w:pPr>
              <w:pStyle w:val="ListBullet"/>
            </w:pPr>
            <w:r w:rsidRPr="00212A17">
              <w:t>safe systems and procedures for outdoor work, including protection from solar radiation, confined space entry and the protection of people in the workplace</w:t>
            </w:r>
          </w:p>
          <w:p w:rsidR="00000000" w:rsidRPr="00212A17" w:rsidP="00212A17">
            <w:pPr>
              <w:pStyle w:val="ListBullet"/>
            </w:pPr>
            <w:r w:rsidRPr="00212A17">
              <w:t>systems and procedures for the safe maintenance of property, machinery and equipment, incl</w:t>
            </w:r>
            <w:r w:rsidRPr="00212A17">
              <w:t>uding hydraulics and exposed moving parts</w:t>
            </w:r>
          </w:p>
          <w:p w:rsidR="00000000" w:rsidP="00212A17">
            <w:pPr>
              <w:pStyle w:val="ListBullet"/>
              <w:rPr>
                <w:lang w:val="en-NZ"/>
              </w:rPr>
            </w:pPr>
            <w:r w:rsidRPr="00212A17">
              <w:t>the appropriate use, maintenance and storage of PPE.</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ESD principles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improving energy efficiency</w:t>
            </w:r>
          </w:p>
          <w:p w:rsidR="00000000" w:rsidRPr="00212A17" w:rsidP="00212A17">
            <w:pPr>
              <w:pStyle w:val="ListBullet"/>
            </w:pPr>
            <w:r w:rsidRPr="00212A17">
              <w:t>increasing use of renewable, recyclable and recoverable resource</w:t>
            </w:r>
          </w:p>
          <w:p w:rsidR="00000000" w:rsidRPr="00212A17" w:rsidP="00212A17">
            <w:pPr>
              <w:pStyle w:val="ListBullet"/>
            </w:pPr>
            <w:r w:rsidRPr="00212A17">
              <w:t>managing environmental hazard identification, risk assessment and control</w:t>
            </w:r>
          </w:p>
          <w:p w:rsidR="00000000" w:rsidRPr="00212A17" w:rsidP="00212A17">
            <w:pPr>
              <w:pStyle w:val="ListBullet"/>
            </w:pPr>
            <w:r w:rsidRPr="00212A17">
              <w:t>managing sustainable fisheries or broodstock/seedstock collection requirements such as size limits, quotas, season restrictions, population dynamics, fishing impacts, reducing by-cat</w:t>
            </w:r>
            <w:r w:rsidRPr="00212A17">
              <w:t>ch, fisheries management strategies and maintaining biodiversity</w:t>
            </w:r>
          </w:p>
          <w:p w:rsidR="00000000" w:rsidRPr="00212A17" w:rsidP="00212A17">
            <w:pPr>
              <w:pStyle w:val="ListBullet"/>
            </w:pPr>
            <w:r w:rsidRPr="00212A17">
              <w:t xml:space="preserve">managing, controlling and treating effluents, chemical residues, contaminants, wastes and pollution </w:t>
            </w:r>
          </w:p>
          <w:p w:rsidR="00000000" w:rsidRPr="00212A17" w:rsidP="00212A17">
            <w:pPr>
              <w:pStyle w:val="ListBullet"/>
            </w:pPr>
            <w:r w:rsidRPr="00212A17">
              <w:t>preventing genetically modified organisms and live cultured or held organisms from escapin</w:t>
            </w:r>
            <w:r w:rsidRPr="00212A17">
              <w:t>g into environment</w:t>
            </w:r>
          </w:p>
          <w:p w:rsidR="00000000" w:rsidRPr="00212A17" w:rsidP="00212A17">
            <w:pPr>
              <w:pStyle w:val="ListBullet"/>
            </w:pPr>
            <w:r w:rsidRPr="00212A17">
              <w:t>protecting native and protected flora and fauna, marine or land parks or areas, adhering to the Convention on International Trade in Endangered Species of Wild Flora and Fauna (CITES), the Ramsar Convention, World Heritage and other inte</w:t>
            </w:r>
            <w:r w:rsidRPr="00212A17">
              <w:t>rnational treaties for which Australia is a signatory</w:t>
            </w:r>
          </w:p>
          <w:p w:rsidR="00000000" w:rsidRPr="00212A17" w:rsidP="00212A17">
            <w:pPr>
              <w:pStyle w:val="ListBullet"/>
            </w:pPr>
            <w:r w:rsidRPr="00212A17">
              <w:t>reducing emissions of greenhouse gases</w:t>
            </w:r>
          </w:p>
          <w:p w:rsidR="00000000" w:rsidRPr="00212A17" w:rsidP="00212A17">
            <w:pPr>
              <w:pStyle w:val="ListBullet"/>
            </w:pPr>
            <w:r w:rsidRPr="00212A17">
              <w:t>reducing energy use</w:t>
            </w:r>
          </w:p>
          <w:p w:rsidR="00000000" w:rsidP="00212A17">
            <w:pPr>
              <w:pStyle w:val="ListBullet"/>
              <w:rPr>
                <w:lang w:val="en-NZ"/>
              </w:rPr>
            </w:pPr>
            <w:r w:rsidRPr="00212A17">
              <w:t>reducing use of non-renewable resources.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rPr>
                <w:rStyle w:val="BoldandItalics"/>
              </w:rPr>
              <w:t>PPE</w:t>
            </w:r>
            <w:r w:rsidRPr="00212A17">
              <w:t xml:space="preserve"> may include:</w:t>
            </w:r>
          </w:p>
          <w:p w:rsidR="00000000" w:rsidP="00212A17">
            <w:pPr>
              <w:pStyle w:val="BodyText"/>
              <w:rPr>
                <w:lang w:val="en-NZ"/>
              </w:rPr>
            </w:pP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buoyancy vest or personal floatation device (PFD)</w:t>
            </w:r>
          </w:p>
          <w:p w:rsidR="00000000" w:rsidRPr="00212A17" w:rsidP="00212A17">
            <w:pPr>
              <w:pStyle w:val="ListBullet"/>
            </w:pPr>
            <w:r w:rsidRPr="00212A17">
              <w:t>personal locator beacon or Emerg</w:t>
            </w:r>
            <w:r w:rsidRPr="00212A17">
              <w:t>ency Position Indicating Radio Beacon (EPIRB)</w:t>
            </w:r>
          </w:p>
          <w:p w:rsidR="00000000" w:rsidP="00212A17">
            <w:pPr>
              <w:pStyle w:val="ListBullet"/>
              <w:rPr>
                <w:lang w:val="en-NZ"/>
              </w:rPr>
            </w:pPr>
            <w:r w:rsidRPr="00212A17">
              <w:t>sun protection (e.g. sun hat, sunscreen and sunglasses)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Dive platform</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holding cage or culture structure</w:t>
            </w:r>
          </w:p>
          <w:p w:rsidR="00000000" w:rsidRPr="00212A17" w:rsidP="00212A17">
            <w:pPr>
              <w:pStyle w:val="ListBullet"/>
            </w:pPr>
            <w:r w:rsidRPr="00212A17">
              <w:t>jetty</w:t>
            </w:r>
          </w:p>
          <w:p w:rsidR="00000000" w:rsidRPr="00212A17" w:rsidP="00212A17">
            <w:pPr>
              <w:pStyle w:val="ListBullet"/>
            </w:pPr>
            <w:r w:rsidRPr="00212A17">
              <w:t>platform</w:t>
            </w:r>
          </w:p>
          <w:p w:rsidR="00000000" w:rsidRPr="00212A17" w:rsidP="00212A17">
            <w:pPr>
              <w:pStyle w:val="ListBullet"/>
            </w:pPr>
            <w:r w:rsidRPr="00212A17">
              <w:t>shore or beach</w:t>
            </w:r>
          </w:p>
          <w:p w:rsidR="00000000" w:rsidP="00212A17">
            <w:pPr>
              <w:pStyle w:val="ListBullet"/>
              <w:rPr>
                <w:lang w:val="en-NZ"/>
              </w:rPr>
            </w:pPr>
            <w:r w:rsidRPr="00212A17">
              <w:t>vessel.</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Diving guidelines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Australian standards</w:t>
            </w:r>
          </w:p>
          <w:p w:rsidR="00000000" w:rsidRPr="00212A17" w:rsidP="00212A17">
            <w:pPr>
              <w:pStyle w:val="ListBullet"/>
            </w:pPr>
            <w:r w:rsidRPr="00212A17">
              <w:t>codes of practice</w:t>
            </w:r>
          </w:p>
          <w:p w:rsidR="00000000" w:rsidRPr="00212A17" w:rsidP="00212A17">
            <w:pPr>
              <w:pStyle w:val="ListBullet"/>
            </w:pPr>
            <w:r w:rsidRPr="00212A17">
              <w:t>guidelines</w:t>
            </w:r>
          </w:p>
          <w:p w:rsidR="00000000" w:rsidRPr="00212A17" w:rsidP="00212A17">
            <w:pPr>
              <w:pStyle w:val="ListBullet"/>
            </w:pPr>
            <w:r w:rsidRPr="00212A17">
              <w:t>OHS regulations</w:t>
            </w:r>
          </w:p>
          <w:p w:rsidR="00000000" w:rsidP="00212A17">
            <w:pPr>
              <w:pStyle w:val="ListBullet"/>
              <w:rPr>
                <w:lang w:val="en-NZ"/>
              </w:rPr>
            </w:pPr>
            <w:r w:rsidRPr="00212A17">
              <w:t>other regulations.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Seafood and other aquatic products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aquatic reptiles and amphibians</w:t>
            </w:r>
          </w:p>
          <w:p w:rsidR="00000000" w:rsidRPr="00212A17" w:rsidP="00212A17">
            <w:pPr>
              <w:pStyle w:val="ListBullet"/>
            </w:pPr>
            <w:r w:rsidRPr="00212A17">
              <w:t>crustaceans</w:t>
            </w:r>
          </w:p>
          <w:p w:rsidR="00000000" w:rsidRPr="00212A17" w:rsidP="00212A17">
            <w:pPr>
              <w:pStyle w:val="ListBullet"/>
            </w:pPr>
            <w:r w:rsidRPr="00212A17">
              <w:t>fish</w:t>
            </w:r>
          </w:p>
          <w:p w:rsidR="00000000" w:rsidRPr="00212A17" w:rsidP="00212A17">
            <w:pPr>
              <w:pStyle w:val="ListBullet"/>
            </w:pPr>
            <w:r w:rsidRPr="00212A17">
              <w:t>molluscs</w:t>
            </w:r>
          </w:p>
          <w:p w:rsidR="00000000" w:rsidRPr="00212A17" w:rsidP="00212A17">
            <w:pPr>
              <w:pStyle w:val="ListBullet"/>
            </w:pPr>
            <w:r w:rsidRPr="00212A17">
              <w:t>ornamental species and other invertebrate</w:t>
            </w:r>
          </w:p>
          <w:p w:rsidR="00000000" w:rsidRPr="00212A17" w:rsidP="00212A17">
            <w:pPr>
              <w:pStyle w:val="ListBullet"/>
            </w:pPr>
            <w:r w:rsidRPr="00212A17">
              <w:t>sea urchins and sea cucumbers</w:t>
            </w:r>
          </w:p>
          <w:p w:rsidR="00000000" w:rsidP="00212A17">
            <w:pPr>
              <w:pStyle w:val="ListBullet"/>
              <w:rPr>
                <w:lang w:val="en-NZ"/>
              </w:rPr>
            </w:pPr>
            <w:r w:rsidRPr="00212A17">
              <w:t>seaweed and sponges and other aquatic plants.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Legally</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harvesting that may be constrained by state/ territory or commonwealth fisheries legislation covering:</w:t>
            </w:r>
          </w:p>
          <w:p w:rsidR="00000000" w:rsidRPr="00212A17" w:rsidP="00212A17">
            <w:pPr>
              <w:pStyle w:val="ListBullet2"/>
            </w:pPr>
            <w:r w:rsidRPr="00212A17">
              <w:t>area</w:t>
            </w:r>
          </w:p>
          <w:p w:rsidR="00000000" w:rsidRPr="00212A17" w:rsidP="00212A17">
            <w:pPr>
              <w:pStyle w:val="ListBullet2"/>
            </w:pPr>
            <w:r w:rsidRPr="00212A17">
              <w:t>method</w:t>
            </w:r>
          </w:p>
          <w:p w:rsidR="00000000" w:rsidRPr="00212A17" w:rsidP="00212A17">
            <w:pPr>
              <w:pStyle w:val="ListBullet2"/>
            </w:pPr>
            <w:r w:rsidRPr="00212A17">
              <w:t>quota</w:t>
            </w:r>
          </w:p>
          <w:p w:rsidR="00000000" w:rsidRPr="00212A17" w:rsidP="00212A17">
            <w:pPr>
              <w:pStyle w:val="ListBullet2"/>
            </w:pPr>
            <w:r w:rsidRPr="00212A17">
              <w:t>size</w:t>
            </w:r>
          </w:p>
          <w:p w:rsidR="00000000" w:rsidP="00212A17">
            <w:pPr>
              <w:pStyle w:val="ListBullet2"/>
              <w:rPr>
                <w:lang w:val="en-NZ"/>
              </w:rPr>
            </w:pPr>
            <w:r w:rsidRPr="00212A17">
              <w:t>species.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Landed</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by hand</w:t>
            </w:r>
          </w:p>
          <w:p w:rsidR="00000000" w:rsidRPr="00212A17" w:rsidP="00212A17">
            <w:pPr>
              <w:pStyle w:val="ListBullet"/>
            </w:pPr>
            <w:r w:rsidRPr="00212A17">
              <w:t>catch bag</w:t>
            </w:r>
          </w:p>
          <w:p w:rsidR="00000000" w:rsidRPr="00212A17" w:rsidP="00212A17">
            <w:pPr>
              <w:pStyle w:val="ListBullet"/>
            </w:pPr>
            <w:r w:rsidRPr="00212A17">
              <w:t>gaff</w:t>
            </w:r>
          </w:p>
          <w:p w:rsidR="00000000" w:rsidP="00212A17">
            <w:pPr>
              <w:pStyle w:val="ListBullet"/>
              <w:rPr>
                <w:lang w:val="en-NZ"/>
              </w:rPr>
            </w:pPr>
            <w:r w:rsidRPr="00212A17">
              <w:t>net.</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Lifting</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air bag</w:t>
            </w:r>
          </w:p>
          <w:p w:rsidR="00000000" w:rsidRPr="00212A17" w:rsidP="00212A17">
            <w:pPr>
              <w:pStyle w:val="ListBullet"/>
            </w:pPr>
            <w:r w:rsidRPr="00212A17">
              <w:t>block and tackle</w:t>
            </w:r>
          </w:p>
          <w:p w:rsidR="00000000" w:rsidRPr="00212A17" w:rsidP="00212A17">
            <w:pPr>
              <w:pStyle w:val="ListBullet"/>
            </w:pPr>
            <w:r w:rsidRPr="00212A17">
              <w:t>boom</w:t>
            </w:r>
          </w:p>
          <w:p w:rsidR="00000000" w:rsidRPr="00212A17" w:rsidP="00212A17">
            <w:pPr>
              <w:pStyle w:val="ListBullet"/>
            </w:pPr>
            <w:r w:rsidRPr="00212A17">
              <w:t>capstan</w:t>
            </w:r>
          </w:p>
          <w:p w:rsidR="00000000" w:rsidRPr="00212A17" w:rsidP="00212A17">
            <w:pPr>
              <w:pStyle w:val="ListBullet"/>
            </w:pPr>
            <w:r w:rsidRPr="00212A17">
              <w:t>chain hoist</w:t>
            </w:r>
          </w:p>
          <w:p w:rsidR="00000000" w:rsidP="00212A17">
            <w:pPr>
              <w:pStyle w:val="ListBullet"/>
              <w:rPr>
                <w:lang w:val="en-NZ"/>
              </w:rPr>
            </w:pPr>
            <w:r w:rsidRPr="00212A17">
              <w:t>crane.</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Slings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multiple leg</w:t>
            </w:r>
          </w:p>
          <w:p w:rsidR="00000000" w:rsidRPr="00212A17" w:rsidP="00212A17">
            <w:pPr>
              <w:pStyle w:val="ListBullet"/>
            </w:pPr>
            <w:r w:rsidRPr="00212A17">
              <w:t>pulley</w:t>
            </w:r>
          </w:p>
          <w:p w:rsidR="00000000" w:rsidP="00212A17">
            <w:pPr>
              <w:pStyle w:val="ListBullet"/>
              <w:rPr>
                <w:lang w:val="en-NZ"/>
              </w:rPr>
            </w:pPr>
            <w:r w:rsidRPr="00212A17">
              <w:t>single strop.</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Tools</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cold chisels</w:t>
            </w:r>
          </w:p>
          <w:p w:rsidR="00000000" w:rsidRPr="00212A17" w:rsidP="00212A17">
            <w:pPr>
              <w:pStyle w:val="ListBullet"/>
            </w:pPr>
            <w:r w:rsidRPr="00212A17">
              <w:t>files</w:t>
            </w:r>
          </w:p>
          <w:p w:rsidR="00000000" w:rsidRPr="00212A17" w:rsidP="00212A17">
            <w:pPr>
              <w:pStyle w:val="ListBullet"/>
            </w:pPr>
            <w:r w:rsidRPr="00212A17">
              <w:t>hacksaws</w:t>
            </w:r>
          </w:p>
          <w:p w:rsidR="00000000" w:rsidRPr="00212A17" w:rsidP="00212A17">
            <w:pPr>
              <w:pStyle w:val="ListBullet"/>
            </w:pPr>
            <w:r w:rsidRPr="00212A17">
              <w:t>hammers</w:t>
            </w:r>
          </w:p>
          <w:p w:rsidR="00000000" w:rsidRPr="00212A17" w:rsidP="00212A17">
            <w:pPr>
              <w:pStyle w:val="ListBullet"/>
            </w:pPr>
            <w:r w:rsidRPr="00212A17">
              <w:t>knives</w:t>
            </w:r>
          </w:p>
          <w:p w:rsidR="00000000" w:rsidRPr="00212A17" w:rsidP="00212A17">
            <w:pPr>
              <w:pStyle w:val="ListBullet"/>
            </w:pPr>
            <w:r w:rsidRPr="00212A17">
              <w:t>netting needles</w:t>
            </w:r>
          </w:p>
          <w:p w:rsidR="00000000" w:rsidRPr="00212A17" w:rsidP="00212A17">
            <w:pPr>
              <w:pStyle w:val="ListBullet"/>
            </w:pPr>
            <w:r w:rsidRPr="00212A17">
              <w:t>open and ring spanners</w:t>
            </w:r>
          </w:p>
          <w:p w:rsidR="00000000" w:rsidRPr="00212A17" w:rsidP="00212A17">
            <w:pPr>
              <w:pStyle w:val="ListBullet"/>
            </w:pPr>
            <w:r w:rsidRPr="00212A17">
              <w:t>screwdrivers</w:t>
            </w:r>
          </w:p>
          <w:p w:rsidR="00000000" w:rsidRPr="00212A17" w:rsidP="00212A17">
            <w:pPr>
              <w:pStyle w:val="ListBullet"/>
            </w:pPr>
            <w:r w:rsidRPr="00212A17">
              <w:t>shackle spanners</w:t>
            </w:r>
          </w:p>
          <w:p w:rsidR="00000000" w:rsidP="00212A17">
            <w:pPr>
              <w:pStyle w:val="ListBullet"/>
              <w:rPr>
                <w:lang w:val="en-NZ"/>
              </w:rPr>
            </w:pPr>
            <w:r w:rsidRPr="00212A17">
              <w:t>shifting spanners.</w:t>
            </w:r>
          </w:p>
        </w:tc>
      </w:tr>
      <w:tr w:rsidTr="00386F1D">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BoldandItalics"/>
              </w:rPr>
              <w:t>Auxiliary equipment</w:t>
            </w:r>
            <w:r w:rsidRPr="00212A17">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ListBullet"/>
            </w:pPr>
            <w:r w:rsidRPr="00212A17">
              <w:t>pressure cleaners</w:t>
            </w:r>
          </w:p>
          <w:p w:rsidR="00000000" w:rsidRPr="00212A17" w:rsidP="00212A17">
            <w:pPr>
              <w:pStyle w:val="ListBullet"/>
            </w:pPr>
            <w:r w:rsidRPr="00212A17">
              <w:t>remotely operated vehicles</w:t>
            </w:r>
          </w:p>
          <w:p w:rsidR="00000000" w:rsidRPr="00212A17" w:rsidP="00212A17">
            <w:pPr>
              <w:pStyle w:val="ListBullet"/>
            </w:pPr>
            <w:r w:rsidRPr="00212A17">
              <w:t>underwater propulsion devices:</w:t>
            </w:r>
          </w:p>
          <w:p w:rsidR="00000000" w:rsidRPr="00212A17" w:rsidP="00212A17">
            <w:pPr>
              <w:pStyle w:val="ListBullet2"/>
            </w:pPr>
            <w:r w:rsidRPr="00212A17">
              <w:t>shark-proof cages</w:t>
            </w:r>
          </w:p>
          <w:p w:rsidR="00000000" w:rsidRPr="00212A17" w:rsidP="00212A17">
            <w:pPr>
              <w:pStyle w:val="ListBullet2"/>
            </w:pPr>
            <w:r w:rsidRPr="00212A17">
              <w:t>underwater scooters.</w:t>
            </w:r>
          </w:p>
        </w:tc>
      </w:tr>
    </w:tbl>
    <w:p w:rsidR="00386F1D" w:rsidP="00212A17">
      <w:pPr>
        <w:pStyle w:val="BodyText"/>
      </w:pPr>
    </w:p>
    <w:p w:rsidR="00386F1D" w:rsidP="00212A17">
      <w:pPr>
        <w:pStyle w:val="BodyText"/>
      </w:pPr>
    </w:p>
    <w:p w:rsidR="00000000" w:rsidRPr="00212A17" w:rsidP="00212A17">
      <w:pPr>
        <w:pStyle w:val="Heading1"/>
      </w:pPr>
      <w:bookmarkStart w:id="12" w:name="O_218149"/>
      <w:bookmarkEnd w:id="12"/>
      <w:r w:rsidRPr="00212A17">
        <w:t>Unit Sector(s)</w:t>
      </w:r>
    </w:p>
    <w:tbl>
      <w:tblPr>
        <w:tblW w:w="0" w:type="auto"/>
        <w:tblLayout w:type="fixed"/>
        <w:tblCellMar>
          <w:left w:w="62" w:type="dxa"/>
          <w:right w:w="62" w:type="dxa"/>
        </w:tblCellMar>
        <w:tblLook w:val="0000"/>
      </w:tblPr>
      <w:tblGrid>
        <w:gridCol w:w="2619"/>
        <w:gridCol w:w="5903"/>
      </w:tblGrid>
      <w:tr w:rsidTr="00386F1D">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r w:rsidRPr="00212A17">
              <w:t>Diving operations</w:t>
            </w:r>
          </w:p>
        </w:tc>
      </w:tr>
    </w:tbl>
    <w:p w:rsidR="00386F1D" w:rsidP="00212A17">
      <w:pPr>
        <w:pStyle w:val="BodyText"/>
      </w:pPr>
    </w:p>
    <w:p w:rsidR="00386F1D" w:rsidP="00212A17">
      <w:pPr>
        <w:pStyle w:val="BodyText"/>
      </w:pPr>
    </w:p>
    <w:p w:rsidR="00000000" w:rsidRPr="00212A17" w:rsidP="00212A17">
      <w:pPr>
        <w:pStyle w:val="Heading1"/>
      </w:pPr>
      <w:bookmarkStart w:id="13" w:name="O_218146"/>
      <w:bookmarkEnd w:id="13"/>
      <w:r w:rsidRPr="00212A17">
        <w:t>Co-requisite units</w:t>
      </w:r>
    </w:p>
    <w:tbl>
      <w:tblPr>
        <w:tblW w:w="0" w:type="auto"/>
        <w:tblLayout w:type="fixed"/>
        <w:tblCellMar>
          <w:left w:w="62" w:type="dxa"/>
          <w:right w:w="62" w:type="dxa"/>
        </w:tblCellMar>
        <w:tblLook w:val="0000"/>
      </w:tblPr>
      <w:tblGrid>
        <w:gridCol w:w="2641"/>
        <w:gridCol w:w="1322"/>
        <w:gridCol w:w="4559"/>
      </w:tblGrid>
      <w:tr w:rsidTr="00386F1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p>
        </w:tc>
      </w:tr>
      <w:tr w:rsidTr="00386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p>
        </w:tc>
      </w:tr>
      <w:tr w:rsidTr="00386F1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p>
        </w:tc>
      </w:tr>
    </w:tbl>
    <w:p w:rsidR="00386F1D" w:rsidP="00212A17">
      <w:pPr>
        <w:pStyle w:val="BodyText"/>
      </w:pPr>
    </w:p>
    <w:p w:rsidR="00386F1D" w:rsidP="00212A17">
      <w:pPr>
        <w:pStyle w:val="BodyText"/>
      </w:pPr>
    </w:p>
    <w:p w:rsidR="00000000" w:rsidRPr="00212A17" w:rsidP="00212A17">
      <w:pPr>
        <w:pStyle w:val="Heading1"/>
      </w:pPr>
      <w:bookmarkStart w:id="14" w:name="O_218148"/>
      <w:bookmarkEnd w:id="14"/>
      <w:r w:rsidRPr="00212A17">
        <w:t>Competency field</w:t>
      </w:r>
    </w:p>
    <w:tbl>
      <w:tblPr>
        <w:tblW w:w="0" w:type="auto"/>
        <w:tblLayout w:type="fixed"/>
        <w:tblCellMar>
          <w:left w:w="62" w:type="dxa"/>
          <w:right w:w="62" w:type="dxa"/>
        </w:tblCellMar>
        <w:tblLook w:val="0000"/>
      </w:tblPr>
      <w:tblGrid>
        <w:gridCol w:w="2784"/>
        <w:gridCol w:w="5738"/>
      </w:tblGrid>
      <w:tr w:rsidTr="00386F1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2A17">
            <w:pPr>
              <w:pStyle w:val="BodyText"/>
              <w:rPr>
                <w:lang w:val="en-NZ"/>
              </w:rPr>
            </w:pPr>
            <w:r w:rsidRPr="00212A1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2A17" w:rsidP="00212A17">
            <w:pPr>
              <w:pStyle w:val="BodyText"/>
            </w:pPr>
          </w:p>
        </w:tc>
      </w:tr>
    </w:tbl>
    <w:p w:rsidR="00386F1D" w:rsidP="00212A17">
      <w:pPr>
        <w:pStyle w:val="BodyText"/>
      </w:pPr>
    </w:p>
    <w:p w:rsidR="00386F1D" w:rsidP="00212A17">
      <w:pPr>
        <w:pStyle w:val="BodyText"/>
      </w:pPr>
    </w:p>
    <w:p w:rsidR="00000000" w:rsidRPr="00212A17" w:rsidP="00212A17"/>
    <w:sectPr w:rsidSect="00212A1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F1D" w:rsidP="00386F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1D" w:rsidP="00212A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86F1D" w:rsidP="00212A1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86F1D" w:rsidP="00212A1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F1D" w:rsidP="00386F1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A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F1D" w:rsidP="00212A17">
    <w:pPr>
      <w:pStyle w:val="Header"/>
      <w:framePr w:wrap="around"/>
    </w:pPr>
    <w:r>
      <w:fldChar w:fldCharType="begin"/>
    </w:r>
    <w:r>
      <w:instrText xml:space="preserve"> TITLE   \* MERGEFORMAT </w:instrText>
    </w:r>
    <w:r>
      <w:fldChar w:fldCharType="separate"/>
    </w:r>
    <w:r>
      <w:t>SFIDIVE308B Perform underwater work in the wild catch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F1D" w:rsidP="00212A1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064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7CD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64FE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2A1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12A17"/>
    <w:pPr>
      <w:spacing w:before="360" w:after="60"/>
      <w:outlineLvl w:val="0"/>
    </w:pPr>
    <w:rPr>
      <w:sz w:val="32"/>
    </w:rPr>
  </w:style>
  <w:style w:type="paragraph" w:styleId="Heading2">
    <w:name w:val="heading 2"/>
    <w:basedOn w:val="HeadingBase"/>
    <w:next w:val="BodyText"/>
    <w:link w:val="Heading2Char"/>
    <w:qFormat/>
    <w:rsid w:val="00212A17"/>
    <w:pPr>
      <w:keepLines/>
      <w:spacing w:before="240" w:after="120"/>
      <w:outlineLvl w:val="1"/>
    </w:pPr>
    <w:rPr>
      <w:sz w:val="28"/>
      <w:szCs w:val="40"/>
    </w:rPr>
  </w:style>
  <w:style w:type="paragraph" w:styleId="Heading3">
    <w:name w:val="heading 3"/>
    <w:basedOn w:val="HeadingBase"/>
    <w:next w:val="BodyText"/>
    <w:link w:val="Heading3Char"/>
    <w:qFormat/>
    <w:rsid w:val="00212A17"/>
    <w:pPr>
      <w:spacing w:before="180" w:after="120"/>
      <w:outlineLvl w:val="2"/>
    </w:pPr>
    <w:rPr>
      <w:spacing w:val="-10"/>
      <w:kern w:val="32"/>
    </w:rPr>
  </w:style>
  <w:style w:type="paragraph" w:styleId="Heading4">
    <w:name w:val="heading 4"/>
    <w:basedOn w:val="HeadingBase"/>
    <w:next w:val="BodyText"/>
    <w:link w:val="Heading4Char"/>
    <w:qFormat/>
    <w:rsid w:val="00212A17"/>
    <w:pPr>
      <w:spacing w:before="160" w:after="120"/>
      <w:outlineLvl w:val="3"/>
    </w:pPr>
    <w:rPr>
      <w:sz w:val="22"/>
    </w:rPr>
  </w:style>
  <w:style w:type="paragraph" w:styleId="Heading5">
    <w:name w:val="heading 5"/>
    <w:basedOn w:val="HeadingBase"/>
    <w:next w:val="Normal"/>
    <w:link w:val="Heading5Char"/>
    <w:qFormat/>
    <w:rsid w:val="00212A17"/>
    <w:pPr>
      <w:spacing w:before="80"/>
      <w:outlineLvl w:val="4"/>
    </w:pPr>
    <w:rPr>
      <w:color w:val="918585"/>
      <w:sz w:val="20"/>
    </w:rPr>
  </w:style>
  <w:style w:type="paragraph" w:styleId="Heading6">
    <w:name w:val="heading 6"/>
    <w:basedOn w:val="HeadingBase"/>
    <w:next w:val="Normal"/>
    <w:link w:val="Heading6Char"/>
    <w:qFormat/>
    <w:rsid w:val="00212A17"/>
    <w:pPr>
      <w:spacing w:before="60"/>
      <w:outlineLvl w:val="5"/>
    </w:pPr>
    <w:rPr>
      <w:color w:val="918585"/>
      <w:sz w:val="20"/>
    </w:rPr>
  </w:style>
  <w:style w:type="paragraph" w:styleId="Heading7">
    <w:name w:val="heading 7"/>
    <w:basedOn w:val="Normal"/>
    <w:next w:val="Normal"/>
    <w:link w:val="Heading7Char"/>
    <w:qFormat/>
    <w:rsid w:val="00212A17"/>
    <w:pPr>
      <w:ind w:left="720"/>
      <w:outlineLvl w:val="6"/>
    </w:pPr>
    <w:rPr>
      <w:i/>
    </w:rPr>
  </w:style>
  <w:style w:type="paragraph" w:styleId="Heading8">
    <w:name w:val="heading 8"/>
    <w:basedOn w:val="Normal"/>
    <w:next w:val="Normal"/>
    <w:link w:val="Heading8Char"/>
    <w:qFormat/>
    <w:rsid w:val="00212A17"/>
    <w:pPr>
      <w:ind w:left="720"/>
      <w:outlineLvl w:val="7"/>
    </w:pPr>
    <w:rPr>
      <w:i/>
    </w:rPr>
  </w:style>
  <w:style w:type="paragraph" w:styleId="Heading9">
    <w:name w:val="heading 9"/>
    <w:basedOn w:val="Normal"/>
    <w:next w:val="Normal"/>
    <w:link w:val="Heading9Char"/>
    <w:qFormat/>
    <w:rsid w:val="00212A17"/>
    <w:pPr>
      <w:ind w:left="720"/>
      <w:outlineLvl w:val="8"/>
    </w:pPr>
    <w:rPr>
      <w:i/>
    </w:rPr>
  </w:style>
  <w:style w:type="character" w:default="1" w:styleId="DefaultParagraphFont">
    <w:name w:val="Default Paragraph Font"/>
    <w:uiPriority w:val="1"/>
    <w:unhideWhenUsed/>
    <w:rsid w:val="00212A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2A17"/>
  </w:style>
  <w:style w:type="character" w:customStyle="1" w:styleId="Heading1Char">
    <w:name w:val="Heading 1 Char"/>
    <w:basedOn w:val="DefaultParagraphFont"/>
    <w:link w:val="Heading1"/>
    <w:rsid w:val="00212A17"/>
    <w:rPr>
      <w:rFonts w:ascii="Times New Roman" w:eastAsia="Times New Roman" w:hAnsi="Times New Roman" w:cs="Times New Roman"/>
      <w:b/>
      <w:sz w:val="32"/>
      <w:szCs w:val="20"/>
      <w:lang w:eastAsia="en-US"/>
    </w:rPr>
  </w:style>
  <w:style w:type="paragraph" w:styleId="BodyText">
    <w:name w:val="Body Text"/>
    <w:basedOn w:val="Normal"/>
    <w:link w:val="BodyTextChar"/>
    <w:rsid w:val="00212A1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2A17"/>
    <w:rPr>
      <w:rFonts w:ascii="Times New Roman" w:eastAsia="Times New Roman" w:hAnsi="Times New Roman" w:cs="Times New Roman"/>
      <w:sz w:val="24"/>
      <w:lang w:val="en-US" w:eastAsia="en-US"/>
    </w:rPr>
  </w:style>
  <w:style w:type="paragraph" w:styleId="Footer">
    <w:name w:val="footer"/>
    <w:basedOn w:val="Normal"/>
    <w:link w:val="FooterChar"/>
    <w:rsid w:val="00212A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2A17"/>
    <w:rPr>
      <w:rFonts w:ascii="Times New Roman" w:eastAsia="Times New Roman" w:hAnsi="Times New Roman" w:cs="Times New Roman"/>
      <w:sz w:val="16"/>
      <w:lang w:val="en-US" w:eastAsia="en-US"/>
    </w:rPr>
  </w:style>
  <w:style w:type="paragraph" w:styleId="List">
    <w:name w:val="List"/>
    <w:basedOn w:val="BodyText"/>
    <w:next w:val="BodyText"/>
    <w:rsid w:val="00212A17"/>
    <w:pPr>
      <w:tabs>
        <w:tab w:val="left" w:pos="340"/>
      </w:tabs>
      <w:spacing w:before="60" w:after="60"/>
      <w:ind w:left="340" w:hanging="340"/>
    </w:pPr>
  </w:style>
  <w:style w:type="paragraph" w:styleId="ListBullet">
    <w:name w:val="List Bullet"/>
    <w:basedOn w:val="List"/>
    <w:rsid w:val="00212A17"/>
    <w:pPr>
      <w:numPr>
        <w:numId w:val="13"/>
      </w:numPr>
      <w:tabs>
        <w:tab w:val="clear" w:pos="340"/>
      </w:tabs>
      <w:spacing w:before="40" w:after="40"/>
    </w:pPr>
  </w:style>
  <w:style w:type="character" w:customStyle="1" w:styleId="SpecialBold">
    <w:name w:val="Special Bold"/>
    <w:basedOn w:val="DefaultParagraphFont"/>
    <w:rsid w:val="00212A17"/>
    <w:rPr>
      <w:b/>
      <w:spacing w:val="0"/>
    </w:rPr>
  </w:style>
  <w:style w:type="paragraph" w:styleId="ListBullet2">
    <w:name w:val="List Bullet 2"/>
    <w:basedOn w:val="List2"/>
    <w:rsid w:val="00212A17"/>
    <w:pPr>
      <w:numPr>
        <w:numId w:val="14"/>
      </w:numPr>
      <w:tabs>
        <w:tab w:val="clear" w:pos="680"/>
      </w:tabs>
    </w:pPr>
  </w:style>
  <w:style w:type="paragraph" w:styleId="Header">
    <w:name w:val="header"/>
    <w:basedOn w:val="Normal"/>
    <w:link w:val="HeaderChar"/>
    <w:rsid w:val="00212A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2A1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12A17"/>
    <w:pPr>
      <w:spacing w:before="240" w:after="120"/>
      <w:outlineLvl w:val="0"/>
    </w:pPr>
    <w:rPr>
      <w:rFonts w:ascii="Times New Roman" w:hAnsi="Times New Roman"/>
      <w:b/>
      <w:sz w:val="28"/>
    </w:rPr>
  </w:style>
  <w:style w:type="paragraph" w:customStyle="1" w:styleId="AllowPageBreak">
    <w:name w:val="AllowPageBreak"/>
    <w:rsid w:val="00212A1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2A17"/>
    <w:pPr>
      <w:tabs>
        <w:tab w:val="left" w:pos="680"/>
      </w:tabs>
      <w:spacing w:before="60" w:after="60"/>
      <w:ind w:left="680" w:hanging="340"/>
    </w:pPr>
  </w:style>
  <w:style w:type="character" w:customStyle="1" w:styleId="BoldandItalics">
    <w:name w:val="Bold and Italics"/>
    <w:qFormat/>
    <w:rsid w:val="00212A17"/>
    <w:rPr>
      <w:b/>
      <w:i/>
      <w:u w:val="none"/>
    </w:rPr>
  </w:style>
  <w:style w:type="character" w:customStyle="1" w:styleId="Heading2Char">
    <w:name w:val="Heading 2 Char"/>
    <w:basedOn w:val="DefaultParagraphFont"/>
    <w:link w:val="Heading2"/>
    <w:rsid w:val="00212A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2A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2A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2A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2A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2A1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12A1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12A17"/>
    <w:rPr>
      <w:rFonts w:ascii="Courier New" w:eastAsia="Times New Roman" w:hAnsi="Courier New" w:cs="Times New Roman"/>
      <w:i/>
      <w:szCs w:val="20"/>
      <w:lang w:val="en-US" w:eastAsia="en-US"/>
    </w:rPr>
  </w:style>
  <w:style w:type="paragraph" w:customStyle="1" w:styleId="HeadingBase">
    <w:name w:val="Heading Base"/>
    <w:rsid w:val="00212A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2A17"/>
    <w:pPr>
      <w:tabs>
        <w:tab w:val="right" w:leader="dot" w:pos="9072"/>
      </w:tabs>
      <w:ind w:left="567"/>
    </w:pPr>
    <w:rPr>
      <w:szCs w:val="22"/>
    </w:rPr>
  </w:style>
  <w:style w:type="paragraph" w:customStyle="1" w:styleId="TOCBase">
    <w:name w:val="TOC Base"/>
    <w:rsid w:val="00212A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2A17"/>
    <w:pPr>
      <w:tabs>
        <w:tab w:val="right" w:leader="dot" w:pos="9072"/>
      </w:tabs>
      <w:spacing w:before="40" w:after="40"/>
      <w:ind w:left="284"/>
    </w:pPr>
    <w:rPr>
      <w:rFonts w:ascii="Times New Roman" w:hAnsi="Times New Roman"/>
    </w:rPr>
  </w:style>
  <w:style w:type="paragraph" w:styleId="TOC1">
    <w:name w:val="toc 1"/>
    <w:basedOn w:val="TOCBase"/>
    <w:next w:val="Normal"/>
    <w:rsid w:val="00212A1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2A17"/>
    <w:pPr>
      <w:spacing w:before="5040"/>
      <w:jc w:val="center"/>
    </w:pPr>
    <w:rPr>
      <w:sz w:val="48"/>
      <w:szCs w:val="72"/>
      <w:lang w:val="en-US"/>
    </w:rPr>
  </w:style>
  <w:style w:type="character" w:customStyle="1" w:styleId="TitleChar">
    <w:name w:val="Title Char"/>
    <w:basedOn w:val="DefaultParagraphFont"/>
    <w:link w:val="Title"/>
    <w:rsid w:val="00212A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2A17"/>
    <w:pPr>
      <w:tabs>
        <w:tab w:val="left" w:pos="3600"/>
        <w:tab w:val="left" w:pos="3958"/>
      </w:tabs>
    </w:pPr>
  </w:style>
  <w:style w:type="paragraph" w:customStyle="1" w:styleId="Note">
    <w:name w:val="Note"/>
    <w:basedOn w:val="BodyText"/>
    <w:rsid w:val="00212A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2A17"/>
    <w:pPr>
      <w:framePr w:wrap="auto" w:hAnchor="text" w:y="6049"/>
    </w:pPr>
    <w:rPr>
      <w:color w:val="000000"/>
      <w:sz w:val="40"/>
    </w:rPr>
  </w:style>
  <w:style w:type="paragraph" w:customStyle="1" w:styleId="TOCTitle">
    <w:name w:val="TOCTitle"/>
    <w:basedOn w:val="Heading1"/>
    <w:rsid w:val="00212A17"/>
    <w:pPr>
      <w:spacing w:after="240"/>
      <w:jc w:val="center"/>
      <w:outlineLvl w:val="9"/>
    </w:pPr>
    <w:rPr>
      <w:caps/>
    </w:rPr>
  </w:style>
  <w:style w:type="paragraph" w:customStyle="1" w:styleId="Version">
    <w:name w:val="Version"/>
    <w:rsid w:val="00212A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2A17"/>
    <w:pPr>
      <w:keepNext w:val="0"/>
      <w:tabs>
        <w:tab w:val="right" w:pos="4176"/>
      </w:tabs>
      <w:ind w:left="198" w:hanging="198"/>
    </w:pPr>
    <w:rPr>
      <w:rFonts w:ascii="Garamond" w:hAnsi="Garamond"/>
    </w:rPr>
  </w:style>
  <w:style w:type="paragraph" w:styleId="IndexHeading">
    <w:name w:val="index heading"/>
    <w:basedOn w:val="Normal"/>
    <w:next w:val="Index1"/>
    <w:semiHidden/>
    <w:rsid w:val="00212A17"/>
    <w:pPr>
      <w:spacing w:before="120" w:after="120"/>
    </w:pPr>
    <w:rPr>
      <w:rFonts w:ascii="Arial" w:hAnsi="Arial"/>
      <w:b/>
      <w:color w:val="918585"/>
      <w:sz w:val="24"/>
    </w:rPr>
  </w:style>
  <w:style w:type="paragraph" w:customStyle="1" w:styleId="Chapter">
    <w:name w:val="Chapter"/>
    <w:basedOn w:val="Normal"/>
    <w:rsid w:val="00212A17"/>
    <w:pPr>
      <w:spacing w:before="240"/>
    </w:pPr>
    <w:rPr>
      <w:rFonts w:ascii="Times New Roman" w:hAnsi="Times New Roman"/>
      <w:smallCaps/>
      <w:spacing w:val="80"/>
      <w:sz w:val="28"/>
    </w:rPr>
  </w:style>
  <w:style w:type="paragraph" w:customStyle="1" w:styleId="InChapter">
    <w:name w:val="InChapter"/>
    <w:basedOn w:val="Heading3"/>
    <w:rsid w:val="00212A17"/>
    <w:pPr>
      <w:spacing w:after="240"/>
      <w:outlineLvl w:val="9"/>
    </w:pPr>
    <w:rPr>
      <w:noProof/>
    </w:rPr>
  </w:style>
  <w:style w:type="paragraph" w:styleId="Index2">
    <w:name w:val="index 2"/>
    <w:basedOn w:val="Normal"/>
    <w:next w:val="Normal"/>
    <w:semiHidden/>
    <w:rsid w:val="00212A17"/>
    <w:pPr>
      <w:tabs>
        <w:tab w:val="right" w:pos="4176"/>
      </w:tabs>
      <w:ind w:left="568" w:hanging="284"/>
    </w:pPr>
    <w:rPr>
      <w:rFonts w:ascii="Garamond" w:hAnsi="Garamond"/>
    </w:rPr>
  </w:style>
  <w:style w:type="paragraph" w:customStyle="1" w:styleId="Byline">
    <w:name w:val="Byline"/>
    <w:rsid w:val="00212A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2A17"/>
    <w:pPr>
      <w:tabs>
        <w:tab w:val="clear" w:pos="3600"/>
        <w:tab w:val="clear" w:pos="3958"/>
      </w:tabs>
      <w:jc w:val="right"/>
    </w:pPr>
  </w:style>
  <w:style w:type="character" w:styleId="Emphasis">
    <w:name w:val="Emphasis"/>
    <w:basedOn w:val="DefaultParagraphFont"/>
    <w:qFormat/>
    <w:rsid w:val="00212A17"/>
    <w:rPr>
      <w:i/>
    </w:rPr>
  </w:style>
  <w:style w:type="paragraph" w:styleId="Caption">
    <w:name w:val="caption"/>
    <w:basedOn w:val="BodyText"/>
    <w:next w:val="Normal"/>
    <w:qFormat/>
    <w:rsid w:val="00212A17"/>
    <w:pPr>
      <w:framePr w:w="2268" w:hSpace="181" w:vSpace="181" w:wrap="around" w:vAnchor="text" w:hAnchor="page" w:x="1135" w:y="285" w:anchorLock="1"/>
    </w:pPr>
    <w:rPr>
      <w:i/>
    </w:rPr>
  </w:style>
  <w:style w:type="paragraph" w:customStyle="1" w:styleId="MiniTOCTitle">
    <w:name w:val="MiniTOCTitle"/>
    <w:basedOn w:val="Heading4"/>
    <w:rsid w:val="00212A17"/>
    <w:pPr>
      <w:spacing w:before="240"/>
      <w:outlineLvl w:val="9"/>
    </w:pPr>
    <w:rPr>
      <w:noProof/>
      <w:sz w:val="24"/>
    </w:rPr>
  </w:style>
  <w:style w:type="paragraph" w:customStyle="1" w:styleId="MiniTOCItem">
    <w:name w:val="MiniTOCItem"/>
    <w:basedOn w:val="ListBullet"/>
    <w:rsid w:val="00212A17"/>
    <w:pPr>
      <w:numPr>
        <w:numId w:val="0"/>
      </w:numPr>
      <w:tabs>
        <w:tab w:val="right" w:leader="dot" w:pos="6521"/>
      </w:tabs>
      <w:spacing w:before="0" w:after="0"/>
    </w:pPr>
  </w:style>
  <w:style w:type="paragraph" w:customStyle="1" w:styleId="TOFTitle">
    <w:name w:val="TOFTitle"/>
    <w:basedOn w:val="TOCTitle"/>
    <w:rsid w:val="00212A17"/>
  </w:style>
  <w:style w:type="paragraph" w:styleId="TableofFigures">
    <w:name w:val="table of figures"/>
    <w:basedOn w:val="Normal"/>
    <w:next w:val="Normal"/>
    <w:semiHidden/>
    <w:rsid w:val="00212A17"/>
    <w:pPr>
      <w:tabs>
        <w:tab w:val="right" w:leader="dot" w:pos="9072"/>
      </w:tabs>
      <w:ind w:left="970" w:hanging="403"/>
    </w:pPr>
    <w:rPr>
      <w:rFonts w:ascii="Times New Roman" w:hAnsi="Times New Roman"/>
      <w:b/>
    </w:rPr>
  </w:style>
  <w:style w:type="paragraph" w:styleId="ListNumber">
    <w:name w:val="List Number"/>
    <w:basedOn w:val="List"/>
    <w:rsid w:val="00212A17"/>
    <w:pPr>
      <w:numPr>
        <w:numId w:val="11"/>
      </w:numPr>
    </w:pPr>
  </w:style>
  <w:style w:type="character" w:customStyle="1" w:styleId="WingdingSymbols">
    <w:name w:val="Wingding Symbols"/>
    <w:rsid w:val="00212A17"/>
    <w:rPr>
      <w:rFonts w:ascii="Wingdings" w:hAnsi="Wingdings"/>
    </w:rPr>
  </w:style>
  <w:style w:type="paragraph" w:customStyle="1" w:styleId="TableHeading">
    <w:name w:val="Table Heading"/>
    <w:basedOn w:val="HeadingBase"/>
    <w:rsid w:val="00212A17"/>
    <w:pPr>
      <w:keepLines/>
      <w:pBdr>
        <w:bottom w:val="single" w:sz="6" w:space="1" w:color="918585"/>
      </w:pBdr>
      <w:spacing w:before="240"/>
    </w:pPr>
  </w:style>
  <w:style w:type="character" w:customStyle="1" w:styleId="HotSpot">
    <w:name w:val="HotSpot"/>
    <w:rsid w:val="00212A17"/>
    <w:rPr>
      <w:color w:val="0033CC"/>
      <w:u w:val="none"/>
    </w:rPr>
  </w:style>
  <w:style w:type="paragraph" w:customStyle="1" w:styleId="BodyTextRight">
    <w:name w:val="Body Text Right"/>
    <w:basedOn w:val="BodyText"/>
    <w:rsid w:val="00212A17"/>
    <w:pPr>
      <w:spacing w:before="0" w:after="0"/>
      <w:jc w:val="right"/>
    </w:pPr>
  </w:style>
  <w:style w:type="paragraph" w:styleId="Index3">
    <w:name w:val="index 3"/>
    <w:basedOn w:val="ListNumber2"/>
    <w:next w:val="Normal"/>
    <w:semiHidden/>
    <w:rsid w:val="00212A17"/>
    <w:pPr>
      <w:numPr>
        <w:numId w:val="0"/>
      </w:numPr>
      <w:tabs>
        <w:tab w:val="right" w:leader="dot" w:pos="4176"/>
      </w:tabs>
    </w:pPr>
  </w:style>
  <w:style w:type="paragraph" w:styleId="ListNumber2">
    <w:name w:val="List Number 2"/>
    <w:basedOn w:val="List2"/>
    <w:rsid w:val="00212A17"/>
    <w:pPr>
      <w:numPr>
        <w:numId w:val="10"/>
      </w:numPr>
      <w:tabs>
        <w:tab w:val="clear" w:pos="1060"/>
      </w:tabs>
    </w:pPr>
  </w:style>
  <w:style w:type="paragraph" w:customStyle="1" w:styleId="MarginNote">
    <w:name w:val="Margin Note"/>
    <w:basedOn w:val="BodyText"/>
    <w:rsid w:val="00212A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2A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2A1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12A17"/>
    <w:rPr>
      <w:sz w:val="32"/>
    </w:rPr>
  </w:style>
  <w:style w:type="paragraph" w:customStyle="1" w:styleId="HeadingProcedure">
    <w:name w:val="Heading Procedure"/>
    <w:basedOn w:val="HeadingBase"/>
    <w:next w:val="Normal"/>
    <w:rsid w:val="00212A17"/>
    <w:pPr>
      <w:tabs>
        <w:tab w:val="left" w:pos="0"/>
      </w:tabs>
      <w:spacing w:before="120" w:after="60"/>
    </w:pPr>
    <w:rPr>
      <w:i/>
      <w:color w:val="918585"/>
      <w:sz w:val="22"/>
    </w:rPr>
  </w:style>
  <w:style w:type="paragraph" w:customStyle="1" w:styleId="TableBodyText">
    <w:name w:val="Table Body Text"/>
    <w:basedOn w:val="BodyText"/>
    <w:rsid w:val="00212A17"/>
    <w:pPr>
      <w:spacing w:before="60" w:after="60"/>
    </w:pPr>
  </w:style>
  <w:style w:type="paragraph" w:styleId="ListContinue">
    <w:name w:val="List Continue"/>
    <w:basedOn w:val="List"/>
    <w:rsid w:val="00212A17"/>
    <w:pPr>
      <w:ind w:firstLine="0"/>
    </w:pPr>
  </w:style>
  <w:style w:type="paragraph" w:customStyle="1" w:styleId="ListNote">
    <w:name w:val="List Note"/>
    <w:basedOn w:val="List"/>
    <w:rsid w:val="00212A17"/>
    <w:pPr>
      <w:pBdr>
        <w:top w:val="single" w:sz="6" w:space="2" w:color="918585"/>
        <w:bottom w:val="single" w:sz="6" w:space="2" w:color="918585"/>
      </w:pBdr>
      <w:tabs>
        <w:tab w:val="left" w:pos="1021"/>
      </w:tabs>
      <w:ind w:firstLine="0"/>
    </w:pPr>
  </w:style>
  <w:style w:type="paragraph" w:customStyle="1" w:styleId="Warning">
    <w:name w:val="Warning"/>
    <w:basedOn w:val="BodyText"/>
    <w:rsid w:val="00212A17"/>
    <w:pPr>
      <w:shd w:val="clear" w:color="auto" w:fill="D9D9D9"/>
      <w:tabs>
        <w:tab w:val="left" w:pos="992"/>
      </w:tabs>
      <w:ind w:left="119" w:right="119"/>
    </w:pPr>
    <w:rPr>
      <w:sz w:val="20"/>
    </w:rPr>
  </w:style>
  <w:style w:type="paragraph" w:customStyle="1" w:styleId="MarginIcons">
    <w:name w:val="Margin Icons"/>
    <w:basedOn w:val="BodyText"/>
    <w:rsid w:val="00212A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2A17"/>
    <w:rPr>
      <w:rFonts w:ascii="Courier New" w:hAnsi="Courier New"/>
    </w:rPr>
  </w:style>
  <w:style w:type="paragraph" w:customStyle="1" w:styleId="NoteBullet">
    <w:name w:val="Note Bullet"/>
    <w:basedOn w:val="Note"/>
    <w:rsid w:val="00212A17"/>
    <w:pPr>
      <w:tabs>
        <w:tab w:val="clear" w:pos="680"/>
      </w:tabs>
      <w:spacing w:before="60" w:after="60"/>
    </w:pPr>
  </w:style>
  <w:style w:type="paragraph" w:customStyle="1" w:styleId="SubHeading2">
    <w:name w:val="SubHeading2"/>
    <w:basedOn w:val="HeadingBase"/>
    <w:rsid w:val="00212A17"/>
    <w:pPr>
      <w:spacing w:before="240" w:after="60"/>
    </w:pPr>
    <w:rPr>
      <w:sz w:val="20"/>
    </w:rPr>
  </w:style>
  <w:style w:type="paragraph" w:customStyle="1" w:styleId="SubHeading1">
    <w:name w:val="SubHeading1"/>
    <w:basedOn w:val="HeadingBase"/>
    <w:rsid w:val="00212A17"/>
    <w:pPr>
      <w:spacing w:before="240" w:after="60"/>
    </w:pPr>
    <w:rPr>
      <w:color w:val="918585"/>
      <w:sz w:val="22"/>
    </w:rPr>
  </w:style>
  <w:style w:type="paragraph" w:customStyle="1" w:styleId="SideHeading">
    <w:name w:val="Side Heading"/>
    <w:basedOn w:val="HeadingBase"/>
    <w:rsid w:val="00212A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2A17"/>
    <w:pPr>
      <w:numPr>
        <w:numId w:val="12"/>
      </w:numPr>
    </w:pPr>
  </w:style>
  <w:style w:type="paragraph" w:styleId="PlainText">
    <w:name w:val="Plain Text"/>
    <w:basedOn w:val="Normal"/>
    <w:link w:val="PlainTextChar"/>
    <w:rsid w:val="00212A17"/>
    <w:rPr>
      <w:sz w:val="20"/>
    </w:rPr>
  </w:style>
  <w:style w:type="character" w:customStyle="1" w:styleId="PlainTextChar">
    <w:name w:val="Plain Text Char"/>
    <w:basedOn w:val="DefaultParagraphFont"/>
    <w:link w:val="PlainText"/>
    <w:rsid w:val="00212A1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12A17"/>
    <w:rPr>
      <w:b/>
      <w:smallCaps/>
    </w:rPr>
  </w:style>
  <w:style w:type="paragraph" w:customStyle="1" w:styleId="TableListNumber">
    <w:name w:val="Table List Number"/>
    <w:basedOn w:val="ListNumber"/>
    <w:rsid w:val="00212A17"/>
    <w:pPr>
      <w:numPr>
        <w:numId w:val="0"/>
      </w:numPr>
    </w:pPr>
  </w:style>
  <w:style w:type="paragraph" w:styleId="TOC4">
    <w:name w:val="toc 4"/>
    <w:basedOn w:val="TOCBase"/>
    <w:next w:val="Normal"/>
    <w:semiHidden/>
    <w:rsid w:val="00212A17"/>
    <w:pPr>
      <w:tabs>
        <w:tab w:val="right" w:leader="dot" w:pos="9071"/>
      </w:tabs>
      <w:ind w:left="1701"/>
    </w:pPr>
  </w:style>
  <w:style w:type="paragraph" w:customStyle="1" w:styleId="ListAlpha">
    <w:name w:val="List Alpha"/>
    <w:basedOn w:val="List"/>
    <w:rsid w:val="00212A17"/>
    <w:pPr>
      <w:numPr>
        <w:numId w:val="9"/>
      </w:numPr>
    </w:pPr>
  </w:style>
  <w:style w:type="paragraph" w:customStyle="1" w:styleId="ListAlpha2">
    <w:name w:val="List Alpha 2"/>
    <w:basedOn w:val="List2"/>
    <w:rsid w:val="00212A17"/>
    <w:pPr>
      <w:numPr>
        <w:numId w:val="8"/>
      </w:numPr>
    </w:pPr>
  </w:style>
  <w:style w:type="paragraph" w:styleId="List3">
    <w:name w:val="List 3"/>
    <w:basedOn w:val="BodyText"/>
    <w:rsid w:val="00212A17"/>
    <w:pPr>
      <w:tabs>
        <w:tab w:val="left" w:pos="1021"/>
      </w:tabs>
      <w:spacing w:before="60" w:after="60"/>
      <w:ind w:left="1020" w:hanging="340"/>
    </w:pPr>
  </w:style>
  <w:style w:type="paragraph" w:styleId="List4">
    <w:name w:val="List 4"/>
    <w:basedOn w:val="BodyText"/>
    <w:rsid w:val="00212A17"/>
    <w:pPr>
      <w:tabs>
        <w:tab w:val="left" w:pos="1361"/>
      </w:tabs>
      <w:spacing w:before="60" w:after="60"/>
      <w:ind w:left="1361" w:hanging="340"/>
    </w:pPr>
  </w:style>
  <w:style w:type="paragraph" w:styleId="List5">
    <w:name w:val="List 5"/>
    <w:basedOn w:val="BodyText"/>
    <w:rsid w:val="00212A17"/>
    <w:pPr>
      <w:tabs>
        <w:tab w:val="left" w:pos="1701"/>
      </w:tabs>
      <w:spacing w:before="60" w:after="60"/>
      <w:ind w:left="1701" w:hanging="340"/>
    </w:pPr>
  </w:style>
  <w:style w:type="paragraph" w:styleId="ListBullet3">
    <w:name w:val="List Bullet 3"/>
    <w:basedOn w:val="List3"/>
    <w:rsid w:val="00212A17"/>
    <w:pPr>
      <w:numPr>
        <w:numId w:val="15"/>
      </w:numPr>
      <w:tabs>
        <w:tab w:val="clear" w:pos="1021"/>
      </w:tabs>
      <w:ind w:left="1037" w:hanging="357"/>
    </w:pPr>
  </w:style>
  <w:style w:type="paragraph" w:styleId="ListBullet4">
    <w:name w:val="List Bullet 4"/>
    <w:basedOn w:val="List4"/>
    <w:rsid w:val="00212A17"/>
    <w:pPr>
      <w:numPr>
        <w:numId w:val="3"/>
      </w:numPr>
    </w:pPr>
  </w:style>
  <w:style w:type="paragraph" w:styleId="ListBullet5">
    <w:name w:val="List Bullet 5"/>
    <w:basedOn w:val="List5"/>
    <w:rsid w:val="00212A17"/>
    <w:pPr>
      <w:numPr>
        <w:numId w:val="4"/>
      </w:numPr>
    </w:pPr>
  </w:style>
  <w:style w:type="paragraph" w:styleId="ListContinue2">
    <w:name w:val="List Continue 2"/>
    <w:basedOn w:val="List2"/>
    <w:rsid w:val="00212A17"/>
    <w:pPr>
      <w:ind w:firstLine="0"/>
    </w:pPr>
  </w:style>
  <w:style w:type="paragraph" w:styleId="ListContinue3">
    <w:name w:val="List Continue 3"/>
    <w:basedOn w:val="List3"/>
    <w:rsid w:val="00212A17"/>
    <w:pPr>
      <w:ind w:left="1021" w:firstLine="0"/>
    </w:pPr>
  </w:style>
  <w:style w:type="paragraph" w:styleId="ListContinue4">
    <w:name w:val="List Continue 4"/>
    <w:basedOn w:val="List4"/>
    <w:rsid w:val="00212A17"/>
    <w:pPr>
      <w:ind w:firstLine="0"/>
    </w:pPr>
  </w:style>
  <w:style w:type="paragraph" w:styleId="ListContinue5">
    <w:name w:val="List Continue 5"/>
    <w:basedOn w:val="List5"/>
    <w:rsid w:val="00212A17"/>
    <w:pPr>
      <w:ind w:firstLine="0"/>
    </w:pPr>
  </w:style>
  <w:style w:type="paragraph" w:styleId="ListNumber3">
    <w:name w:val="List Number 3"/>
    <w:basedOn w:val="List3"/>
    <w:rsid w:val="00212A17"/>
    <w:pPr>
      <w:numPr>
        <w:numId w:val="5"/>
      </w:numPr>
    </w:pPr>
  </w:style>
  <w:style w:type="paragraph" w:styleId="ListNumber4">
    <w:name w:val="List Number 4"/>
    <w:basedOn w:val="List4"/>
    <w:rsid w:val="00212A17"/>
    <w:pPr>
      <w:numPr>
        <w:numId w:val="6"/>
      </w:numPr>
    </w:pPr>
  </w:style>
  <w:style w:type="paragraph" w:styleId="ListNumber5">
    <w:name w:val="List Number 5"/>
    <w:basedOn w:val="List5"/>
    <w:rsid w:val="00212A17"/>
    <w:pPr>
      <w:numPr>
        <w:numId w:val="7"/>
      </w:numPr>
    </w:pPr>
  </w:style>
  <w:style w:type="paragraph" w:styleId="BlockText">
    <w:name w:val="Block Text"/>
    <w:basedOn w:val="Normal"/>
    <w:rsid w:val="00212A17"/>
    <w:pPr>
      <w:spacing w:after="120"/>
      <w:ind w:left="1440" w:right="1440"/>
    </w:pPr>
  </w:style>
  <w:style w:type="character" w:customStyle="1" w:styleId="Subscript">
    <w:name w:val="Subscript"/>
    <w:basedOn w:val="DefaultParagraphFont"/>
    <w:rsid w:val="00212A17"/>
    <w:rPr>
      <w:sz w:val="16"/>
      <w:vertAlign w:val="subscript"/>
    </w:rPr>
  </w:style>
  <w:style w:type="character" w:customStyle="1" w:styleId="Superscript">
    <w:name w:val="Superscript"/>
    <w:basedOn w:val="DefaultParagraphFont"/>
    <w:rsid w:val="00212A17"/>
    <w:rPr>
      <w:sz w:val="16"/>
      <w:vertAlign w:val="superscript"/>
    </w:rPr>
  </w:style>
  <w:style w:type="character" w:customStyle="1" w:styleId="Symbols">
    <w:name w:val="Symbols"/>
    <w:basedOn w:val="DefaultParagraphFont"/>
    <w:rsid w:val="00212A17"/>
    <w:rPr>
      <w:rFonts w:ascii="Symbol" w:hAnsi="Symbol"/>
    </w:rPr>
  </w:style>
  <w:style w:type="character" w:customStyle="1" w:styleId="MenuOptions">
    <w:name w:val="Menu Options"/>
    <w:basedOn w:val="DefaultParagraphFont"/>
    <w:rsid w:val="00212A17"/>
    <w:rPr>
      <w:rFonts w:ascii="Arial Narrow" w:hAnsi="Arial Narrow"/>
      <w:smallCaps/>
    </w:rPr>
  </w:style>
  <w:style w:type="character" w:customStyle="1" w:styleId="Buttons">
    <w:name w:val="Buttons"/>
    <w:basedOn w:val="DefaultParagraphFont"/>
    <w:rsid w:val="00212A17"/>
    <w:rPr>
      <w:b/>
    </w:rPr>
  </w:style>
  <w:style w:type="character" w:customStyle="1" w:styleId="Underlined">
    <w:name w:val="Underlined"/>
    <w:basedOn w:val="DefaultParagraphFont"/>
    <w:rsid w:val="00212A17"/>
    <w:rPr>
      <w:u w:val="single"/>
    </w:rPr>
  </w:style>
  <w:style w:type="paragraph" w:customStyle="1" w:styleId="TableBodyTextRight">
    <w:name w:val="Table Body Text Right"/>
    <w:basedOn w:val="TableBodyText"/>
    <w:rsid w:val="00212A17"/>
    <w:pPr>
      <w:widowControl w:val="0"/>
      <w:autoSpaceDE w:val="0"/>
      <w:autoSpaceDN w:val="0"/>
      <w:adjustRightInd w:val="0"/>
      <w:jc w:val="right"/>
    </w:pPr>
    <w:rPr>
      <w:rFonts w:cs="Arial"/>
      <w:szCs w:val="18"/>
    </w:rPr>
  </w:style>
  <w:style w:type="paragraph" w:customStyle="1" w:styleId="CopyrightText">
    <w:name w:val="Copyright Text"/>
    <w:basedOn w:val="BodyText"/>
    <w:rsid w:val="00212A17"/>
    <w:rPr>
      <w:sz w:val="18"/>
    </w:rPr>
  </w:style>
  <w:style w:type="paragraph" w:customStyle="1" w:styleId="BodySmallRight">
    <w:name w:val="Body Small Right"/>
    <w:basedOn w:val="BodyTextRight"/>
    <w:rsid w:val="00212A17"/>
    <w:rPr>
      <w:sz w:val="18"/>
      <w:szCs w:val="18"/>
    </w:rPr>
  </w:style>
  <w:style w:type="paragraph" w:customStyle="1" w:styleId="MarginEdition">
    <w:name w:val="Margin Edition"/>
    <w:basedOn w:val="MarginNote"/>
    <w:rsid w:val="00212A17"/>
    <w:pPr>
      <w:spacing w:before="0" w:after="0"/>
    </w:pPr>
    <w:rPr>
      <w:rFonts w:ascii="Times New Roman" w:hAnsi="Times New Roman"/>
      <w:color w:val="999999"/>
    </w:rPr>
  </w:style>
  <w:style w:type="paragraph" w:customStyle="1" w:styleId="Spacer">
    <w:name w:val="Spacer"/>
    <w:basedOn w:val="Normal"/>
    <w:rsid w:val="00212A17"/>
    <w:rPr>
      <w:sz w:val="2"/>
      <w:szCs w:val="2"/>
    </w:rPr>
  </w:style>
  <w:style w:type="character" w:customStyle="1" w:styleId="Small">
    <w:name w:val="Small"/>
    <w:basedOn w:val="DefaultParagraphFont"/>
    <w:rsid w:val="00212A17"/>
    <w:rPr>
      <w:sz w:val="16"/>
    </w:rPr>
  </w:style>
  <w:style w:type="paragraph" w:customStyle="1" w:styleId="WideTable">
    <w:name w:val="Wide Table"/>
    <w:basedOn w:val="Normal"/>
    <w:rsid w:val="00212A17"/>
    <w:pPr>
      <w:ind w:left="-1418"/>
    </w:pPr>
    <w:rPr>
      <w:sz w:val="2"/>
      <w:szCs w:val="2"/>
    </w:rPr>
  </w:style>
  <w:style w:type="character" w:styleId="PageNumber">
    <w:name w:val="page number"/>
    <w:basedOn w:val="DefaultParagraphFont"/>
    <w:rsid w:val="00212A17"/>
  </w:style>
  <w:style w:type="paragraph" w:styleId="Quote">
    <w:name w:val="Quote"/>
    <w:basedOn w:val="Heading1"/>
    <w:link w:val="QuoteChar"/>
    <w:qFormat/>
    <w:rsid w:val="00212A17"/>
    <w:rPr>
      <w:b w:val="0"/>
      <w:sz w:val="72"/>
      <w:szCs w:val="72"/>
      <w:lang w:val="en-NZ"/>
    </w:rPr>
  </w:style>
  <w:style w:type="character" w:customStyle="1" w:styleId="QuoteChar">
    <w:name w:val="Quote Char"/>
    <w:basedOn w:val="DefaultParagraphFont"/>
    <w:link w:val="Quote"/>
    <w:rsid w:val="00212A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2A17"/>
    <w:pPr>
      <w:pageBreakBefore/>
    </w:pPr>
  </w:style>
  <w:style w:type="paragraph" w:customStyle="1" w:styleId="Border">
    <w:name w:val="Border"/>
    <w:basedOn w:val="Normal"/>
    <w:qFormat/>
    <w:rsid w:val="00212A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2A17"/>
    <w:rPr>
      <w:b/>
      <w:bCs/>
      <w:i/>
      <w:iCs/>
      <w:color w:val="auto"/>
    </w:rPr>
  </w:style>
  <w:style w:type="paragraph" w:styleId="IntenseQuote">
    <w:name w:val="Intense Quote"/>
    <w:basedOn w:val="Normal"/>
    <w:next w:val="Normal"/>
    <w:link w:val="IntenseQuoteChar"/>
    <w:uiPriority w:val="30"/>
    <w:qFormat/>
    <w:rsid w:val="00212A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2A1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12A17"/>
    <w:rPr>
      <w:smallCaps/>
      <w:color w:val="auto"/>
      <w:u w:val="single"/>
    </w:rPr>
  </w:style>
  <w:style w:type="character" w:styleId="IntenseReference">
    <w:name w:val="Intense Reference"/>
    <w:basedOn w:val="DefaultParagraphFont"/>
    <w:uiPriority w:val="32"/>
    <w:qFormat/>
    <w:rsid w:val="00212A17"/>
    <w:rPr>
      <w:b/>
      <w:bCs/>
      <w:smallCaps/>
      <w:color w:val="auto"/>
      <w:spacing w:val="5"/>
      <w:u w:val="single"/>
    </w:rPr>
  </w:style>
  <w:style w:type="paragraph" w:customStyle="1" w:styleId="2ColumnHeading">
    <w:name w:val="2Column Heading"/>
    <w:basedOn w:val="BodyText"/>
    <w:qFormat/>
    <w:rsid w:val="00212A17"/>
    <w:pPr>
      <w:spacing w:after="60"/>
      <w:ind w:left="-2268"/>
    </w:pPr>
    <w:rPr>
      <w:b/>
    </w:rPr>
  </w:style>
  <w:style w:type="paragraph" w:customStyle="1" w:styleId="Heading1TOC">
    <w:name w:val="Heading1 TOC"/>
    <w:basedOn w:val="Normal"/>
    <w:qFormat/>
    <w:rsid w:val="00212A17"/>
    <w:pPr>
      <w:spacing w:before="240" w:after="120"/>
    </w:pPr>
    <w:rPr>
      <w:rFonts w:ascii="Times New Roman" w:hAnsi="Times New Roman"/>
      <w:b/>
      <w:sz w:val="32"/>
    </w:rPr>
  </w:style>
  <w:style w:type="paragraph" w:customStyle="1" w:styleId="Heading2TOC">
    <w:name w:val="Heading2 TOC"/>
    <w:basedOn w:val="Normal"/>
    <w:qFormat/>
    <w:rsid w:val="00212A17"/>
    <w:pPr>
      <w:spacing w:before="240" w:after="60"/>
    </w:pPr>
    <w:rPr>
      <w:rFonts w:ascii="Times New Roman" w:hAnsi="Times New Roman"/>
      <w:b/>
      <w:sz w:val="28"/>
    </w:rPr>
  </w:style>
  <w:style w:type="character" w:customStyle="1" w:styleId="Underline">
    <w:name w:val="Underline"/>
    <w:basedOn w:val="DefaultParagraphFont"/>
    <w:qFormat/>
    <w:rsid w:val="00212A17"/>
    <w:rPr>
      <w:u w:val="single"/>
    </w:rPr>
  </w:style>
  <w:style w:type="paragraph" w:styleId="BalloonText">
    <w:name w:val="Balloon Text"/>
    <w:basedOn w:val="Normal"/>
    <w:link w:val="BalloonTextChar"/>
    <w:rsid w:val="00212A17"/>
    <w:rPr>
      <w:rFonts w:ascii="Tahoma" w:hAnsi="Tahoma" w:cs="Tahoma"/>
      <w:sz w:val="16"/>
      <w:szCs w:val="16"/>
    </w:rPr>
  </w:style>
  <w:style w:type="character" w:customStyle="1" w:styleId="BalloonTextChar">
    <w:name w:val="Balloon Text Char"/>
    <w:basedOn w:val="DefaultParagraphFont"/>
    <w:link w:val="BalloonText"/>
    <w:rsid w:val="00212A1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12A1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2A1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1609</Words>
  <Characters>10100</Characters>
  <Application>Microsoft Office Word</Application>
  <DocSecurity>0</DocSecurity>
  <Lines>395</Lines>
  <Paragraphs>219</Paragraphs>
  <ScaleCrop>false</ScaleCrop>
  <Company>Author-it Software Corporation Ltd.</Company>
  <LinksUpToDate>false</LinksUpToDate>
  <CharactersWithSpaces>11640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SFIDIVE308B Perform underwater work in the wild catch sector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2012-05-26T08:35:00Z</dcterms:created>
  <dcterms:modified xsi:type="dcterms:W3CDTF">2012-05-26T08:35:00Z</dcterms:modified>
</cp:coreProperties>
</file>