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89F" w:rsidP="00CF189F">
      <w:pPr>
        <w:pStyle w:val="Title"/>
      </w:pPr>
      <w:r>
        <w:fldChar w:fldCharType="begin"/>
      </w:r>
      <w:r>
        <w:instrText xml:space="preserve"> TITLE   \* MERGEFORMAT </w:instrText>
      </w:r>
      <w:r>
        <w:fldChar w:fldCharType="separate"/>
      </w:r>
      <w:r>
        <w:t>SFICOMP411A Implement aquaculture compliance</w:t>
      </w:r>
      <w:r>
        <w:fldChar w:fldCharType="end"/>
      </w:r>
    </w:p>
    <w:p w:rsidR="00CF189F" w:rsidP="00CF189F">
      <w:pPr>
        <w:pStyle w:val="Version"/>
        <w:sectPr w:rsidSect="002225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540" w:rsidP="00222540">
      <w:pPr>
        <w:pStyle w:val="SuperHeading"/>
      </w:pPr>
      <w:r w:rsidRPr="00222540">
        <w:t>SFICOMP411A Implement aquaculture compliance</w:t>
      </w:r>
    </w:p>
    <w:p w:rsidR="00000000" w:rsidRPr="00222540" w:rsidP="00222540">
      <w:pPr>
        <w:pStyle w:val="Heading1"/>
      </w:pPr>
      <w:bookmarkStart w:id="1" w:name="O_273211"/>
      <w:bookmarkEnd w:id="1"/>
      <w:r w:rsidRPr="00222540">
        <w:t>Modification History</w:t>
      </w:r>
    </w:p>
    <w:p w:rsidR="00000000" w:rsidRPr="00222540" w:rsidP="00222540">
      <w:pPr>
        <w:pStyle w:val="BodyText"/>
      </w:pPr>
      <w:r w:rsidRPr="00222540">
        <w:t>Not Applicable</w:t>
      </w:r>
    </w:p>
    <w:p w:rsidR="00000000" w:rsidRPr="00222540" w:rsidP="00222540">
      <w:pPr>
        <w:pStyle w:val="AllowPageBreak"/>
      </w:pPr>
    </w:p>
    <w:p w:rsidR="00000000" w:rsidRPr="00222540" w:rsidP="00222540">
      <w:pPr>
        <w:pStyle w:val="Heading1"/>
      </w:pPr>
      <w:bookmarkStart w:id="2" w:name="O_217968"/>
      <w:bookmarkEnd w:id="2"/>
      <w:r w:rsidRPr="00222540">
        <w:t>Unit Descriptor</w:t>
      </w:r>
    </w:p>
    <w:tbl>
      <w:tblPr>
        <w:tblW w:w="0" w:type="auto"/>
        <w:tblLayout w:type="fixed"/>
        <w:tblCellMar>
          <w:left w:w="62" w:type="dxa"/>
          <w:right w:w="62" w:type="dxa"/>
        </w:tblCellMar>
        <w:tblLook w:val="0000"/>
      </w:tblPr>
      <w:tblGrid>
        <w:gridCol w:w="2669"/>
        <w:gridCol w:w="5853"/>
      </w:tblGrid>
      <w:tr w:rsidTr="00CF189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BodyText"/>
            </w:pPr>
            <w:r w:rsidRPr="00222540">
              <w:t>This unit of competency involves implementing aquaculture compliance through monitoring and promotional activ</w:t>
            </w:r>
            <w:r w:rsidRPr="00222540">
              <w:t xml:space="preserve">ities. </w:t>
            </w:r>
          </w:p>
          <w:p w:rsidR="00000000" w:rsidRPr="00222540" w:rsidP="00222540">
            <w:pPr>
              <w:pStyle w:val="BodyText"/>
            </w:pPr>
            <w:r w:rsidRPr="00222540">
              <w:t>No licensing, legislative, regulatory or certification requirements apply to this unit at the time of publication.</w:t>
            </w:r>
          </w:p>
        </w:tc>
      </w:tr>
    </w:tbl>
    <w:p w:rsidR="00CF189F" w:rsidP="00222540">
      <w:pPr>
        <w:pStyle w:val="BodyText"/>
      </w:pPr>
    </w:p>
    <w:p w:rsidR="00CF189F" w:rsidP="00222540">
      <w:pPr>
        <w:pStyle w:val="BodyText"/>
      </w:pPr>
    </w:p>
    <w:p w:rsidR="00000000" w:rsidRPr="00222540" w:rsidP="00222540">
      <w:pPr>
        <w:pStyle w:val="Heading1"/>
      </w:pPr>
      <w:bookmarkStart w:id="3" w:name="O_217972"/>
      <w:bookmarkEnd w:id="3"/>
      <w:r w:rsidRPr="00222540">
        <w:t>Application of the Unit</w:t>
      </w:r>
    </w:p>
    <w:tbl>
      <w:tblPr>
        <w:tblW w:w="0" w:type="auto"/>
        <w:tblLayout w:type="fixed"/>
        <w:tblCellMar>
          <w:left w:w="62" w:type="dxa"/>
          <w:right w:w="62" w:type="dxa"/>
        </w:tblCellMar>
        <w:tblLook w:val="0000"/>
      </w:tblPr>
      <w:tblGrid>
        <w:gridCol w:w="2747"/>
        <w:gridCol w:w="5775"/>
      </w:tblGrid>
      <w:tr w:rsidTr="00CF189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BodyText"/>
            </w:pPr>
            <w:r w:rsidRPr="00222540">
              <w:t>This competency involves monitoring of aquaculture enterprises, facilities and practices for compliance with a range of legislative and regulatory requirements. These may vary between states and territories and between a state and territory and the commonw</w:t>
            </w:r>
            <w:r w:rsidRPr="00222540">
              <w:t>ealth.</w:t>
            </w:r>
          </w:p>
          <w:p w:rsidR="00000000" w:rsidRPr="00222540" w:rsidP="00222540">
            <w:pPr>
              <w:pStyle w:val="BodyText"/>
            </w:pPr>
            <w:r w:rsidRPr="00222540">
              <w:t>Aquaculture enterprises may be engaged in aquaculture or in holding or displaying ornamental species.</w:t>
            </w:r>
          </w:p>
          <w:p w:rsidR="00000000" w:rsidRPr="00222540" w:rsidP="00222540">
            <w:pPr>
              <w:pStyle w:val="BodyText"/>
            </w:pPr>
            <w:r w:rsidRPr="00222540">
              <w:t>Fisheries compliance officers undertake promotional activities to build awareness of the principles of ecologically sustainable development (ESD) w</w:t>
            </w:r>
            <w:r w:rsidRPr="00222540">
              <w:t>ith practising and potential aquaculturalists, and the wider community.</w:t>
            </w:r>
          </w:p>
        </w:tc>
      </w:tr>
    </w:tbl>
    <w:p w:rsidR="00CF189F" w:rsidP="00222540">
      <w:pPr>
        <w:pStyle w:val="BodyText"/>
      </w:pPr>
    </w:p>
    <w:p w:rsidR="00CF189F" w:rsidP="00222540">
      <w:pPr>
        <w:pStyle w:val="BodyText"/>
      </w:pPr>
    </w:p>
    <w:p w:rsidR="00000000" w:rsidRPr="00222540" w:rsidP="00222540">
      <w:pPr>
        <w:pStyle w:val="Heading1"/>
      </w:pPr>
      <w:bookmarkStart w:id="4" w:name="O_281471"/>
      <w:bookmarkEnd w:id="4"/>
      <w:r w:rsidRPr="00222540">
        <w:t>Licensing/Regulatory Information</w:t>
      </w:r>
    </w:p>
    <w:p w:rsidR="00000000" w:rsidRPr="00222540" w:rsidP="00222540">
      <w:pPr>
        <w:pStyle w:val="BodyText"/>
      </w:pPr>
      <w:r w:rsidRPr="00222540">
        <w:t>Refer to Unit Descriptor</w:t>
      </w:r>
    </w:p>
    <w:p w:rsidR="00000000" w:rsidRPr="00222540" w:rsidP="00222540">
      <w:pPr>
        <w:pStyle w:val="AllowPageBreak"/>
      </w:pPr>
    </w:p>
    <w:p w:rsidR="00000000" w:rsidRPr="00222540" w:rsidP="00222540">
      <w:pPr>
        <w:pStyle w:val="Heading1"/>
      </w:pPr>
      <w:bookmarkStart w:id="5" w:name="O_217970"/>
      <w:bookmarkEnd w:id="5"/>
      <w:r w:rsidRPr="00222540">
        <w:t>Pre-Requisites</w:t>
      </w:r>
    </w:p>
    <w:tbl>
      <w:tblPr>
        <w:tblW w:w="0" w:type="auto"/>
        <w:tblLayout w:type="fixed"/>
        <w:tblCellMar>
          <w:left w:w="62" w:type="dxa"/>
          <w:right w:w="62" w:type="dxa"/>
        </w:tblCellMar>
        <w:tblLook w:val="0000"/>
      </w:tblPr>
      <w:tblGrid>
        <w:gridCol w:w="2775"/>
        <w:gridCol w:w="1295"/>
        <w:gridCol w:w="4452"/>
      </w:tblGrid>
      <w:tr w:rsidTr="00CF18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p>
        </w:tc>
      </w:tr>
      <w:tr w:rsidTr="00CF18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p>
        </w:tc>
      </w:tr>
      <w:tr w:rsidTr="00CF18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BodyText"/>
            </w:pPr>
          </w:p>
        </w:tc>
      </w:tr>
    </w:tbl>
    <w:p w:rsidR="00CF189F" w:rsidP="00222540">
      <w:pPr>
        <w:pStyle w:val="BodyText"/>
      </w:pPr>
    </w:p>
    <w:p w:rsidR="00CF189F" w:rsidP="00222540">
      <w:pPr>
        <w:pStyle w:val="BodyText"/>
      </w:pPr>
    </w:p>
    <w:p w:rsidR="00000000" w:rsidRPr="00222540" w:rsidP="00222540">
      <w:pPr>
        <w:pStyle w:val="Heading1"/>
      </w:pPr>
      <w:bookmarkStart w:id="6" w:name="O_217969"/>
      <w:bookmarkEnd w:id="6"/>
      <w:r w:rsidRPr="00222540">
        <w:t>Employability Skills Information</w:t>
      </w:r>
    </w:p>
    <w:tbl>
      <w:tblPr>
        <w:tblW w:w="0" w:type="auto"/>
        <w:tblLayout w:type="fixed"/>
        <w:tblCellMar>
          <w:left w:w="62" w:type="dxa"/>
          <w:right w:w="62" w:type="dxa"/>
        </w:tblCellMar>
        <w:tblLook w:val="0000"/>
      </w:tblPr>
      <w:tblGrid>
        <w:gridCol w:w="2802"/>
        <w:gridCol w:w="5720"/>
      </w:tblGrid>
      <w:tr w:rsidTr="00CF18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BodyText"/>
            </w:pPr>
            <w:r w:rsidRPr="00222540">
              <w:t xml:space="preserve">This unit contains employability skills.  </w:t>
            </w:r>
          </w:p>
        </w:tc>
      </w:tr>
    </w:tbl>
    <w:p w:rsidR="00CF189F" w:rsidP="00222540">
      <w:pPr>
        <w:pStyle w:val="BodyText"/>
      </w:pPr>
    </w:p>
    <w:p w:rsidR="00CF189F" w:rsidP="00222540">
      <w:pPr>
        <w:pStyle w:val="BodyText"/>
      </w:pPr>
    </w:p>
    <w:p w:rsidR="00000000" w:rsidRPr="00222540" w:rsidP="00222540">
      <w:pPr>
        <w:pStyle w:val="Heading1"/>
      </w:pPr>
      <w:bookmarkStart w:id="7" w:name="O_291257"/>
      <w:bookmarkEnd w:id="7"/>
      <w:r w:rsidRPr="00222540">
        <w:t>Elements and Performance Criteria Pre-Content</w:t>
      </w:r>
    </w:p>
    <w:tbl>
      <w:tblPr>
        <w:tblW w:w="0" w:type="auto"/>
        <w:tblLayout w:type="fixed"/>
        <w:tblCellMar>
          <w:left w:w="62" w:type="dxa"/>
          <w:right w:w="62" w:type="dxa"/>
        </w:tblCellMar>
        <w:tblLook w:val="0000"/>
      </w:tblPr>
      <w:tblGrid>
        <w:gridCol w:w="2527"/>
        <w:gridCol w:w="5995"/>
      </w:tblGrid>
      <w:tr w:rsidTr="00CF189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BodyText"/>
            </w:pPr>
            <w:r w:rsidRPr="00222540">
              <w:t>Performance criteria descri</w:t>
            </w:r>
            <w:r w:rsidRPr="00222540">
              <w:t>be the performance needed to demonstrate achievement of the element. Where bold italicised text is used, further information is detailed in the required skills and knowledge section and the range statement. Assessment of performance is to be consistent wit</w:t>
            </w:r>
            <w:r w:rsidRPr="00222540">
              <w:t>h the evidence guide.</w:t>
            </w:r>
          </w:p>
        </w:tc>
      </w:tr>
    </w:tbl>
    <w:p w:rsidR="00000000" w:rsidRPr="00222540" w:rsidP="00222540">
      <w:pPr>
        <w:pStyle w:val="BodyText"/>
      </w:pPr>
    </w:p>
    <w:p w:rsidR="00000000" w:rsidRPr="00222540" w:rsidP="00222540">
      <w:pPr>
        <w:pStyle w:val="AllowPageBreak"/>
      </w:pPr>
    </w:p>
    <w:p w:rsidR="00000000" w:rsidRPr="00222540" w:rsidP="00222540">
      <w:pPr>
        <w:pStyle w:val="Heading1"/>
      </w:pPr>
      <w:bookmarkStart w:id="8" w:name="O_237925"/>
      <w:bookmarkEnd w:id="8"/>
      <w:r w:rsidRPr="00222540">
        <w:t>Elements and Performance Criteria</w:t>
      </w:r>
    </w:p>
    <w:tbl>
      <w:tblPr>
        <w:tblW w:w="0" w:type="auto"/>
        <w:tblLayout w:type="fixed"/>
        <w:tblCellMar>
          <w:left w:w="62" w:type="dxa"/>
          <w:right w:w="62" w:type="dxa"/>
        </w:tblCellMar>
        <w:tblLook w:val="0000"/>
      </w:tblPr>
      <w:tblGrid>
        <w:gridCol w:w="2527"/>
        <w:gridCol w:w="5995"/>
      </w:tblGrid>
      <w:tr w:rsidTr="00CF189F">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BodyText"/>
            </w:pPr>
            <w:r w:rsidRPr="00222540">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PERFORMANCE CRITERIA</w:t>
            </w:r>
          </w:p>
        </w:tc>
      </w:tr>
      <w:tr w:rsidTr="00CF189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List"/>
              <w:rPr>
                <w:lang w:val="en-NZ"/>
              </w:rPr>
            </w:pPr>
            <w:r w:rsidRPr="00222540">
              <w:t>1.</w:t>
            </w:r>
            <w:r w:rsidRPr="00222540">
              <w:tab/>
              <w:t>Identify scope of compliance powers in jurisdiction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List2"/>
            </w:pPr>
            <w:r w:rsidRPr="00222540">
              <w:t>1.1.</w:t>
            </w:r>
            <w:r w:rsidRPr="00222540">
              <w:tab/>
              <w:t xml:space="preserve">Current </w:t>
            </w:r>
            <w:r w:rsidRPr="00222540">
              <w:rPr>
                <w:rStyle w:val="BoldandItalics"/>
              </w:rPr>
              <w:t>legislation</w:t>
            </w:r>
            <w:r w:rsidRPr="00222540">
              <w:t xml:space="preserve">, </w:t>
            </w:r>
            <w:r w:rsidRPr="00222540">
              <w:rPr>
                <w:rStyle w:val="BoldandItalics"/>
              </w:rPr>
              <w:t>regulations and codes of practice</w:t>
            </w:r>
            <w:r w:rsidRPr="00222540">
              <w:t xml:space="preserve"> relevant to </w:t>
            </w:r>
            <w:r w:rsidRPr="00222540">
              <w:rPr>
                <w:rStyle w:val="BoldandItalics"/>
              </w:rPr>
              <w:t>aquaculture development and production</w:t>
            </w:r>
            <w:r w:rsidRPr="00222540">
              <w:t xml:space="preserve"> of </w:t>
            </w:r>
            <w:r w:rsidRPr="00222540">
              <w:rPr>
                <w:rStyle w:val="BoldandItalics"/>
              </w:rPr>
              <w:t>cultured or held stock</w:t>
            </w:r>
            <w:r w:rsidRPr="00222540">
              <w:t xml:space="preserve"> are identified. </w:t>
            </w:r>
          </w:p>
          <w:p w:rsidR="00000000" w:rsidP="00222540">
            <w:pPr>
              <w:pStyle w:val="List2"/>
              <w:rPr>
                <w:lang w:val="en-NZ"/>
              </w:rPr>
            </w:pPr>
            <w:r w:rsidRPr="00222540">
              <w:t>1.2.</w:t>
            </w:r>
            <w:r w:rsidRPr="00222540">
              <w:tab/>
              <w:t xml:space="preserve">Jurisdictional policies and procedures for monitoring non-compliance and responding to </w:t>
            </w:r>
            <w:r w:rsidRPr="00222540">
              <w:rPr>
                <w:rStyle w:val="BoldandItalics"/>
              </w:rPr>
              <w:t>reportable events</w:t>
            </w:r>
            <w:r w:rsidRPr="00222540">
              <w:t xml:space="preserve"> are identified. </w:t>
            </w:r>
          </w:p>
        </w:tc>
      </w:tr>
      <w:tr w:rsidTr="00CF189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List"/>
              <w:rPr>
                <w:lang w:val="en-NZ"/>
              </w:rPr>
            </w:pPr>
            <w:r w:rsidRPr="00222540">
              <w:t>2.</w:t>
            </w:r>
            <w:r w:rsidRPr="00222540">
              <w:tab/>
              <w:t>Promote awareness of compliance in the aqua</w:t>
            </w:r>
            <w:r w:rsidRPr="00222540">
              <w:t>culture industry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List2"/>
            </w:pPr>
            <w:r w:rsidRPr="00222540">
              <w:t>2.1.</w:t>
            </w:r>
            <w:r w:rsidRPr="00222540">
              <w:tab/>
              <w:t xml:space="preserve">Aquaculture codes of practice and </w:t>
            </w:r>
            <w:r w:rsidRPr="00222540">
              <w:rPr>
                <w:rStyle w:val="BoldandItalics"/>
              </w:rPr>
              <w:t>principles of ESD</w:t>
            </w:r>
            <w:r w:rsidRPr="00222540">
              <w:t xml:space="preserve"> are promoted to industry and community. </w:t>
            </w:r>
          </w:p>
          <w:p w:rsidR="00000000" w:rsidRPr="00222540" w:rsidP="00222540">
            <w:pPr>
              <w:pStyle w:val="List2"/>
            </w:pPr>
            <w:r w:rsidRPr="00222540">
              <w:t>2.2.</w:t>
            </w:r>
            <w:r w:rsidRPr="00222540">
              <w:tab/>
              <w:t>Protocols for handling the movement of cultured or held stock interstate are promoted to industry and community.</w:t>
            </w:r>
          </w:p>
          <w:p w:rsidR="00000000" w:rsidRPr="00222540" w:rsidP="00222540">
            <w:pPr>
              <w:pStyle w:val="List2"/>
            </w:pPr>
            <w:r w:rsidRPr="00222540">
              <w:t>2.3.</w:t>
            </w:r>
            <w:r w:rsidRPr="00222540">
              <w:tab/>
            </w:r>
            <w:r w:rsidRPr="00222540">
              <w:rPr>
                <w:rStyle w:val="BoldandItalics"/>
              </w:rPr>
              <w:t>Consequences of no</w:t>
            </w:r>
            <w:r w:rsidRPr="00222540">
              <w:rPr>
                <w:rStyle w:val="BoldandItalics"/>
              </w:rPr>
              <w:t>n</w:t>
            </w:r>
            <w:r w:rsidRPr="00222540">
              <w:t>-</w:t>
            </w:r>
            <w:r w:rsidRPr="00222540">
              <w:rPr>
                <w:rStyle w:val="BoldandItalics"/>
              </w:rPr>
              <w:t>compliance</w:t>
            </w:r>
            <w:r w:rsidRPr="00222540">
              <w:t xml:space="preserve"> are made known to industry and community. </w:t>
            </w:r>
          </w:p>
          <w:p w:rsidR="00000000" w:rsidP="00222540">
            <w:pPr>
              <w:pStyle w:val="List2"/>
              <w:rPr>
                <w:lang w:val="en-NZ"/>
              </w:rPr>
            </w:pPr>
            <w:r w:rsidRPr="00222540">
              <w:t>2.4.</w:t>
            </w:r>
            <w:r w:rsidRPr="00222540">
              <w:tab/>
              <w:t>Timely and relevant responses to enquiries are given.</w:t>
            </w:r>
          </w:p>
        </w:tc>
      </w:tr>
      <w:tr w:rsidTr="00CF189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List"/>
              <w:rPr>
                <w:lang w:val="en-NZ"/>
              </w:rPr>
            </w:pPr>
            <w:r w:rsidRPr="00222540">
              <w:t>3.</w:t>
            </w:r>
            <w:r w:rsidRPr="00222540">
              <w:tab/>
              <w:t>Monitor aquaculture enterprises for compliance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List2"/>
            </w:pPr>
            <w:r w:rsidRPr="00222540">
              <w:t>3.1.</w:t>
            </w:r>
            <w:r w:rsidRPr="00222540">
              <w:tab/>
              <w:t xml:space="preserve">Routine </w:t>
            </w:r>
            <w:r w:rsidRPr="00222540">
              <w:rPr>
                <w:rStyle w:val="BoldandItalics"/>
              </w:rPr>
              <w:t>site</w:t>
            </w:r>
            <w:r w:rsidRPr="00222540">
              <w:t xml:space="preserve"> </w:t>
            </w:r>
            <w:r w:rsidRPr="00222540">
              <w:rPr>
                <w:rStyle w:val="BoldandItalics"/>
              </w:rPr>
              <w:t>inspections</w:t>
            </w:r>
            <w:r w:rsidRPr="00222540">
              <w:t xml:space="preserve"> are conducted to ensure compliance with identified legislation, protocols and codes of practice. </w:t>
            </w:r>
          </w:p>
          <w:p w:rsidR="00000000" w:rsidRPr="00222540" w:rsidP="00222540">
            <w:pPr>
              <w:pStyle w:val="List2"/>
            </w:pPr>
            <w:r w:rsidRPr="00222540">
              <w:t>3.2.</w:t>
            </w:r>
            <w:r w:rsidRPr="00222540">
              <w:tab/>
              <w:t>Site inspections are carried out with due regard for the enterprise's hygiene, safety, biosecurity and quality assurance procedures.</w:t>
            </w:r>
          </w:p>
          <w:p w:rsidR="00000000" w:rsidRPr="00222540" w:rsidP="00222540">
            <w:pPr>
              <w:pStyle w:val="List2"/>
            </w:pPr>
            <w:r w:rsidRPr="00222540">
              <w:t>3.3.</w:t>
            </w:r>
            <w:r w:rsidRPr="00222540">
              <w:tab/>
              <w:t>Aquaculture en</w:t>
            </w:r>
            <w:r w:rsidRPr="00222540">
              <w:t xml:space="preserve">terprises under development are monitored to ensure </w:t>
            </w:r>
            <w:r w:rsidRPr="00222540">
              <w:rPr>
                <w:rStyle w:val="BoldandItalics"/>
              </w:rPr>
              <w:t>licensing terms and conditions</w:t>
            </w:r>
            <w:r w:rsidRPr="00222540">
              <w:t xml:space="preserve"> are being met. </w:t>
            </w:r>
          </w:p>
          <w:p w:rsidR="00000000" w:rsidRPr="00222540" w:rsidP="00222540">
            <w:pPr>
              <w:pStyle w:val="List2"/>
            </w:pPr>
            <w:r w:rsidRPr="00222540">
              <w:t>3.4.</w:t>
            </w:r>
            <w:r w:rsidRPr="00222540">
              <w:tab/>
              <w:t xml:space="preserve">Notification of reportable events is received and </w:t>
            </w:r>
            <w:r w:rsidRPr="00222540">
              <w:rPr>
                <w:rStyle w:val="BoldandItalics"/>
              </w:rPr>
              <w:t>appropriate action</w:t>
            </w:r>
            <w:r w:rsidRPr="00222540">
              <w:t xml:space="preserve"> taken. </w:t>
            </w:r>
          </w:p>
          <w:p w:rsidR="00000000" w:rsidRPr="00222540" w:rsidP="00222540">
            <w:pPr>
              <w:pStyle w:val="List2"/>
            </w:pPr>
            <w:r w:rsidRPr="00222540">
              <w:t>3.5.</w:t>
            </w:r>
            <w:r w:rsidRPr="00222540">
              <w:tab/>
              <w:t>Aquaculture compliance monitoring activity reports are prepared and su</w:t>
            </w:r>
            <w:r w:rsidRPr="00222540">
              <w:t>bmitted.</w:t>
            </w:r>
          </w:p>
        </w:tc>
      </w:tr>
    </w:tbl>
    <w:p w:rsidR="00CF189F" w:rsidP="00222540">
      <w:pPr>
        <w:pStyle w:val="BodyText"/>
      </w:pPr>
    </w:p>
    <w:p w:rsidR="00CF189F" w:rsidP="00222540">
      <w:pPr>
        <w:pStyle w:val="BodyText"/>
      </w:pPr>
    </w:p>
    <w:p w:rsidR="00000000" w:rsidRPr="00222540" w:rsidP="00222540">
      <w:pPr>
        <w:pStyle w:val="AllowPageBreak"/>
      </w:pPr>
    </w:p>
    <w:p w:rsidR="00000000" w:rsidRPr="00222540" w:rsidP="00222540">
      <w:pPr>
        <w:pStyle w:val="Heading1"/>
      </w:pPr>
      <w:bookmarkStart w:id="9" w:name="O_261716"/>
      <w:bookmarkEnd w:id="9"/>
      <w:r w:rsidRPr="00222540">
        <w:t>Required Skills and Knowledge</w:t>
      </w:r>
    </w:p>
    <w:tbl>
      <w:tblPr>
        <w:tblW w:w="0" w:type="auto"/>
        <w:tblLayout w:type="fixed"/>
        <w:tblCellMar>
          <w:left w:w="62" w:type="dxa"/>
          <w:right w:w="62" w:type="dxa"/>
        </w:tblCellMar>
        <w:tblLook w:val="0000"/>
      </w:tblPr>
      <w:tblGrid>
        <w:gridCol w:w="8522"/>
      </w:tblGrid>
      <w:tr w:rsidTr="00CF18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REQUIRED SKILLS AND KNOWLEDGE</w:t>
            </w:r>
          </w:p>
        </w:tc>
      </w:tr>
      <w:tr w:rsidTr="00CF18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t>This section describes the skills and knowledge required for this unit.</w:t>
            </w:r>
          </w:p>
        </w:tc>
      </w:tr>
      <w:tr w:rsidTr="00CF18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Required skills</w:t>
            </w:r>
          </w:p>
        </w:tc>
      </w:tr>
      <w:tr w:rsidTr="00CF18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ListBullet"/>
            </w:pPr>
            <w:r w:rsidRPr="00222540">
              <w:t>communicating with aquaculturists on compliance-related matters</w:t>
            </w:r>
          </w:p>
          <w:p w:rsidR="00000000" w:rsidRPr="00222540" w:rsidP="00222540">
            <w:pPr>
              <w:pStyle w:val="ListBullet"/>
            </w:pPr>
            <w:r w:rsidRPr="00222540">
              <w:t>monitoring aquaculture and aquatic stock holding or display facilities/sites</w:t>
            </w:r>
          </w:p>
          <w:p w:rsidR="00000000" w:rsidRPr="00222540" w:rsidP="00222540">
            <w:pPr>
              <w:pStyle w:val="ListBullet"/>
            </w:pPr>
            <w:r w:rsidRPr="00222540">
              <w:t>monitoring licensing terms and conditions</w:t>
            </w:r>
          </w:p>
          <w:p w:rsidR="00000000" w:rsidRPr="00222540" w:rsidP="00222540">
            <w:pPr>
              <w:pStyle w:val="ListBullet"/>
            </w:pPr>
            <w:r w:rsidRPr="00222540">
              <w:t>promoting awareness of aquaculture compliance to industry and community</w:t>
            </w:r>
          </w:p>
          <w:p w:rsidR="00000000" w:rsidRPr="00222540" w:rsidP="00222540">
            <w:pPr>
              <w:pStyle w:val="ListBullet"/>
            </w:pPr>
            <w:r w:rsidRPr="00222540">
              <w:t>r</w:t>
            </w:r>
            <w:r w:rsidRPr="00222540">
              <w:t>esponding to reportable events.</w:t>
            </w:r>
          </w:p>
          <w:p w:rsidR="00000000" w:rsidRPr="00222540" w:rsidP="00222540">
            <w:pPr>
              <w:pStyle w:val="BodyText"/>
            </w:pPr>
          </w:p>
          <w:p w:rsidR="00000000" w:rsidRPr="00222540" w:rsidP="00222540">
            <w:pPr>
              <w:pStyle w:val="BodyText"/>
            </w:pPr>
            <w:r w:rsidRPr="00222540">
              <w:rPr>
                <w:rStyle w:val="SpecialBold"/>
              </w:rPr>
              <w:t>Literacy skills used for</w:t>
            </w:r>
            <w:r w:rsidRPr="00222540">
              <w:t xml:space="preserve">: </w:t>
            </w:r>
          </w:p>
          <w:p w:rsidR="00000000" w:rsidRPr="00222540" w:rsidP="00222540">
            <w:pPr>
              <w:pStyle w:val="ListBullet"/>
            </w:pPr>
            <w:r w:rsidRPr="00222540">
              <w:t>reading and interpreting legislation, regulations and codes of practice relevant to aquaculture development and production</w:t>
            </w:r>
          </w:p>
          <w:p w:rsidR="00000000" w:rsidRPr="00222540" w:rsidP="00222540">
            <w:pPr>
              <w:pStyle w:val="ListBullet"/>
            </w:pPr>
            <w:r w:rsidRPr="00222540">
              <w:t>reading and interpreting licensing terms and conditions</w:t>
            </w:r>
          </w:p>
          <w:p w:rsidR="00000000" w:rsidRPr="00222540" w:rsidP="00222540">
            <w:pPr>
              <w:pStyle w:val="ListBullet"/>
            </w:pPr>
            <w:r w:rsidRPr="00222540">
              <w:t xml:space="preserve">writing reports </w:t>
            </w:r>
            <w:r w:rsidRPr="00222540">
              <w:t>on aquaculture compliance monitoring activities.</w:t>
            </w:r>
          </w:p>
          <w:p w:rsidR="00000000" w:rsidRPr="00222540" w:rsidP="00222540">
            <w:pPr>
              <w:pStyle w:val="BodyText"/>
            </w:pPr>
          </w:p>
          <w:p w:rsidR="00000000" w:rsidRPr="00222540" w:rsidP="00222540">
            <w:pPr>
              <w:pStyle w:val="BodyText"/>
            </w:pPr>
            <w:r w:rsidRPr="00222540">
              <w:rPr>
                <w:rStyle w:val="SpecialBold"/>
              </w:rPr>
              <w:t>Numeracy skills used for</w:t>
            </w:r>
            <w:r w:rsidRPr="00222540">
              <w:t xml:space="preserve">: </w:t>
            </w:r>
          </w:p>
          <w:p w:rsidR="00000000" w:rsidRPr="00222540" w:rsidP="00222540">
            <w:pPr>
              <w:pStyle w:val="ListBullet"/>
            </w:pPr>
            <w:r w:rsidRPr="00222540">
              <w:t>estimating, measuring and calculating volume of effluent discharge</w:t>
            </w:r>
          </w:p>
          <w:p w:rsidR="00000000" w:rsidP="00222540">
            <w:pPr>
              <w:pStyle w:val="ListBullet"/>
              <w:rPr>
                <w:lang w:val="en-NZ"/>
              </w:rPr>
            </w:pPr>
            <w:r w:rsidRPr="00222540">
              <w:t>estimating numbers of stock, size of culture structures and aquacultured species.</w:t>
            </w:r>
          </w:p>
        </w:tc>
      </w:tr>
      <w:tr w:rsidTr="00CF18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Required knowledge</w:t>
            </w:r>
          </w:p>
        </w:tc>
      </w:tr>
      <w:tr w:rsidTr="00CF18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ListBullet"/>
            </w:pPr>
            <w:r w:rsidRPr="00222540">
              <w:t>basic biology of cultured or held stock in the region:</w:t>
            </w:r>
          </w:p>
          <w:p w:rsidR="00000000" w:rsidRPr="00222540" w:rsidP="00222540">
            <w:pPr>
              <w:pStyle w:val="ListBullet2"/>
            </w:pPr>
            <w:r w:rsidRPr="00222540">
              <w:t>life cycle</w:t>
            </w:r>
          </w:p>
          <w:p w:rsidR="00000000" w:rsidRPr="00222540" w:rsidP="00222540">
            <w:pPr>
              <w:pStyle w:val="ListBullet2"/>
            </w:pPr>
            <w:r w:rsidRPr="00222540">
              <w:t>environmental and nutriment requirement of stock at different stages of life cycle</w:t>
            </w:r>
          </w:p>
          <w:p w:rsidR="00000000" w:rsidRPr="00222540" w:rsidP="00222540">
            <w:pPr>
              <w:pStyle w:val="ListBullet"/>
            </w:pPr>
            <w:r w:rsidRPr="00222540">
              <w:t>basic knowledge of aquaculture production methods used in the region</w:t>
            </w:r>
          </w:p>
          <w:p w:rsidR="00000000" w:rsidRPr="00222540" w:rsidP="00222540">
            <w:pPr>
              <w:pStyle w:val="ListBullet"/>
            </w:pPr>
            <w:r w:rsidRPr="00222540">
              <w:t>basic knowledge of health and disease problems associated with cultured or held stock in the region:</w:t>
            </w:r>
          </w:p>
          <w:p w:rsidR="00000000" w:rsidRPr="00222540" w:rsidP="00222540">
            <w:pPr>
              <w:pStyle w:val="ListBullet2"/>
            </w:pPr>
            <w:r w:rsidRPr="00222540">
              <w:t>symbionts</w:t>
            </w:r>
          </w:p>
          <w:p w:rsidR="00000000" w:rsidRPr="00222540" w:rsidP="00222540">
            <w:pPr>
              <w:pStyle w:val="ListBullet2"/>
            </w:pPr>
            <w:r w:rsidRPr="00222540">
              <w:t>toxicants (e.g. chemicals or pollutants) and toxins of biological origin (e.g. toxic algae)</w:t>
            </w:r>
          </w:p>
          <w:p w:rsidR="00000000" w:rsidRPr="00222540" w:rsidP="00222540">
            <w:pPr>
              <w:pStyle w:val="ListBullet2"/>
            </w:pPr>
            <w:r w:rsidRPr="00222540">
              <w:t>viruses, bacteria, fungi, worms, parasites and preda</w:t>
            </w:r>
            <w:r w:rsidRPr="00222540">
              <w:t>tors</w:t>
            </w:r>
          </w:p>
          <w:p w:rsidR="00000000" w:rsidRPr="00222540" w:rsidP="00222540">
            <w:pPr>
              <w:pStyle w:val="ListBullet"/>
            </w:pPr>
            <w:r w:rsidRPr="00222540">
              <w:t>common signs and symptoms of ill health in cultured or held stock in the region:</w:t>
            </w:r>
          </w:p>
          <w:p w:rsidR="00000000" w:rsidRPr="00222540" w:rsidP="00222540">
            <w:pPr>
              <w:pStyle w:val="ListBullet2"/>
            </w:pPr>
            <w:r w:rsidRPr="00222540">
              <w:t>colouring or external appearance of stock</w:t>
            </w:r>
          </w:p>
          <w:p w:rsidR="00000000" w:rsidRPr="00222540" w:rsidP="00222540">
            <w:pPr>
              <w:pStyle w:val="ListBullet2"/>
            </w:pPr>
            <w:r w:rsidRPr="00222540">
              <w:t>stock behaviour</w:t>
            </w:r>
          </w:p>
          <w:p w:rsidR="00000000" w:rsidRPr="00222540" w:rsidP="00222540">
            <w:pPr>
              <w:pStyle w:val="ListBullet"/>
            </w:pPr>
            <w:r w:rsidRPr="00222540">
              <w:t>jurisdictional policies and procedures for monitoring aquaculture compliance</w:t>
            </w:r>
          </w:p>
          <w:p w:rsidR="00000000" w:rsidRPr="00222540" w:rsidP="00222540">
            <w:pPr>
              <w:pStyle w:val="ListBullet"/>
            </w:pPr>
            <w:r w:rsidRPr="00222540">
              <w:t>legislation, regulations and cod</w:t>
            </w:r>
            <w:r w:rsidRPr="00222540">
              <w:t>es of practice relevant to aquaculture development and production.</w:t>
            </w:r>
          </w:p>
        </w:tc>
      </w:tr>
    </w:tbl>
    <w:p w:rsidR="00CF189F" w:rsidP="00222540">
      <w:pPr>
        <w:pStyle w:val="BodyText"/>
      </w:pPr>
    </w:p>
    <w:p w:rsidR="00CF189F" w:rsidP="00222540">
      <w:pPr>
        <w:pStyle w:val="BodyText"/>
      </w:pPr>
    </w:p>
    <w:p w:rsidR="00000000" w:rsidRPr="00222540" w:rsidP="00222540">
      <w:pPr>
        <w:pStyle w:val="AllowPageBreak"/>
      </w:pPr>
    </w:p>
    <w:p w:rsidR="00000000" w:rsidRPr="00222540" w:rsidP="00222540">
      <w:pPr>
        <w:pStyle w:val="Heading1"/>
      </w:pPr>
      <w:bookmarkStart w:id="10" w:name="O_245909"/>
      <w:bookmarkEnd w:id="10"/>
      <w:r w:rsidRPr="00222540">
        <w:t>Evidence Guide</w:t>
      </w:r>
    </w:p>
    <w:tbl>
      <w:tblPr>
        <w:tblW w:w="9570" w:type="dxa"/>
        <w:tblLayout w:type="fixed"/>
        <w:tblCellMar>
          <w:left w:w="62" w:type="dxa"/>
          <w:right w:w="62" w:type="dxa"/>
        </w:tblCellMar>
        <w:tblLook w:val="0000"/>
      </w:tblPr>
      <w:tblGrid>
        <w:gridCol w:w="3908"/>
        <w:gridCol w:w="5662"/>
      </w:tblGrid>
      <w:tr w:rsidTr="00CF18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EVIDENCE GUIDE</w:t>
            </w:r>
          </w:p>
        </w:tc>
      </w:tr>
      <w:tr w:rsidTr="00CF18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t>The evidence guide provides advice on assessment and must be read in conjunction with the performance criteria, required skills and knowledge, range statement and the Assessment Guidelines for the Training Package.</w:t>
            </w:r>
          </w:p>
        </w:tc>
      </w:tr>
      <w:tr w:rsidTr="00CF18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p>
        </w:tc>
      </w:tr>
      <w:tr w:rsidTr="00CF18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Critical aspec</w:t>
            </w:r>
            <w:r w:rsidRPr="00222540">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BodyText"/>
            </w:pPr>
            <w:r w:rsidRPr="00222540">
              <w:t xml:space="preserve">Assessment must confirm ability to: </w:t>
            </w:r>
          </w:p>
          <w:p w:rsidR="00000000" w:rsidRPr="00222540" w:rsidP="00222540">
            <w:pPr>
              <w:pStyle w:val="ListBullet"/>
            </w:pPr>
            <w:r w:rsidRPr="00222540">
              <w:t>monitor aquaculture development and production for compliance with relevant legislation, regulations and codes of practice</w:t>
            </w:r>
          </w:p>
          <w:p w:rsidR="00000000" w:rsidRPr="00222540" w:rsidP="00222540">
            <w:pPr>
              <w:pStyle w:val="ListBullet"/>
            </w:pPr>
            <w:r w:rsidRPr="00222540">
              <w:t>meet licensing terms and conditions</w:t>
            </w:r>
          </w:p>
          <w:p w:rsidR="00000000" w:rsidRPr="00222540" w:rsidP="00222540">
            <w:pPr>
              <w:pStyle w:val="ListBullet"/>
            </w:pPr>
            <w:r w:rsidRPr="00222540">
              <w:t>respond to reportable events.</w:t>
            </w:r>
          </w:p>
          <w:p w:rsidR="00000000" w:rsidRPr="00222540" w:rsidP="00222540">
            <w:pPr>
              <w:pStyle w:val="BodyText"/>
            </w:pPr>
          </w:p>
          <w:p w:rsidR="00000000" w:rsidRPr="00222540" w:rsidP="00222540">
            <w:pPr>
              <w:pStyle w:val="BodyText"/>
            </w:pPr>
            <w:r w:rsidRPr="00222540">
              <w:t xml:space="preserve">Assessment must confirm knowledge of: </w:t>
            </w:r>
          </w:p>
          <w:p w:rsidR="00000000" w:rsidRPr="00222540" w:rsidP="00222540">
            <w:pPr>
              <w:pStyle w:val="ListBullet"/>
            </w:pPr>
            <w:r w:rsidRPr="00222540">
              <w:t>legislation, regulations and codes of practice</w:t>
            </w:r>
          </w:p>
          <w:p w:rsidR="00000000" w:rsidP="00222540">
            <w:pPr>
              <w:pStyle w:val="ListBullet"/>
              <w:rPr>
                <w:lang w:val="en-NZ"/>
              </w:rPr>
            </w:pPr>
            <w:r w:rsidRPr="00222540">
              <w:t>jurisdictional policies and procedures for monitoring aquaculture compliance.</w:t>
            </w:r>
          </w:p>
        </w:tc>
      </w:tr>
      <w:tr w:rsidTr="00CF18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Context of and specific</w:t>
            </w:r>
            <w:r w:rsidRPr="00222540">
              <w:rPr>
                <w:rStyle w:val="SpecialBold"/>
              </w:rPr>
              <w:t xml:space="preserve">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BodyText"/>
            </w:pPr>
            <w:r w:rsidRPr="00222540">
              <w:t xml:space="preserve">Assessment is to be conducted at the workplace or in a simulated work environment and should cover the range of aquacultured species commonly farmed in the region. It should also cover the range of legislation, regulations, codes </w:t>
            </w:r>
            <w:r w:rsidRPr="00222540">
              <w:t xml:space="preserve">of practice and reportable events relevant in the region. </w:t>
            </w:r>
          </w:p>
          <w:p w:rsidR="00000000" w:rsidRPr="00222540" w:rsidP="00222540">
            <w:pPr>
              <w:pStyle w:val="BodyText"/>
            </w:pPr>
          </w:p>
          <w:p w:rsidR="00000000" w:rsidRPr="00222540" w:rsidP="00222540">
            <w:pPr>
              <w:pStyle w:val="BodyText"/>
            </w:pPr>
            <w:r w:rsidRPr="00222540">
              <w:t xml:space="preserve">Resources may include: </w:t>
            </w:r>
          </w:p>
          <w:p w:rsidR="00000000" w:rsidRPr="00222540" w:rsidP="00222540">
            <w:pPr>
              <w:pStyle w:val="ListBullet"/>
            </w:pPr>
            <w:r w:rsidRPr="00222540">
              <w:t>licensing terms and conditions</w:t>
            </w:r>
          </w:p>
          <w:p w:rsidR="00000000" w:rsidP="00222540">
            <w:pPr>
              <w:pStyle w:val="ListBullet"/>
              <w:rPr>
                <w:lang w:val="en-NZ"/>
              </w:rPr>
            </w:pPr>
            <w:r w:rsidRPr="00222540">
              <w:t>range of reportable events.</w:t>
            </w:r>
          </w:p>
        </w:tc>
      </w:tr>
      <w:tr w:rsidTr="00CF18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BodyText"/>
            </w:pPr>
            <w:r w:rsidRPr="00222540">
              <w:t xml:space="preserve">The following assessment methods are suggested: </w:t>
            </w:r>
          </w:p>
          <w:p w:rsidR="00000000" w:rsidRPr="00222540" w:rsidP="00222540">
            <w:pPr>
              <w:pStyle w:val="ListBullet"/>
            </w:pPr>
            <w:r w:rsidRPr="00222540">
              <w:t>questions</w:t>
            </w:r>
          </w:p>
          <w:p w:rsidR="00000000" w:rsidRPr="00222540" w:rsidP="00222540">
            <w:pPr>
              <w:pStyle w:val="ListBullet"/>
            </w:pPr>
            <w:r w:rsidRPr="00222540">
              <w:t>practical exercises or role-plays</w:t>
            </w:r>
          </w:p>
          <w:p w:rsidR="00000000" w:rsidP="00222540">
            <w:pPr>
              <w:pStyle w:val="ListBullet"/>
              <w:rPr>
                <w:lang w:val="en-NZ"/>
              </w:rPr>
            </w:pPr>
            <w:r w:rsidRPr="00222540">
              <w:t>demonstration.</w:t>
            </w:r>
          </w:p>
        </w:tc>
      </w:tr>
      <w:tr w:rsidTr="00CF18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BodyText"/>
            </w:pPr>
            <w:r w:rsidRPr="00222540">
              <w:t>This unit may be assessed holistically with other units within a qualification.</w:t>
            </w:r>
          </w:p>
        </w:tc>
      </w:tr>
    </w:tbl>
    <w:p w:rsidR="00CF189F" w:rsidP="00222540">
      <w:pPr>
        <w:pStyle w:val="BodyText"/>
      </w:pPr>
    </w:p>
    <w:p w:rsidR="00CF189F" w:rsidP="00222540">
      <w:pPr>
        <w:pStyle w:val="BodyText"/>
      </w:pPr>
    </w:p>
    <w:p w:rsidR="00000000" w:rsidRPr="00222540" w:rsidP="00222540">
      <w:pPr>
        <w:pStyle w:val="Heading1"/>
      </w:pPr>
      <w:bookmarkStart w:id="11" w:name="O_253892"/>
      <w:bookmarkEnd w:id="11"/>
      <w:r w:rsidRPr="00222540">
        <w:t>Range Statement</w:t>
      </w:r>
    </w:p>
    <w:tbl>
      <w:tblPr>
        <w:tblW w:w="0" w:type="auto"/>
        <w:tblLayout w:type="fixed"/>
        <w:tblCellMar>
          <w:left w:w="62" w:type="dxa"/>
          <w:right w:w="62" w:type="dxa"/>
        </w:tblCellMar>
        <w:tblLook w:val="0000"/>
      </w:tblPr>
      <w:tblGrid>
        <w:gridCol w:w="3476"/>
        <w:gridCol w:w="5046"/>
      </w:tblGrid>
      <w:tr w:rsidTr="00CF18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RANGE STATEMENT</w:t>
            </w:r>
          </w:p>
        </w:tc>
      </w:tr>
      <w:tr w:rsidTr="00CF18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t>The range statement relates to the unit of competency as a whole. It allows for different work environments and situations that may affect performance. Bold italicised wording, if used in the performance criteria, is detailed below. Essential operating con</w:t>
            </w:r>
            <w:r w:rsidRPr="00222540">
              <w:t>ditions that may be present with training and assessment (depending on the work situation, needs of the candidate, accessibility of the item, and local industry and regional contexts) may also be included.</w:t>
            </w:r>
          </w:p>
        </w:tc>
      </w:tr>
      <w:tr w:rsidTr="00CF189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BoldandItalics"/>
              </w:rPr>
              <w:t>Legislation</w:t>
            </w:r>
            <w:r w:rsidRPr="00222540">
              <w:t xml:space="preserve">, </w:t>
            </w:r>
            <w:r w:rsidRPr="00222540">
              <w:rPr>
                <w:rStyle w:val="BoldandItalics"/>
              </w:rPr>
              <w:t>regulations and codes of practice</w:t>
            </w:r>
            <w:r w:rsidRPr="00222540">
              <w:t xml:space="preserve"> m</w:t>
            </w:r>
            <w:r w:rsidRPr="00222540">
              <w:t>ay relate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ListBullet"/>
            </w:pPr>
            <w:r w:rsidRPr="00222540">
              <w:t>development</w:t>
            </w:r>
          </w:p>
          <w:p w:rsidR="00000000" w:rsidRPr="00222540" w:rsidP="00222540">
            <w:pPr>
              <w:pStyle w:val="ListBullet"/>
            </w:pPr>
            <w:r w:rsidRPr="00222540">
              <w:t xml:space="preserve">environmental protection and ESD principles </w:t>
            </w:r>
          </w:p>
          <w:p w:rsidR="00000000" w:rsidRPr="00222540" w:rsidP="00222540">
            <w:pPr>
              <w:pStyle w:val="ListBullet"/>
            </w:pPr>
            <w:r w:rsidRPr="00222540">
              <w:t>fisheries, aquaculture, ornamental, holding or display facilities</w:t>
            </w:r>
          </w:p>
          <w:p w:rsidR="00000000" w:rsidRPr="00222540" w:rsidP="00222540">
            <w:pPr>
              <w:pStyle w:val="ListBullet"/>
            </w:pPr>
            <w:r w:rsidRPr="00222540">
              <w:t>harbours, navigation and maritime regulations</w:t>
            </w:r>
          </w:p>
          <w:p w:rsidR="00000000" w:rsidRPr="00222540" w:rsidP="00222540">
            <w:pPr>
              <w:pStyle w:val="ListBullet"/>
            </w:pPr>
            <w:r w:rsidRPr="00222540">
              <w:t>Indigenous native title, land claims and cultural activities, including fishing by traditional methods</w:t>
            </w:r>
          </w:p>
          <w:p w:rsidR="00000000" w:rsidP="00222540">
            <w:pPr>
              <w:pStyle w:val="ListBullet"/>
              <w:rPr>
                <w:lang w:val="en-NZ"/>
              </w:rPr>
            </w:pPr>
            <w:r w:rsidRPr="00222540">
              <w:t>livestock translocation, health treatment, biosecurity and animal welfare.</w:t>
            </w:r>
          </w:p>
        </w:tc>
      </w:tr>
      <w:tr w:rsidTr="00CF189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BoldandItalics"/>
              </w:rPr>
              <w:t>Aquaculture development</w:t>
            </w:r>
            <w:r w:rsidRPr="00222540">
              <w:t xml:space="preserve"> </w:t>
            </w:r>
            <w:r w:rsidRPr="00222540">
              <w:rPr>
                <w:rStyle w:val="BoldandItalics"/>
              </w:rPr>
              <w:t>and</w:t>
            </w:r>
            <w:r w:rsidRPr="00222540">
              <w:t xml:space="preserve"> </w:t>
            </w:r>
            <w:r w:rsidRPr="00222540">
              <w:rPr>
                <w:rStyle w:val="BoldandItalics"/>
              </w:rPr>
              <w:t>production</w:t>
            </w:r>
            <w:r w:rsidRPr="00222540">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ListBullet"/>
            </w:pPr>
            <w:r w:rsidRPr="00222540">
              <w:t>implied individual or co</w:t>
            </w:r>
            <w:r w:rsidRPr="00222540">
              <w:t>rporate ownership of the stock being cultivated</w:t>
            </w:r>
          </w:p>
          <w:p w:rsidR="00000000" w:rsidRPr="00222540" w:rsidP="00222540">
            <w:pPr>
              <w:pStyle w:val="ListBullet"/>
            </w:pPr>
            <w:r w:rsidRPr="00222540">
              <w:t>farming, culturing or holding of aquatic organisms</w:t>
            </w:r>
          </w:p>
          <w:p w:rsidR="00000000" w:rsidP="00222540">
            <w:pPr>
              <w:pStyle w:val="ListBullet"/>
              <w:rPr>
                <w:lang w:val="en-NZ"/>
              </w:rPr>
            </w:pPr>
            <w:r w:rsidRPr="00222540">
              <w:t>implied interventions in the rearing process to enhance production, such as regular stocking, feeding and protection from predators.</w:t>
            </w:r>
          </w:p>
        </w:tc>
      </w:tr>
      <w:tr w:rsidTr="00CF189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BoldandItalics"/>
              </w:rPr>
              <w:t>Cultured or held stock</w:t>
            </w:r>
            <w:r w:rsidRPr="00222540">
              <w:t xml:space="preserve"> </w:t>
            </w:r>
            <w:r w:rsidRPr="00222540">
              <w:t xml:space="preserve">may include: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ListBullet"/>
            </w:pPr>
            <w:r w:rsidRPr="00222540">
              <w:t>adults, broodstock (ready to breed), seedstock or stockers, eggs and sperm, fertilised eggs, larvae, post-larvae, seed, spat, hatchlings, yearlings, juveniles, fry, fingerlings, yearlings, smolt, sporophytes, seedlings and tissue cultures</w:t>
            </w:r>
          </w:p>
          <w:p w:rsidR="00000000" w:rsidRPr="00222540" w:rsidP="00222540">
            <w:pPr>
              <w:pStyle w:val="ListBullet"/>
            </w:pPr>
            <w:r w:rsidRPr="00222540">
              <w:t>fi</w:t>
            </w:r>
            <w:r w:rsidRPr="00222540">
              <w:t>nfish, crustaceans, molluscs, aquatic reptiles, amphibians, polychaete and oligochaete worms, plankton, micro-algae, seaweed, aquatic plants, live rock, sponges and other aquatic invertebrates</w:t>
            </w:r>
          </w:p>
          <w:p w:rsidR="00000000" w:rsidRPr="00222540" w:rsidP="00222540">
            <w:pPr>
              <w:pStyle w:val="ListBullet"/>
            </w:pPr>
            <w:r w:rsidRPr="00222540">
              <w:t>for human consumption (seafood), stockers for other farms, stoc</w:t>
            </w:r>
            <w:r w:rsidRPr="00222540">
              <w:t>kers for conservation or recreational fishing, display or companion animals (ornamentals), and other products, including pearls, skins, shells, eggs, chemicals and pigments</w:t>
            </w:r>
          </w:p>
          <w:p w:rsidR="00000000" w:rsidP="00222540">
            <w:pPr>
              <w:pStyle w:val="ListBullet"/>
              <w:rPr>
                <w:lang w:val="en-NZ"/>
              </w:rPr>
            </w:pPr>
            <w:r w:rsidRPr="00222540">
              <w:t>wild caught, hatchery or nursery reared.</w:t>
            </w:r>
          </w:p>
        </w:tc>
      </w:tr>
      <w:tr w:rsidTr="00CF189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BoldandItalics"/>
              </w:rPr>
              <w:t>Reportable events</w:t>
            </w:r>
            <w:r w:rsidRPr="00222540">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ListBullet"/>
            </w:pPr>
            <w:r w:rsidRPr="00222540">
              <w:t xml:space="preserve">illegal disease treatments </w:t>
            </w:r>
          </w:p>
          <w:p w:rsidR="00000000" w:rsidRPr="00222540" w:rsidP="00222540">
            <w:pPr>
              <w:pStyle w:val="ListBullet"/>
            </w:pPr>
            <w:r w:rsidRPr="00222540">
              <w:t>importation of live cultured or held stock</w:t>
            </w:r>
          </w:p>
          <w:p w:rsidR="00000000" w:rsidRPr="00222540" w:rsidP="00222540">
            <w:pPr>
              <w:pStyle w:val="ListBullet"/>
            </w:pPr>
            <w:r w:rsidRPr="00222540">
              <w:t>movement of specified species off-farm</w:t>
            </w:r>
          </w:p>
          <w:p w:rsidR="00000000" w:rsidP="00222540">
            <w:pPr>
              <w:pStyle w:val="ListBullet"/>
              <w:rPr>
                <w:lang w:val="en-NZ"/>
              </w:rPr>
            </w:pPr>
            <w:r w:rsidRPr="00222540">
              <w:t>notifiable diseases.</w:t>
            </w:r>
          </w:p>
        </w:tc>
      </w:tr>
      <w:tr w:rsidTr="00CF189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BoldandItalics"/>
              </w:rPr>
              <w:t>Principles of ESD</w:t>
            </w:r>
            <w:r w:rsidRPr="00222540">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ListBullet"/>
            </w:pPr>
            <w:r w:rsidRPr="00222540">
              <w:t>animal welfare ethics</w:t>
            </w:r>
          </w:p>
          <w:p w:rsidR="00000000" w:rsidRPr="00222540" w:rsidP="00222540">
            <w:pPr>
              <w:pStyle w:val="ListBullet"/>
            </w:pPr>
            <w:r w:rsidRPr="00222540">
              <w:t>chemical use and contaminant reduction</w:t>
            </w:r>
          </w:p>
          <w:p w:rsidR="00000000" w:rsidRPr="00222540" w:rsidP="00222540">
            <w:pPr>
              <w:pStyle w:val="ListBullet"/>
            </w:pPr>
            <w:r w:rsidRPr="00222540">
              <w:t>collection or disposal of brood</w:t>
            </w:r>
            <w:r w:rsidRPr="00222540">
              <w:t>stock or seedstock</w:t>
            </w:r>
          </w:p>
          <w:p w:rsidR="00000000" w:rsidRPr="00222540" w:rsidP="00222540">
            <w:pPr>
              <w:pStyle w:val="ListBullet"/>
            </w:pPr>
            <w:r w:rsidRPr="00222540">
              <w:t>disposal of effluent and waste:</w:t>
            </w:r>
          </w:p>
          <w:p w:rsidR="00000000" w:rsidRPr="00222540" w:rsidP="00222540">
            <w:pPr>
              <w:pStyle w:val="ListBullet2"/>
            </w:pPr>
            <w:r w:rsidRPr="00222540">
              <w:t>biohazard (e.g. moribund animals, hormones and chemicals)</w:t>
            </w:r>
          </w:p>
          <w:p w:rsidR="00000000" w:rsidRPr="00222540" w:rsidP="00222540">
            <w:pPr>
              <w:pStyle w:val="ListBullet2"/>
            </w:pPr>
            <w:r w:rsidRPr="00222540">
              <w:t>from culture structures</w:t>
            </w:r>
          </w:p>
          <w:p w:rsidR="00000000" w:rsidRPr="00222540" w:rsidP="00222540">
            <w:pPr>
              <w:pStyle w:val="ListBullet2"/>
            </w:pPr>
            <w:r w:rsidRPr="00222540">
              <w:t>nitrogenous waters or sediments</w:t>
            </w:r>
          </w:p>
          <w:p w:rsidR="00000000" w:rsidRPr="00222540" w:rsidP="00222540">
            <w:pPr>
              <w:pStyle w:val="ListBullet2"/>
            </w:pPr>
            <w:r w:rsidRPr="00222540">
              <w:t>solid and soluble wastes</w:t>
            </w:r>
          </w:p>
          <w:p w:rsidR="00000000" w:rsidRPr="00222540" w:rsidP="00222540">
            <w:pPr>
              <w:pStyle w:val="ListBullet2"/>
            </w:pPr>
            <w:r w:rsidRPr="00222540">
              <w:t>uneaten food and settled solids</w:t>
            </w:r>
          </w:p>
          <w:p w:rsidR="00000000" w:rsidRPr="00222540" w:rsidP="00222540">
            <w:pPr>
              <w:pStyle w:val="ListBullet"/>
            </w:pPr>
            <w:r w:rsidRPr="00222540">
              <w:t>movement of live animals and seedstock</w:t>
            </w:r>
          </w:p>
          <w:p w:rsidR="00000000" w:rsidRPr="00222540" w:rsidP="00222540">
            <w:pPr>
              <w:pStyle w:val="ListBullet"/>
            </w:pPr>
            <w:r w:rsidRPr="00222540">
              <w:t>prevention of live culture organisms being introduced into environment</w:t>
            </w:r>
          </w:p>
          <w:p w:rsidR="00000000" w:rsidP="00222540">
            <w:pPr>
              <w:pStyle w:val="ListBullet"/>
              <w:rPr>
                <w:lang w:val="en-NZ"/>
              </w:rPr>
            </w:pPr>
            <w:r w:rsidRPr="00222540">
              <w:t>protected species.</w:t>
            </w:r>
          </w:p>
        </w:tc>
      </w:tr>
      <w:tr w:rsidTr="00CF189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BoldandItalics"/>
              </w:rPr>
              <w:t>Consequences of non</w:t>
            </w:r>
            <w:r w:rsidRPr="00222540">
              <w:t>-</w:t>
            </w:r>
            <w:r w:rsidRPr="00222540">
              <w:rPr>
                <w:rStyle w:val="BoldandItalics"/>
              </w:rPr>
              <w:t>compliance</w:t>
            </w:r>
            <w:r w:rsidRPr="00222540">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ListBullet"/>
            </w:pPr>
            <w:r w:rsidRPr="00222540">
              <w:t>culling/slaughter and disposal of live stock</w:t>
            </w:r>
          </w:p>
          <w:p w:rsidR="00000000" w:rsidRPr="00222540" w:rsidP="00222540">
            <w:pPr>
              <w:pStyle w:val="ListBullet"/>
            </w:pPr>
            <w:r w:rsidRPr="00222540">
              <w:t>expiation fees</w:t>
            </w:r>
          </w:p>
          <w:p w:rsidR="00000000" w:rsidRPr="00222540" w:rsidP="00222540">
            <w:pPr>
              <w:pStyle w:val="ListBullet"/>
            </w:pPr>
            <w:r w:rsidRPr="00222540">
              <w:t>monetary fines imposed by court</w:t>
            </w:r>
          </w:p>
          <w:p w:rsidR="00000000" w:rsidP="00222540">
            <w:pPr>
              <w:pStyle w:val="ListBullet"/>
              <w:rPr>
                <w:lang w:val="en-NZ"/>
              </w:rPr>
            </w:pPr>
            <w:r w:rsidRPr="00222540">
              <w:t>termination of lease or licence by authorised person.</w:t>
            </w:r>
          </w:p>
        </w:tc>
      </w:tr>
      <w:tr w:rsidTr="00CF189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BoldandItalics"/>
              </w:rPr>
              <w:t>Site</w:t>
            </w:r>
            <w:r w:rsidRPr="00222540">
              <w:t xml:space="preserve"> </w:t>
            </w:r>
            <w:r w:rsidRPr="00222540">
              <w:rPr>
                <w:rStyle w:val="BoldandItalics"/>
              </w:rPr>
              <w:t>inspections</w:t>
            </w:r>
            <w:r w:rsidRPr="00222540">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ListBullet"/>
            </w:pPr>
            <w:r w:rsidRPr="00222540">
              <w:t>associated equipment or systems, such as:</w:t>
            </w:r>
          </w:p>
          <w:p w:rsidR="00000000" w:rsidRPr="00222540" w:rsidP="00222540">
            <w:pPr>
              <w:pStyle w:val="ListBullet2"/>
            </w:pPr>
            <w:r w:rsidRPr="00222540">
              <w:t>blowers, aerators, paddlewheels and aspirators</w:t>
            </w:r>
          </w:p>
          <w:p w:rsidR="00000000" w:rsidRPr="00222540" w:rsidP="00222540">
            <w:pPr>
              <w:pStyle w:val="ListBullet2"/>
            </w:pPr>
            <w:r w:rsidRPr="00222540">
              <w:t>greenhouses, hothouses and igloos</w:t>
            </w:r>
          </w:p>
          <w:p w:rsidR="00000000" w:rsidRPr="00222540" w:rsidP="00222540">
            <w:pPr>
              <w:pStyle w:val="ListBullet2"/>
            </w:pPr>
            <w:r w:rsidRPr="00222540">
              <w:t>pest, predator and disease control structures</w:t>
            </w:r>
          </w:p>
          <w:p w:rsidR="00000000" w:rsidRPr="00222540" w:rsidP="00222540">
            <w:pPr>
              <w:pStyle w:val="ListBullet2"/>
            </w:pPr>
            <w:r w:rsidRPr="00222540">
              <w:t>water supply, and disposal or effluent systems, including pumps, pipes, canals, channels, settlement ponds and storage dams</w:t>
            </w:r>
          </w:p>
          <w:p w:rsidR="00000000" w:rsidRPr="00222540" w:rsidP="00222540">
            <w:pPr>
              <w:pStyle w:val="ListBullet"/>
            </w:pPr>
            <w:r w:rsidRPr="00222540">
              <w:t xml:space="preserve">culture or holding structures or systems, such as: </w:t>
            </w:r>
          </w:p>
          <w:p w:rsidR="00000000" w:rsidRPr="00222540" w:rsidP="00222540">
            <w:pPr>
              <w:pStyle w:val="ListBullet2"/>
            </w:pPr>
            <w:r w:rsidRPr="00222540">
              <w:t xml:space="preserve">cages, pontoons, enclosures and </w:t>
            </w:r>
            <w:r w:rsidRPr="00222540">
              <w:t>pens, including associated moorings, anchors, floats and markers</w:t>
            </w:r>
          </w:p>
          <w:p w:rsidR="00000000" w:rsidRPr="00222540" w:rsidP="00222540">
            <w:pPr>
              <w:pStyle w:val="ListBullet2"/>
            </w:pPr>
            <w:r w:rsidRPr="00222540">
              <w:t>dams, ponds and pools</w:t>
            </w:r>
          </w:p>
          <w:p w:rsidR="00000000" w:rsidRPr="00222540" w:rsidP="00222540">
            <w:pPr>
              <w:pStyle w:val="ListBullet2"/>
            </w:pPr>
            <w:r w:rsidRPr="00222540">
              <w:t>display tanks, aquaria and aquascapes</w:t>
            </w:r>
          </w:p>
          <w:p w:rsidR="00000000" w:rsidRPr="00222540" w:rsidP="00222540">
            <w:pPr>
              <w:pStyle w:val="ListBullet2"/>
            </w:pPr>
            <w:r w:rsidRPr="00222540">
              <w:t>grow out facilities, hatcheries and nurseries</w:t>
            </w:r>
          </w:p>
          <w:p w:rsidR="00000000" w:rsidRPr="00222540" w:rsidP="00222540">
            <w:pPr>
              <w:pStyle w:val="ListBullet2"/>
            </w:pPr>
            <w:r w:rsidRPr="00222540">
              <w:t>harvesting swimways, canals or channels</w:t>
            </w:r>
          </w:p>
          <w:p w:rsidR="00000000" w:rsidRPr="00222540" w:rsidP="00222540">
            <w:pPr>
              <w:pStyle w:val="ListBullet2"/>
            </w:pPr>
            <w:r w:rsidRPr="00222540">
              <w:t>live holding tanks, bins, cages and pens</w:t>
            </w:r>
          </w:p>
          <w:p w:rsidR="00000000" w:rsidRPr="00222540" w:rsidP="00222540">
            <w:pPr>
              <w:pStyle w:val="ListBullet2"/>
            </w:pPr>
            <w:r w:rsidRPr="00222540">
              <w:t>long</w:t>
            </w:r>
            <w:r w:rsidRPr="00222540">
              <w:t>lines, posts, racks and rails, rafts, fences, socks, trays, sticks, baskets, modules, barrels, bags and panels</w:t>
            </w:r>
          </w:p>
          <w:p w:rsidR="00000000" w:rsidRPr="00222540" w:rsidP="00222540">
            <w:pPr>
              <w:pStyle w:val="ListBullet2"/>
            </w:pPr>
            <w:r w:rsidRPr="00222540">
              <w:t xml:space="preserve">open, flow-through, closed and semi-closed systems </w:t>
            </w:r>
          </w:p>
          <w:p w:rsidR="00000000" w:rsidRPr="00222540" w:rsidP="00222540">
            <w:pPr>
              <w:pStyle w:val="ListBullet2"/>
            </w:pPr>
            <w:r w:rsidRPr="00222540">
              <w:t>purging or depurating systems</w:t>
            </w:r>
          </w:p>
          <w:p w:rsidR="00000000" w:rsidRPr="00222540" w:rsidP="00222540">
            <w:pPr>
              <w:pStyle w:val="ListBullet2"/>
            </w:pPr>
            <w:r w:rsidRPr="00222540">
              <w:t>tanks, raceways and recirculating systems</w:t>
            </w:r>
          </w:p>
          <w:p w:rsidR="00000000" w:rsidRPr="00222540" w:rsidP="00222540">
            <w:pPr>
              <w:pStyle w:val="ListBullet"/>
            </w:pPr>
            <w:r w:rsidRPr="00222540">
              <w:t>offshore and inshore</w:t>
            </w:r>
          </w:p>
          <w:p w:rsidR="00000000" w:rsidP="00222540">
            <w:pPr>
              <w:pStyle w:val="ListBullet"/>
              <w:rPr>
                <w:lang w:val="en-NZ"/>
              </w:rPr>
            </w:pPr>
            <w:r w:rsidRPr="00222540">
              <w:t>on-land, lakes, streams, rivers, dams and reservoirs.</w:t>
            </w:r>
          </w:p>
        </w:tc>
      </w:tr>
      <w:tr w:rsidTr="00CF189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BoldandItalics"/>
              </w:rPr>
              <w:t>Licensing terms and conditions</w:t>
            </w:r>
            <w:r w:rsidRPr="00222540">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ListBullet"/>
            </w:pPr>
            <w:r w:rsidRPr="00222540">
              <w:t>meeting the development schedule as determined under legislation relevant to aquaculture development</w:t>
            </w:r>
          </w:p>
          <w:p w:rsidR="00000000" w:rsidRPr="00222540" w:rsidP="00222540">
            <w:pPr>
              <w:pStyle w:val="ListBullet"/>
            </w:pPr>
            <w:r w:rsidRPr="00222540">
              <w:t>requirements for treatment of effluent and other wastes</w:t>
            </w:r>
          </w:p>
          <w:p w:rsidR="00000000" w:rsidRPr="00222540" w:rsidP="00222540">
            <w:pPr>
              <w:pStyle w:val="ListBullet"/>
            </w:pPr>
            <w:r w:rsidRPr="00222540">
              <w:t>security arrangements</w:t>
            </w:r>
          </w:p>
          <w:p w:rsidR="00000000" w:rsidRPr="00222540" w:rsidP="00222540">
            <w:pPr>
              <w:pStyle w:val="ListBullet"/>
            </w:pPr>
            <w:r w:rsidRPr="00222540">
              <w:t>stocking densities</w:t>
            </w:r>
          </w:p>
          <w:p w:rsidR="00000000" w:rsidRPr="00222540" w:rsidP="00222540">
            <w:pPr>
              <w:pStyle w:val="ListBullet"/>
            </w:pPr>
            <w:r w:rsidRPr="00222540">
              <w:t>time within which construction must commence</w:t>
            </w:r>
          </w:p>
          <w:p w:rsidR="00000000" w:rsidP="00222540">
            <w:pPr>
              <w:pStyle w:val="ListBullet"/>
              <w:rPr>
                <w:lang w:val="en-NZ"/>
              </w:rPr>
            </w:pPr>
            <w:r w:rsidRPr="00222540">
              <w:t>use of chemicals.</w:t>
            </w:r>
          </w:p>
        </w:tc>
      </w:tr>
      <w:tr w:rsidTr="00CF189F">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BoldandItalics"/>
              </w:rPr>
              <w:t>Appropriate action</w:t>
            </w:r>
            <w:r w:rsidRPr="00222540">
              <w:t xml:space="preserve"> (on receiving notification of a reportable event)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ListBullet"/>
            </w:pPr>
            <w:r w:rsidRPr="00222540">
              <w:t>call in heal</w:t>
            </w:r>
            <w:r w:rsidRPr="00222540">
              <w:t>th and environmental experts</w:t>
            </w:r>
          </w:p>
          <w:p w:rsidR="00000000" w:rsidRPr="00222540" w:rsidP="00222540">
            <w:pPr>
              <w:pStyle w:val="ListBullet"/>
            </w:pPr>
            <w:r w:rsidRPr="00222540">
              <w:t>call in veterinary assistance</w:t>
            </w:r>
          </w:p>
          <w:p w:rsidR="00000000" w:rsidRPr="00222540" w:rsidP="00222540">
            <w:pPr>
              <w:pStyle w:val="ListBullet"/>
            </w:pPr>
            <w:r w:rsidRPr="00222540">
              <w:t>establishing and maintaining quarantine</w:t>
            </w:r>
          </w:p>
          <w:p w:rsidR="00000000" w:rsidRPr="00222540" w:rsidP="00222540">
            <w:pPr>
              <w:pStyle w:val="ListBullet"/>
            </w:pPr>
            <w:r w:rsidRPr="00222540">
              <w:t>organising and supervising culling or slaughter of stock.</w:t>
            </w:r>
          </w:p>
        </w:tc>
      </w:tr>
    </w:tbl>
    <w:p w:rsidR="00CF189F" w:rsidP="00222540">
      <w:pPr>
        <w:pStyle w:val="BodyText"/>
      </w:pPr>
    </w:p>
    <w:p w:rsidR="00CF189F" w:rsidP="00222540">
      <w:pPr>
        <w:pStyle w:val="BodyText"/>
      </w:pPr>
    </w:p>
    <w:p w:rsidR="00000000" w:rsidRPr="00222540" w:rsidP="00222540">
      <w:pPr>
        <w:pStyle w:val="Heading1"/>
      </w:pPr>
      <w:bookmarkStart w:id="12" w:name="O_217974"/>
      <w:bookmarkEnd w:id="12"/>
      <w:r w:rsidRPr="00222540">
        <w:t>Unit Sector(s)</w:t>
      </w:r>
    </w:p>
    <w:tbl>
      <w:tblPr>
        <w:tblW w:w="0" w:type="auto"/>
        <w:tblLayout w:type="fixed"/>
        <w:tblCellMar>
          <w:left w:w="62" w:type="dxa"/>
          <w:right w:w="62" w:type="dxa"/>
        </w:tblCellMar>
        <w:tblLook w:val="0000"/>
      </w:tblPr>
      <w:tblGrid>
        <w:gridCol w:w="2614"/>
        <w:gridCol w:w="5908"/>
      </w:tblGrid>
      <w:tr w:rsidTr="00CF189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BodyText"/>
            </w:pPr>
            <w:r w:rsidRPr="00222540">
              <w:t>Fisheries compliance</w:t>
            </w:r>
          </w:p>
        </w:tc>
      </w:tr>
    </w:tbl>
    <w:p w:rsidR="00CF189F" w:rsidP="00222540">
      <w:pPr>
        <w:pStyle w:val="BodyText"/>
      </w:pPr>
    </w:p>
    <w:p w:rsidR="00CF189F" w:rsidP="00222540">
      <w:pPr>
        <w:pStyle w:val="BodyText"/>
      </w:pPr>
    </w:p>
    <w:p w:rsidR="00000000" w:rsidRPr="00222540" w:rsidP="00222540">
      <w:pPr>
        <w:pStyle w:val="Heading1"/>
      </w:pPr>
      <w:bookmarkStart w:id="13" w:name="O_217971"/>
      <w:bookmarkEnd w:id="13"/>
      <w:r w:rsidRPr="00222540">
        <w:t>Co-requisite units</w:t>
      </w:r>
    </w:p>
    <w:tbl>
      <w:tblPr>
        <w:tblW w:w="0" w:type="auto"/>
        <w:tblLayout w:type="fixed"/>
        <w:tblCellMar>
          <w:left w:w="62" w:type="dxa"/>
          <w:right w:w="62" w:type="dxa"/>
        </w:tblCellMar>
        <w:tblLook w:val="0000"/>
      </w:tblPr>
      <w:tblGrid>
        <w:gridCol w:w="2641"/>
        <w:gridCol w:w="1322"/>
        <w:gridCol w:w="4559"/>
      </w:tblGrid>
      <w:tr w:rsidTr="00CF18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p>
        </w:tc>
      </w:tr>
      <w:tr w:rsidTr="00CF18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p>
        </w:tc>
      </w:tr>
      <w:tr w:rsidTr="00CF18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BodyText"/>
            </w:pPr>
          </w:p>
        </w:tc>
      </w:tr>
    </w:tbl>
    <w:p w:rsidR="00CF189F" w:rsidP="00222540">
      <w:pPr>
        <w:pStyle w:val="BodyText"/>
      </w:pPr>
    </w:p>
    <w:p w:rsidR="00CF189F" w:rsidP="00222540">
      <w:pPr>
        <w:pStyle w:val="BodyText"/>
      </w:pPr>
    </w:p>
    <w:p w:rsidR="00000000" w:rsidRPr="00222540" w:rsidP="00222540">
      <w:pPr>
        <w:pStyle w:val="Heading1"/>
      </w:pPr>
      <w:bookmarkStart w:id="14" w:name="O_217973"/>
      <w:bookmarkEnd w:id="14"/>
      <w:r w:rsidRPr="00222540">
        <w:t>Competency field</w:t>
      </w:r>
    </w:p>
    <w:tbl>
      <w:tblPr>
        <w:tblW w:w="0" w:type="auto"/>
        <w:tblLayout w:type="fixed"/>
        <w:tblCellMar>
          <w:left w:w="62" w:type="dxa"/>
          <w:right w:w="62" w:type="dxa"/>
        </w:tblCellMar>
        <w:tblLook w:val="0000"/>
      </w:tblPr>
      <w:tblGrid>
        <w:gridCol w:w="2784"/>
        <w:gridCol w:w="5738"/>
      </w:tblGrid>
      <w:tr w:rsidTr="00CF18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540">
            <w:pPr>
              <w:pStyle w:val="BodyText"/>
              <w:rPr>
                <w:lang w:val="en-NZ"/>
              </w:rPr>
            </w:pPr>
            <w:r w:rsidRPr="002225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540" w:rsidP="00222540">
            <w:pPr>
              <w:pStyle w:val="BodyText"/>
            </w:pPr>
          </w:p>
        </w:tc>
      </w:tr>
    </w:tbl>
    <w:p w:rsidR="00CF189F" w:rsidP="00222540">
      <w:pPr>
        <w:pStyle w:val="BodyText"/>
      </w:pPr>
    </w:p>
    <w:p w:rsidR="00CF189F" w:rsidP="00222540">
      <w:pPr>
        <w:pStyle w:val="BodyText"/>
      </w:pPr>
    </w:p>
    <w:p w:rsidR="00000000" w:rsidRPr="00222540" w:rsidP="00222540"/>
    <w:sectPr w:rsidSect="002225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89F" w:rsidP="00CF18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9F" w:rsidP="00222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F189F" w:rsidP="002225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F189F" w:rsidP="002225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89F" w:rsidP="00CF18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9F" w:rsidP="00222540">
    <w:pPr>
      <w:pStyle w:val="Header"/>
      <w:framePr w:wrap="around"/>
    </w:pPr>
    <w:r>
      <w:fldChar w:fldCharType="begin"/>
    </w:r>
    <w:r>
      <w:instrText xml:space="preserve"> TITLE   \* MERGEFORMAT </w:instrText>
    </w:r>
    <w:r>
      <w:fldChar w:fldCharType="separate"/>
    </w:r>
    <w:r>
      <w:t>SFICOMP411A Implement aquaculture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189F" w:rsidP="002225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2E95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9C4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728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5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2540"/>
    <w:pPr>
      <w:spacing w:before="360" w:after="60"/>
      <w:outlineLvl w:val="0"/>
    </w:pPr>
    <w:rPr>
      <w:sz w:val="32"/>
    </w:rPr>
  </w:style>
  <w:style w:type="paragraph" w:styleId="Heading2">
    <w:name w:val="heading 2"/>
    <w:basedOn w:val="HeadingBase"/>
    <w:next w:val="BodyText"/>
    <w:link w:val="Heading2Char"/>
    <w:qFormat/>
    <w:rsid w:val="00222540"/>
    <w:pPr>
      <w:keepLines/>
      <w:spacing w:before="240" w:after="120"/>
      <w:outlineLvl w:val="1"/>
    </w:pPr>
    <w:rPr>
      <w:sz w:val="28"/>
      <w:szCs w:val="40"/>
    </w:rPr>
  </w:style>
  <w:style w:type="paragraph" w:styleId="Heading3">
    <w:name w:val="heading 3"/>
    <w:basedOn w:val="HeadingBase"/>
    <w:next w:val="BodyText"/>
    <w:link w:val="Heading3Char"/>
    <w:qFormat/>
    <w:rsid w:val="00222540"/>
    <w:pPr>
      <w:spacing w:before="180" w:after="120"/>
      <w:outlineLvl w:val="2"/>
    </w:pPr>
    <w:rPr>
      <w:spacing w:val="-10"/>
      <w:kern w:val="32"/>
    </w:rPr>
  </w:style>
  <w:style w:type="paragraph" w:styleId="Heading4">
    <w:name w:val="heading 4"/>
    <w:basedOn w:val="HeadingBase"/>
    <w:next w:val="BodyText"/>
    <w:link w:val="Heading4Char"/>
    <w:qFormat/>
    <w:rsid w:val="00222540"/>
    <w:pPr>
      <w:spacing w:before="160" w:after="120"/>
      <w:outlineLvl w:val="3"/>
    </w:pPr>
    <w:rPr>
      <w:sz w:val="22"/>
    </w:rPr>
  </w:style>
  <w:style w:type="paragraph" w:styleId="Heading5">
    <w:name w:val="heading 5"/>
    <w:basedOn w:val="HeadingBase"/>
    <w:next w:val="Normal"/>
    <w:link w:val="Heading5Char"/>
    <w:qFormat/>
    <w:rsid w:val="00222540"/>
    <w:pPr>
      <w:spacing w:before="80"/>
      <w:outlineLvl w:val="4"/>
    </w:pPr>
    <w:rPr>
      <w:color w:val="918585"/>
      <w:sz w:val="20"/>
    </w:rPr>
  </w:style>
  <w:style w:type="paragraph" w:styleId="Heading6">
    <w:name w:val="heading 6"/>
    <w:basedOn w:val="HeadingBase"/>
    <w:next w:val="Normal"/>
    <w:link w:val="Heading6Char"/>
    <w:qFormat/>
    <w:rsid w:val="00222540"/>
    <w:pPr>
      <w:spacing w:before="60"/>
      <w:outlineLvl w:val="5"/>
    </w:pPr>
    <w:rPr>
      <w:color w:val="918585"/>
      <w:sz w:val="20"/>
    </w:rPr>
  </w:style>
  <w:style w:type="paragraph" w:styleId="Heading7">
    <w:name w:val="heading 7"/>
    <w:basedOn w:val="Normal"/>
    <w:next w:val="Normal"/>
    <w:link w:val="Heading7Char"/>
    <w:qFormat/>
    <w:rsid w:val="00222540"/>
    <w:pPr>
      <w:ind w:left="720"/>
      <w:outlineLvl w:val="6"/>
    </w:pPr>
    <w:rPr>
      <w:i/>
    </w:rPr>
  </w:style>
  <w:style w:type="paragraph" w:styleId="Heading8">
    <w:name w:val="heading 8"/>
    <w:basedOn w:val="Normal"/>
    <w:next w:val="Normal"/>
    <w:link w:val="Heading8Char"/>
    <w:qFormat/>
    <w:rsid w:val="00222540"/>
    <w:pPr>
      <w:ind w:left="720"/>
      <w:outlineLvl w:val="7"/>
    </w:pPr>
    <w:rPr>
      <w:i/>
    </w:rPr>
  </w:style>
  <w:style w:type="paragraph" w:styleId="Heading9">
    <w:name w:val="heading 9"/>
    <w:basedOn w:val="Normal"/>
    <w:next w:val="Normal"/>
    <w:link w:val="Heading9Char"/>
    <w:qFormat/>
    <w:rsid w:val="00222540"/>
    <w:pPr>
      <w:ind w:left="720"/>
      <w:outlineLvl w:val="8"/>
    </w:pPr>
    <w:rPr>
      <w:i/>
    </w:rPr>
  </w:style>
  <w:style w:type="character" w:default="1" w:styleId="DefaultParagraphFont">
    <w:name w:val="Default Paragraph Font"/>
    <w:uiPriority w:val="1"/>
    <w:unhideWhenUsed/>
    <w:rsid w:val="00222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540"/>
  </w:style>
  <w:style w:type="character" w:customStyle="1" w:styleId="Heading1Char">
    <w:name w:val="Heading 1 Char"/>
    <w:link w:val="Heading1"/>
    <w:rsid w:val="00222540"/>
    <w:rPr>
      <w:rFonts w:ascii="Times New Roman" w:eastAsia="Times New Roman" w:hAnsi="Times New Roman" w:cs="Times New Roman"/>
      <w:b/>
      <w:sz w:val="32"/>
      <w:szCs w:val="20"/>
      <w:lang w:eastAsia="en-US"/>
    </w:rPr>
  </w:style>
  <w:style w:type="paragraph" w:styleId="BodyText">
    <w:name w:val="Body Text"/>
    <w:basedOn w:val="Normal"/>
    <w:link w:val="BodyTextChar"/>
    <w:rsid w:val="00222540"/>
    <w:pPr>
      <w:spacing w:before="120" w:after="120"/>
      <w:contextualSpacing/>
    </w:pPr>
    <w:rPr>
      <w:rFonts w:ascii="Times New Roman" w:hAnsi="Times New Roman"/>
      <w:sz w:val="24"/>
      <w:szCs w:val="22"/>
    </w:rPr>
  </w:style>
  <w:style w:type="character" w:customStyle="1" w:styleId="BodyTextChar">
    <w:name w:val="Body Text Char"/>
    <w:link w:val="BodyText"/>
    <w:rsid w:val="00222540"/>
    <w:rPr>
      <w:rFonts w:ascii="Times New Roman" w:eastAsia="Times New Roman" w:hAnsi="Times New Roman" w:cs="Times New Roman"/>
      <w:sz w:val="24"/>
      <w:lang w:val="en-US" w:eastAsia="en-US"/>
    </w:rPr>
  </w:style>
  <w:style w:type="paragraph" w:styleId="Footer">
    <w:name w:val="footer"/>
    <w:basedOn w:val="Normal"/>
    <w:link w:val="FooterChar"/>
    <w:rsid w:val="00222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22540"/>
    <w:rPr>
      <w:rFonts w:ascii="Times New Roman" w:eastAsia="Times New Roman" w:hAnsi="Times New Roman" w:cs="Times New Roman"/>
      <w:sz w:val="16"/>
      <w:lang w:val="en-US" w:eastAsia="en-US"/>
    </w:rPr>
  </w:style>
  <w:style w:type="paragraph" w:styleId="List">
    <w:name w:val="List"/>
    <w:basedOn w:val="BodyText"/>
    <w:next w:val="BodyText"/>
    <w:rsid w:val="00222540"/>
    <w:pPr>
      <w:tabs>
        <w:tab w:val="left" w:pos="340"/>
      </w:tabs>
      <w:spacing w:before="60" w:after="60"/>
      <w:ind w:left="340" w:hanging="340"/>
    </w:pPr>
  </w:style>
  <w:style w:type="paragraph" w:styleId="ListBullet">
    <w:name w:val="List Bullet"/>
    <w:basedOn w:val="List"/>
    <w:rsid w:val="00222540"/>
    <w:pPr>
      <w:numPr>
        <w:numId w:val="13"/>
      </w:numPr>
      <w:tabs>
        <w:tab w:val="clear" w:pos="340"/>
      </w:tabs>
      <w:spacing w:before="40" w:after="40"/>
    </w:pPr>
  </w:style>
  <w:style w:type="character" w:customStyle="1" w:styleId="SpecialBold">
    <w:name w:val="Special Bold"/>
    <w:rsid w:val="00222540"/>
    <w:rPr>
      <w:b/>
      <w:spacing w:val="0"/>
    </w:rPr>
  </w:style>
  <w:style w:type="paragraph" w:styleId="ListBullet2">
    <w:name w:val="List Bullet 2"/>
    <w:basedOn w:val="List2"/>
    <w:rsid w:val="00222540"/>
    <w:pPr>
      <w:numPr>
        <w:numId w:val="14"/>
      </w:numPr>
      <w:tabs>
        <w:tab w:val="clear" w:pos="680"/>
      </w:tabs>
    </w:pPr>
  </w:style>
  <w:style w:type="paragraph" w:styleId="Header">
    <w:name w:val="header"/>
    <w:basedOn w:val="Normal"/>
    <w:link w:val="HeaderChar"/>
    <w:rsid w:val="00222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225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2540"/>
    <w:pPr>
      <w:spacing w:before="240" w:after="120"/>
      <w:outlineLvl w:val="0"/>
    </w:pPr>
    <w:rPr>
      <w:rFonts w:ascii="Times New Roman" w:hAnsi="Times New Roman"/>
      <w:b/>
      <w:sz w:val="28"/>
    </w:rPr>
  </w:style>
  <w:style w:type="paragraph" w:customStyle="1" w:styleId="AllowPageBreak">
    <w:name w:val="AllowPageBreak"/>
    <w:rsid w:val="002225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2540"/>
    <w:pPr>
      <w:tabs>
        <w:tab w:val="left" w:pos="680"/>
      </w:tabs>
      <w:spacing w:before="60" w:after="60"/>
      <w:ind w:left="680" w:hanging="340"/>
    </w:pPr>
  </w:style>
  <w:style w:type="character" w:customStyle="1" w:styleId="BoldandItalics">
    <w:name w:val="Bold and Italics"/>
    <w:qFormat/>
    <w:rsid w:val="00222540"/>
    <w:rPr>
      <w:b/>
      <w:i/>
      <w:u w:val="none"/>
    </w:rPr>
  </w:style>
  <w:style w:type="character" w:customStyle="1" w:styleId="Heading2Char">
    <w:name w:val="Heading 2 Char"/>
    <w:link w:val="Heading2"/>
    <w:rsid w:val="00222540"/>
    <w:rPr>
      <w:rFonts w:ascii="Times New Roman" w:eastAsia="Times New Roman" w:hAnsi="Times New Roman" w:cs="Times New Roman"/>
      <w:b/>
      <w:sz w:val="28"/>
      <w:szCs w:val="40"/>
      <w:lang w:eastAsia="en-US"/>
    </w:rPr>
  </w:style>
  <w:style w:type="character" w:customStyle="1" w:styleId="Heading3Char">
    <w:name w:val="Heading 3 Char"/>
    <w:link w:val="Heading3"/>
    <w:rsid w:val="0022254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22540"/>
    <w:rPr>
      <w:rFonts w:ascii="Times New Roman" w:eastAsia="Times New Roman" w:hAnsi="Times New Roman" w:cs="Times New Roman"/>
      <w:b/>
      <w:szCs w:val="20"/>
      <w:lang w:eastAsia="en-US"/>
    </w:rPr>
  </w:style>
  <w:style w:type="character" w:customStyle="1" w:styleId="Heading5Char">
    <w:name w:val="Heading 5 Char"/>
    <w:link w:val="Heading5"/>
    <w:rsid w:val="0022254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22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5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25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2540"/>
    <w:rPr>
      <w:rFonts w:ascii="Courier New" w:eastAsia="Times New Roman" w:hAnsi="Courier New" w:cs="Times New Roman"/>
      <w:i/>
      <w:szCs w:val="20"/>
      <w:lang w:val="en-US" w:eastAsia="en-US"/>
    </w:rPr>
  </w:style>
  <w:style w:type="paragraph" w:customStyle="1" w:styleId="HeadingBase">
    <w:name w:val="Heading Base"/>
    <w:rsid w:val="00222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540"/>
    <w:pPr>
      <w:tabs>
        <w:tab w:val="right" w:leader="dot" w:pos="9072"/>
      </w:tabs>
      <w:ind w:left="567"/>
    </w:pPr>
    <w:rPr>
      <w:szCs w:val="22"/>
    </w:rPr>
  </w:style>
  <w:style w:type="paragraph" w:customStyle="1" w:styleId="TOCBase">
    <w:name w:val="TOC Base"/>
    <w:rsid w:val="00222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540"/>
    <w:pPr>
      <w:tabs>
        <w:tab w:val="right" w:leader="dot" w:pos="9072"/>
      </w:tabs>
      <w:spacing w:before="40" w:after="40"/>
      <w:ind w:left="284"/>
    </w:pPr>
    <w:rPr>
      <w:rFonts w:ascii="Times New Roman" w:hAnsi="Times New Roman"/>
    </w:rPr>
  </w:style>
  <w:style w:type="paragraph" w:styleId="TOC1">
    <w:name w:val="toc 1"/>
    <w:basedOn w:val="TOCBase"/>
    <w:next w:val="Normal"/>
    <w:rsid w:val="002225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2540"/>
    <w:pPr>
      <w:spacing w:before="5040"/>
      <w:jc w:val="center"/>
    </w:pPr>
    <w:rPr>
      <w:sz w:val="48"/>
      <w:szCs w:val="72"/>
      <w:lang w:val="en-US"/>
    </w:rPr>
  </w:style>
  <w:style w:type="character" w:customStyle="1" w:styleId="TitleChar">
    <w:name w:val="Title Char"/>
    <w:link w:val="Title"/>
    <w:rsid w:val="00222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540"/>
    <w:pPr>
      <w:tabs>
        <w:tab w:val="left" w:pos="3600"/>
        <w:tab w:val="left" w:pos="3958"/>
      </w:tabs>
    </w:pPr>
  </w:style>
  <w:style w:type="paragraph" w:customStyle="1" w:styleId="Note">
    <w:name w:val="Note"/>
    <w:basedOn w:val="BodyText"/>
    <w:rsid w:val="002225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540"/>
    <w:pPr>
      <w:framePr w:wrap="auto" w:hAnchor="text" w:y="6049"/>
    </w:pPr>
    <w:rPr>
      <w:color w:val="000000"/>
      <w:sz w:val="40"/>
    </w:rPr>
  </w:style>
  <w:style w:type="paragraph" w:customStyle="1" w:styleId="TOCTitle">
    <w:name w:val="TOCTitle"/>
    <w:basedOn w:val="Heading1"/>
    <w:rsid w:val="00222540"/>
    <w:pPr>
      <w:spacing w:after="240"/>
      <w:jc w:val="center"/>
      <w:outlineLvl w:val="9"/>
    </w:pPr>
    <w:rPr>
      <w:caps/>
    </w:rPr>
  </w:style>
  <w:style w:type="paragraph" w:customStyle="1" w:styleId="Version">
    <w:name w:val="Version"/>
    <w:rsid w:val="002225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540"/>
    <w:pPr>
      <w:keepNext w:val="0"/>
      <w:tabs>
        <w:tab w:val="right" w:pos="4176"/>
      </w:tabs>
      <w:ind w:left="198" w:hanging="198"/>
    </w:pPr>
    <w:rPr>
      <w:rFonts w:ascii="Garamond" w:hAnsi="Garamond"/>
    </w:rPr>
  </w:style>
  <w:style w:type="paragraph" w:styleId="IndexHeading">
    <w:name w:val="index heading"/>
    <w:basedOn w:val="Normal"/>
    <w:next w:val="Index1"/>
    <w:semiHidden/>
    <w:rsid w:val="00222540"/>
    <w:pPr>
      <w:spacing w:before="120" w:after="120"/>
    </w:pPr>
    <w:rPr>
      <w:rFonts w:ascii="Arial" w:hAnsi="Arial"/>
      <w:b/>
      <w:color w:val="918585"/>
      <w:sz w:val="24"/>
    </w:rPr>
  </w:style>
  <w:style w:type="paragraph" w:customStyle="1" w:styleId="Chapter">
    <w:name w:val="Chapter"/>
    <w:basedOn w:val="Normal"/>
    <w:rsid w:val="00222540"/>
    <w:pPr>
      <w:spacing w:before="240"/>
    </w:pPr>
    <w:rPr>
      <w:rFonts w:ascii="Times New Roman" w:hAnsi="Times New Roman"/>
      <w:smallCaps/>
      <w:spacing w:val="80"/>
      <w:sz w:val="28"/>
    </w:rPr>
  </w:style>
  <w:style w:type="paragraph" w:customStyle="1" w:styleId="InChapter">
    <w:name w:val="InChapter"/>
    <w:basedOn w:val="Heading3"/>
    <w:rsid w:val="00222540"/>
    <w:pPr>
      <w:spacing w:after="240"/>
      <w:outlineLvl w:val="9"/>
    </w:pPr>
    <w:rPr>
      <w:noProof/>
    </w:rPr>
  </w:style>
  <w:style w:type="paragraph" w:styleId="Index2">
    <w:name w:val="index 2"/>
    <w:basedOn w:val="Normal"/>
    <w:next w:val="Normal"/>
    <w:semiHidden/>
    <w:rsid w:val="00222540"/>
    <w:pPr>
      <w:tabs>
        <w:tab w:val="right" w:pos="4176"/>
      </w:tabs>
      <w:ind w:left="568" w:hanging="284"/>
    </w:pPr>
    <w:rPr>
      <w:rFonts w:ascii="Garamond" w:hAnsi="Garamond"/>
    </w:rPr>
  </w:style>
  <w:style w:type="paragraph" w:customStyle="1" w:styleId="Byline">
    <w:name w:val="Byline"/>
    <w:rsid w:val="00222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540"/>
    <w:pPr>
      <w:tabs>
        <w:tab w:val="clear" w:pos="3600"/>
        <w:tab w:val="clear" w:pos="3958"/>
      </w:tabs>
      <w:jc w:val="right"/>
    </w:pPr>
  </w:style>
  <w:style w:type="character" w:styleId="Emphasis">
    <w:name w:val="Emphasis"/>
    <w:qFormat/>
    <w:rsid w:val="00222540"/>
    <w:rPr>
      <w:i/>
    </w:rPr>
  </w:style>
  <w:style w:type="paragraph" w:styleId="Caption">
    <w:name w:val="caption"/>
    <w:basedOn w:val="BodyText"/>
    <w:next w:val="Normal"/>
    <w:qFormat/>
    <w:rsid w:val="00222540"/>
    <w:pPr>
      <w:framePr w:w="2268" w:hSpace="181" w:vSpace="181" w:wrap="around" w:vAnchor="text" w:hAnchor="page" w:x="1135" w:y="285" w:anchorLock="1"/>
    </w:pPr>
    <w:rPr>
      <w:i/>
    </w:rPr>
  </w:style>
  <w:style w:type="paragraph" w:customStyle="1" w:styleId="MiniTOCTitle">
    <w:name w:val="MiniTOCTitle"/>
    <w:basedOn w:val="Heading4"/>
    <w:rsid w:val="00222540"/>
    <w:pPr>
      <w:spacing w:before="240"/>
      <w:outlineLvl w:val="9"/>
    </w:pPr>
    <w:rPr>
      <w:noProof/>
      <w:sz w:val="24"/>
    </w:rPr>
  </w:style>
  <w:style w:type="paragraph" w:customStyle="1" w:styleId="MiniTOCItem">
    <w:name w:val="MiniTOCItem"/>
    <w:basedOn w:val="ListBullet"/>
    <w:rsid w:val="00222540"/>
    <w:pPr>
      <w:numPr>
        <w:numId w:val="0"/>
      </w:numPr>
      <w:tabs>
        <w:tab w:val="right" w:leader="dot" w:pos="6521"/>
      </w:tabs>
      <w:spacing w:before="0" w:after="0"/>
    </w:pPr>
  </w:style>
  <w:style w:type="paragraph" w:customStyle="1" w:styleId="TOFTitle">
    <w:name w:val="TOFTitle"/>
    <w:basedOn w:val="TOCTitle"/>
    <w:rsid w:val="00222540"/>
  </w:style>
  <w:style w:type="paragraph" w:styleId="TableofFigures">
    <w:name w:val="table of figures"/>
    <w:basedOn w:val="Normal"/>
    <w:next w:val="Normal"/>
    <w:semiHidden/>
    <w:rsid w:val="00222540"/>
    <w:pPr>
      <w:tabs>
        <w:tab w:val="right" w:leader="dot" w:pos="9072"/>
      </w:tabs>
      <w:ind w:left="970" w:hanging="403"/>
    </w:pPr>
    <w:rPr>
      <w:rFonts w:ascii="Times New Roman" w:hAnsi="Times New Roman"/>
      <w:b/>
    </w:rPr>
  </w:style>
  <w:style w:type="paragraph" w:styleId="ListNumber">
    <w:name w:val="List Number"/>
    <w:basedOn w:val="List"/>
    <w:rsid w:val="00222540"/>
    <w:pPr>
      <w:numPr>
        <w:numId w:val="11"/>
      </w:numPr>
    </w:pPr>
  </w:style>
  <w:style w:type="character" w:customStyle="1" w:styleId="WingdingSymbols">
    <w:name w:val="Wingding Symbols"/>
    <w:rsid w:val="00222540"/>
    <w:rPr>
      <w:rFonts w:ascii="Wingdings" w:hAnsi="Wingdings"/>
    </w:rPr>
  </w:style>
  <w:style w:type="paragraph" w:customStyle="1" w:styleId="TableHeading">
    <w:name w:val="Table Heading"/>
    <w:basedOn w:val="HeadingBase"/>
    <w:rsid w:val="00222540"/>
    <w:pPr>
      <w:keepLines/>
      <w:pBdr>
        <w:bottom w:val="single" w:sz="6" w:space="1" w:color="918585"/>
      </w:pBdr>
      <w:spacing w:before="240"/>
    </w:pPr>
  </w:style>
  <w:style w:type="character" w:customStyle="1" w:styleId="HotSpot">
    <w:name w:val="HotSpot"/>
    <w:rsid w:val="00222540"/>
    <w:rPr>
      <w:color w:val="0033CC"/>
      <w:u w:val="none"/>
    </w:rPr>
  </w:style>
  <w:style w:type="paragraph" w:customStyle="1" w:styleId="BodyTextRight">
    <w:name w:val="Body Text Right"/>
    <w:basedOn w:val="BodyText"/>
    <w:rsid w:val="00222540"/>
    <w:pPr>
      <w:spacing w:before="0" w:after="0"/>
      <w:jc w:val="right"/>
    </w:pPr>
  </w:style>
  <w:style w:type="paragraph" w:styleId="Index3">
    <w:name w:val="index 3"/>
    <w:basedOn w:val="ListNumber2"/>
    <w:next w:val="Normal"/>
    <w:semiHidden/>
    <w:rsid w:val="00222540"/>
    <w:pPr>
      <w:numPr>
        <w:numId w:val="0"/>
      </w:numPr>
      <w:tabs>
        <w:tab w:val="right" w:leader="dot" w:pos="4176"/>
      </w:tabs>
    </w:pPr>
  </w:style>
  <w:style w:type="paragraph" w:styleId="ListNumber2">
    <w:name w:val="List Number 2"/>
    <w:basedOn w:val="List2"/>
    <w:rsid w:val="00222540"/>
    <w:pPr>
      <w:numPr>
        <w:numId w:val="10"/>
      </w:numPr>
      <w:tabs>
        <w:tab w:val="clear" w:pos="1060"/>
      </w:tabs>
    </w:pPr>
  </w:style>
  <w:style w:type="paragraph" w:customStyle="1" w:styleId="MarginNote">
    <w:name w:val="Margin Note"/>
    <w:basedOn w:val="BodyText"/>
    <w:rsid w:val="00222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225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2540"/>
    <w:rPr>
      <w:sz w:val="32"/>
    </w:rPr>
  </w:style>
  <w:style w:type="paragraph" w:customStyle="1" w:styleId="HeadingProcedure">
    <w:name w:val="Heading Procedure"/>
    <w:basedOn w:val="HeadingBase"/>
    <w:next w:val="Normal"/>
    <w:rsid w:val="00222540"/>
    <w:pPr>
      <w:tabs>
        <w:tab w:val="left" w:pos="0"/>
      </w:tabs>
      <w:spacing w:before="120" w:after="60"/>
    </w:pPr>
    <w:rPr>
      <w:i/>
      <w:color w:val="918585"/>
      <w:sz w:val="22"/>
    </w:rPr>
  </w:style>
  <w:style w:type="paragraph" w:customStyle="1" w:styleId="TableBodyText">
    <w:name w:val="Table Body Text"/>
    <w:basedOn w:val="BodyText"/>
    <w:rsid w:val="00222540"/>
    <w:pPr>
      <w:spacing w:before="60" w:after="60"/>
    </w:pPr>
  </w:style>
  <w:style w:type="paragraph" w:styleId="ListContinue">
    <w:name w:val="List Continue"/>
    <w:basedOn w:val="List"/>
    <w:rsid w:val="00222540"/>
    <w:pPr>
      <w:ind w:firstLine="0"/>
    </w:pPr>
  </w:style>
  <w:style w:type="paragraph" w:customStyle="1" w:styleId="ListNote">
    <w:name w:val="List Note"/>
    <w:basedOn w:val="List"/>
    <w:rsid w:val="00222540"/>
    <w:pPr>
      <w:pBdr>
        <w:top w:val="single" w:sz="6" w:space="2" w:color="918585"/>
        <w:bottom w:val="single" w:sz="6" w:space="2" w:color="918585"/>
      </w:pBdr>
      <w:tabs>
        <w:tab w:val="left" w:pos="1021"/>
      </w:tabs>
      <w:ind w:firstLine="0"/>
    </w:pPr>
  </w:style>
  <w:style w:type="paragraph" w:customStyle="1" w:styleId="Warning">
    <w:name w:val="Warning"/>
    <w:basedOn w:val="BodyText"/>
    <w:rsid w:val="00222540"/>
    <w:pPr>
      <w:shd w:val="clear" w:color="auto" w:fill="D9D9D9"/>
      <w:tabs>
        <w:tab w:val="left" w:pos="992"/>
      </w:tabs>
      <w:ind w:left="119" w:right="119"/>
    </w:pPr>
    <w:rPr>
      <w:sz w:val="20"/>
    </w:rPr>
  </w:style>
  <w:style w:type="paragraph" w:customStyle="1" w:styleId="MarginIcons">
    <w:name w:val="Margin Icons"/>
    <w:basedOn w:val="BodyText"/>
    <w:rsid w:val="0022254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22540"/>
    <w:rPr>
      <w:rFonts w:ascii="Courier New" w:hAnsi="Courier New"/>
    </w:rPr>
  </w:style>
  <w:style w:type="paragraph" w:customStyle="1" w:styleId="NoteBullet">
    <w:name w:val="Note Bullet"/>
    <w:basedOn w:val="Note"/>
    <w:rsid w:val="00222540"/>
    <w:pPr>
      <w:tabs>
        <w:tab w:val="clear" w:pos="680"/>
      </w:tabs>
      <w:spacing w:before="60" w:after="60"/>
    </w:pPr>
  </w:style>
  <w:style w:type="paragraph" w:customStyle="1" w:styleId="SubHeading2">
    <w:name w:val="SubHeading2"/>
    <w:basedOn w:val="HeadingBase"/>
    <w:rsid w:val="00222540"/>
    <w:pPr>
      <w:spacing w:before="240" w:after="60"/>
    </w:pPr>
    <w:rPr>
      <w:sz w:val="20"/>
    </w:rPr>
  </w:style>
  <w:style w:type="paragraph" w:customStyle="1" w:styleId="SubHeading1">
    <w:name w:val="SubHeading1"/>
    <w:basedOn w:val="HeadingBase"/>
    <w:rsid w:val="00222540"/>
    <w:pPr>
      <w:spacing w:before="240" w:after="60"/>
    </w:pPr>
    <w:rPr>
      <w:color w:val="918585"/>
      <w:sz w:val="22"/>
    </w:rPr>
  </w:style>
  <w:style w:type="paragraph" w:customStyle="1" w:styleId="SideHeading">
    <w:name w:val="Side Heading"/>
    <w:basedOn w:val="HeadingBase"/>
    <w:rsid w:val="00222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540"/>
    <w:pPr>
      <w:numPr>
        <w:numId w:val="12"/>
      </w:numPr>
    </w:pPr>
  </w:style>
  <w:style w:type="paragraph" w:styleId="PlainText">
    <w:name w:val="Plain Text"/>
    <w:basedOn w:val="Normal"/>
    <w:link w:val="PlainTextChar"/>
    <w:rsid w:val="00222540"/>
    <w:rPr>
      <w:sz w:val="20"/>
    </w:rPr>
  </w:style>
  <w:style w:type="character" w:customStyle="1" w:styleId="PlainTextChar">
    <w:name w:val="Plain Text Char"/>
    <w:basedOn w:val="DefaultParagraphFont"/>
    <w:link w:val="PlainText"/>
    <w:rsid w:val="00222540"/>
    <w:rPr>
      <w:rFonts w:ascii="Courier New" w:eastAsia="Times New Roman" w:hAnsi="Courier New" w:cs="Times New Roman"/>
      <w:sz w:val="20"/>
      <w:szCs w:val="20"/>
      <w:lang w:val="en-US" w:eastAsia="en-US"/>
    </w:rPr>
  </w:style>
  <w:style w:type="character" w:customStyle="1" w:styleId="MenuOption">
    <w:name w:val="Menu Option"/>
    <w:rsid w:val="00222540"/>
    <w:rPr>
      <w:b/>
      <w:smallCaps/>
    </w:rPr>
  </w:style>
  <w:style w:type="paragraph" w:customStyle="1" w:styleId="TableListNumber">
    <w:name w:val="Table List Number"/>
    <w:basedOn w:val="ListNumber"/>
    <w:rsid w:val="00222540"/>
    <w:pPr>
      <w:numPr>
        <w:numId w:val="0"/>
      </w:numPr>
    </w:pPr>
  </w:style>
  <w:style w:type="paragraph" w:styleId="TOC4">
    <w:name w:val="toc 4"/>
    <w:basedOn w:val="TOCBase"/>
    <w:next w:val="Normal"/>
    <w:semiHidden/>
    <w:rsid w:val="00222540"/>
    <w:pPr>
      <w:tabs>
        <w:tab w:val="right" w:leader="dot" w:pos="9071"/>
      </w:tabs>
      <w:ind w:left="1701"/>
    </w:pPr>
  </w:style>
  <w:style w:type="paragraph" w:customStyle="1" w:styleId="ListAlpha">
    <w:name w:val="List Alpha"/>
    <w:basedOn w:val="List"/>
    <w:rsid w:val="00222540"/>
    <w:pPr>
      <w:numPr>
        <w:numId w:val="9"/>
      </w:numPr>
    </w:pPr>
  </w:style>
  <w:style w:type="paragraph" w:customStyle="1" w:styleId="ListAlpha2">
    <w:name w:val="List Alpha 2"/>
    <w:basedOn w:val="List2"/>
    <w:rsid w:val="00222540"/>
    <w:pPr>
      <w:numPr>
        <w:numId w:val="8"/>
      </w:numPr>
    </w:pPr>
  </w:style>
  <w:style w:type="paragraph" w:styleId="List3">
    <w:name w:val="List 3"/>
    <w:basedOn w:val="BodyText"/>
    <w:rsid w:val="00222540"/>
    <w:pPr>
      <w:tabs>
        <w:tab w:val="left" w:pos="1021"/>
      </w:tabs>
      <w:spacing w:before="60" w:after="60"/>
      <w:ind w:left="1020" w:hanging="340"/>
    </w:pPr>
  </w:style>
  <w:style w:type="paragraph" w:styleId="List4">
    <w:name w:val="List 4"/>
    <w:basedOn w:val="BodyText"/>
    <w:rsid w:val="00222540"/>
    <w:pPr>
      <w:tabs>
        <w:tab w:val="left" w:pos="1361"/>
      </w:tabs>
      <w:spacing w:before="60" w:after="60"/>
      <w:ind w:left="1361" w:hanging="340"/>
    </w:pPr>
  </w:style>
  <w:style w:type="paragraph" w:styleId="List5">
    <w:name w:val="List 5"/>
    <w:basedOn w:val="BodyText"/>
    <w:rsid w:val="00222540"/>
    <w:pPr>
      <w:tabs>
        <w:tab w:val="left" w:pos="1701"/>
      </w:tabs>
      <w:spacing w:before="60" w:after="60"/>
      <w:ind w:left="1701" w:hanging="340"/>
    </w:pPr>
  </w:style>
  <w:style w:type="paragraph" w:styleId="ListBullet3">
    <w:name w:val="List Bullet 3"/>
    <w:basedOn w:val="List3"/>
    <w:rsid w:val="00222540"/>
    <w:pPr>
      <w:numPr>
        <w:numId w:val="15"/>
      </w:numPr>
      <w:tabs>
        <w:tab w:val="clear" w:pos="1021"/>
      </w:tabs>
      <w:ind w:left="1037" w:hanging="357"/>
    </w:pPr>
  </w:style>
  <w:style w:type="paragraph" w:styleId="ListBullet4">
    <w:name w:val="List Bullet 4"/>
    <w:basedOn w:val="List4"/>
    <w:rsid w:val="00222540"/>
    <w:pPr>
      <w:numPr>
        <w:numId w:val="3"/>
      </w:numPr>
    </w:pPr>
  </w:style>
  <w:style w:type="paragraph" w:styleId="ListBullet5">
    <w:name w:val="List Bullet 5"/>
    <w:basedOn w:val="List5"/>
    <w:rsid w:val="00222540"/>
    <w:pPr>
      <w:numPr>
        <w:numId w:val="4"/>
      </w:numPr>
    </w:pPr>
  </w:style>
  <w:style w:type="paragraph" w:styleId="ListContinue2">
    <w:name w:val="List Continue 2"/>
    <w:basedOn w:val="List2"/>
    <w:rsid w:val="00222540"/>
    <w:pPr>
      <w:ind w:firstLine="0"/>
    </w:pPr>
  </w:style>
  <w:style w:type="paragraph" w:styleId="ListContinue3">
    <w:name w:val="List Continue 3"/>
    <w:basedOn w:val="List3"/>
    <w:rsid w:val="00222540"/>
    <w:pPr>
      <w:ind w:left="1021" w:firstLine="0"/>
    </w:pPr>
  </w:style>
  <w:style w:type="paragraph" w:styleId="ListContinue4">
    <w:name w:val="List Continue 4"/>
    <w:basedOn w:val="List4"/>
    <w:rsid w:val="00222540"/>
    <w:pPr>
      <w:ind w:firstLine="0"/>
    </w:pPr>
  </w:style>
  <w:style w:type="paragraph" w:styleId="ListContinue5">
    <w:name w:val="List Continue 5"/>
    <w:basedOn w:val="List5"/>
    <w:rsid w:val="00222540"/>
    <w:pPr>
      <w:ind w:firstLine="0"/>
    </w:pPr>
  </w:style>
  <w:style w:type="paragraph" w:styleId="ListNumber3">
    <w:name w:val="List Number 3"/>
    <w:basedOn w:val="List3"/>
    <w:rsid w:val="00222540"/>
    <w:pPr>
      <w:numPr>
        <w:numId w:val="5"/>
      </w:numPr>
    </w:pPr>
  </w:style>
  <w:style w:type="paragraph" w:styleId="ListNumber4">
    <w:name w:val="List Number 4"/>
    <w:basedOn w:val="List4"/>
    <w:rsid w:val="00222540"/>
    <w:pPr>
      <w:numPr>
        <w:numId w:val="6"/>
      </w:numPr>
    </w:pPr>
  </w:style>
  <w:style w:type="paragraph" w:styleId="ListNumber5">
    <w:name w:val="List Number 5"/>
    <w:basedOn w:val="List5"/>
    <w:rsid w:val="00222540"/>
    <w:pPr>
      <w:numPr>
        <w:numId w:val="7"/>
      </w:numPr>
    </w:pPr>
  </w:style>
  <w:style w:type="paragraph" w:styleId="BlockText">
    <w:name w:val="Block Text"/>
    <w:basedOn w:val="Normal"/>
    <w:rsid w:val="00222540"/>
    <w:pPr>
      <w:spacing w:after="120"/>
      <w:ind w:left="1440" w:right="1440"/>
    </w:pPr>
  </w:style>
  <w:style w:type="character" w:customStyle="1" w:styleId="Subscript">
    <w:name w:val="Subscript"/>
    <w:rsid w:val="00222540"/>
    <w:rPr>
      <w:sz w:val="16"/>
      <w:vertAlign w:val="subscript"/>
    </w:rPr>
  </w:style>
  <w:style w:type="character" w:customStyle="1" w:styleId="Superscript">
    <w:name w:val="Superscript"/>
    <w:rsid w:val="00222540"/>
    <w:rPr>
      <w:sz w:val="16"/>
      <w:vertAlign w:val="superscript"/>
    </w:rPr>
  </w:style>
  <w:style w:type="character" w:customStyle="1" w:styleId="Symbols">
    <w:name w:val="Symbols"/>
    <w:rsid w:val="00222540"/>
    <w:rPr>
      <w:rFonts w:ascii="Symbol" w:hAnsi="Symbol"/>
    </w:rPr>
  </w:style>
  <w:style w:type="character" w:customStyle="1" w:styleId="MenuOptions">
    <w:name w:val="Menu Options"/>
    <w:rsid w:val="00222540"/>
    <w:rPr>
      <w:rFonts w:ascii="Arial Narrow" w:hAnsi="Arial Narrow"/>
      <w:smallCaps/>
    </w:rPr>
  </w:style>
  <w:style w:type="character" w:customStyle="1" w:styleId="Buttons">
    <w:name w:val="Buttons"/>
    <w:rsid w:val="00222540"/>
    <w:rPr>
      <w:b/>
    </w:rPr>
  </w:style>
  <w:style w:type="character" w:customStyle="1" w:styleId="Underlined">
    <w:name w:val="Underlined"/>
    <w:rsid w:val="00222540"/>
    <w:rPr>
      <w:u w:val="single"/>
    </w:rPr>
  </w:style>
  <w:style w:type="paragraph" w:customStyle="1" w:styleId="TableBodyTextRight">
    <w:name w:val="Table Body Text Right"/>
    <w:basedOn w:val="TableBodyText"/>
    <w:rsid w:val="00222540"/>
    <w:pPr>
      <w:widowControl w:val="0"/>
      <w:autoSpaceDE w:val="0"/>
      <w:autoSpaceDN w:val="0"/>
      <w:adjustRightInd w:val="0"/>
      <w:jc w:val="right"/>
    </w:pPr>
    <w:rPr>
      <w:rFonts w:cs="Arial"/>
      <w:szCs w:val="18"/>
    </w:rPr>
  </w:style>
  <w:style w:type="paragraph" w:customStyle="1" w:styleId="CopyrightText">
    <w:name w:val="Copyright Text"/>
    <w:basedOn w:val="BodyText"/>
    <w:rsid w:val="00222540"/>
    <w:rPr>
      <w:sz w:val="18"/>
    </w:rPr>
  </w:style>
  <w:style w:type="paragraph" w:customStyle="1" w:styleId="BodySmallRight">
    <w:name w:val="Body Small Right"/>
    <w:basedOn w:val="BodyTextRight"/>
    <w:rsid w:val="00222540"/>
    <w:rPr>
      <w:sz w:val="18"/>
      <w:szCs w:val="18"/>
    </w:rPr>
  </w:style>
  <w:style w:type="paragraph" w:customStyle="1" w:styleId="MarginEdition">
    <w:name w:val="Margin Edition"/>
    <w:basedOn w:val="MarginNote"/>
    <w:rsid w:val="00222540"/>
    <w:pPr>
      <w:spacing w:before="0" w:after="0"/>
    </w:pPr>
    <w:rPr>
      <w:rFonts w:ascii="Times New Roman" w:hAnsi="Times New Roman"/>
      <w:color w:val="999999"/>
    </w:rPr>
  </w:style>
  <w:style w:type="paragraph" w:customStyle="1" w:styleId="Spacer">
    <w:name w:val="Spacer"/>
    <w:basedOn w:val="Normal"/>
    <w:rsid w:val="00222540"/>
    <w:rPr>
      <w:sz w:val="2"/>
      <w:szCs w:val="2"/>
    </w:rPr>
  </w:style>
  <w:style w:type="character" w:customStyle="1" w:styleId="Small">
    <w:name w:val="Small"/>
    <w:rsid w:val="00222540"/>
    <w:rPr>
      <w:sz w:val="16"/>
    </w:rPr>
  </w:style>
  <w:style w:type="paragraph" w:customStyle="1" w:styleId="WideTable">
    <w:name w:val="Wide Table"/>
    <w:basedOn w:val="Normal"/>
    <w:rsid w:val="00222540"/>
    <w:pPr>
      <w:ind w:left="-1418"/>
    </w:pPr>
    <w:rPr>
      <w:sz w:val="2"/>
      <w:szCs w:val="2"/>
    </w:rPr>
  </w:style>
  <w:style w:type="character" w:styleId="PageNumber">
    <w:name w:val="page number"/>
    <w:rsid w:val="00222540"/>
  </w:style>
  <w:style w:type="paragraph" w:styleId="Quote">
    <w:name w:val="Quote"/>
    <w:basedOn w:val="Heading1"/>
    <w:link w:val="QuoteChar"/>
    <w:qFormat/>
    <w:rsid w:val="00222540"/>
    <w:rPr>
      <w:b w:val="0"/>
      <w:sz w:val="72"/>
      <w:szCs w:val="72"/>
      <w:lang w:val="en-NZ"/>
    </w:rPr>
  </w:style>
  <w:style w:type="character" w:customStyle="1" w:styleId="QuoteChar">
    <w:name w:val="Quote Char"/>
    <w:link w:val="Quote"/>
    <w:rsid w:val="00222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540"/>
    <w:pPr>
      <w:pageBreakBefore/>
    </w:pPr>
  </w:style>
  <w:style w:type="paragraph" w:customStyle="1" w:styleId="Border">
    <w:name w:val="Border"/>
    <w:basedOn w:val="Normal"/>
    <w:qFormat/>
    <w:rsid w:val="00222540"/>
    <w:pPr>
      <w:pBdr>
        <w:top w:val="single" w:sz="18" w:space="1" w:color="auto"/>
      </w:pBdr>
    </w:pPr>
    <w:rPr>
      <w:rFonts w:ascii="Times New Roman" w:hAnsi="Times New Roman"/>
      <w:color w:val="FFFFFF"/>
      <w:sz w:val="2"/>
    </w:rPr>
  </w:style>
  <w:style w:type="character" w:styleId="IntenseEmphasis">
    <w:name w:val="Intense Emphasis"/>
    <w:uiPriority w:val="21"/>
    <w:qFormat/>
    <w:rsid w:val="00222540"/>
    <w:rPr>
      <w:b/>
      <w:bCs/>
      <w:i/>
      <w:iCs/>
      <w:color w:val="auto"/>
    </w:rPr>
  </w:style>
  <w:style w:type="paragraph" w:styleId="IntenseQuote">
    <w:name w:val="Intense Quote"/>
    <w:basedOn w:val="Normal"/>
    <w:next w:val="Normal"/>
    <w:link w:val="IntenseQuoteChar"/>
    <w:uiPriority w:val="30"/>
    <w:qFormat/>
    <w:rsid w:val="0022254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22540"/>
    <w:rPr>
      <w:rFonts w:ascii="Courier New" w:eastAsia="Times New Roman" w:hAnsi="Courier New" w:cs="Times New Roman"/>
      <w:b/>
      <w:bCs/>
      <w:i/>
      <w:iCs/>
      <w:szCs w:val="20"/>
      <w:lang w:val="en-US" w:eastAsia="en-US"/>
    </w:rPr>
  </w:style>
  <w:style w:type="character" w:styleId="SubtleReference">
    <w:name w:val="Subtle Reference"/>
    <w:uiPriority w:val="31"/>
    <w:qFormat/>
    <w:rsid w:val="00222540"/>
    <w:rPr>
      <w:smallCaps/>
      <w:color w:val="auto"/>
      <w:u w:val="single"/>
    </w:rPr>
  </w:style>
  <w:style w:type="character" w:styleId="IntenseReference">
    <w:name w:val="Intense Reference"/>
    <w:uiPriority w:val="32"/>
    <w:qFormat/>
    <w:rsid w:val="00222540"/>
    <w:rPr>
      <w:b/>
      <w:bCs/>
      <w:smallCaps/>
      <w:color w:val="auto"/>
      <w:spacing w:val="5"/>
      <w:u w:val="single"/>
    </w:rPr>
  </w:style>
  <w:style w:type="paragraph" w:customStyle="1" w:styleId="2ColumnHeading">
    <w:name w:val="2Column Heading"/>
    <w:basedOn w:val="BodyText"/>
    <w:qFormat/>
    <w:rsid w:val="00222540"/>
    <w:pPr>
      <w:spacing w:after="60"/>
      <w:ind w:left="-2268"/>
    </w:pPr>
    <w:rPr>
      <w:b/>
    </w:rPr>
  </w:style>
  <w:style w:type="paragraph" w:customStyle="1" w:styleId="Heading1TOC">
    <w:name w:val="Heading1 TOC"/>
    <w:basedOn w:val="Normal"/>
    <w:qFormat/>
    <w:rsid w:val="00222540"/>
    <w:pPr>
      <w:spacing w:before="240" w:after="120"/>
    </w:pPr>
    <w:rPr>
      <w:rFonts w:ascii="Times New Roman" w:hAnsi="Times New Roman"/>
      <w:b/>
      <w:sz w:val="32"/>
    </w:rPr>
  </w:style>
  <w:style w:type="paragraph" w:customStyle="1" w:styleId="Heading2TOC">
    <w:name w:val="Heading2 TOC"/>
    <w:basedOn w:val="Normal"/>
    <w:qFormat/>
    <w:rsid w:val="00222540"/>
    <w:pPr>
      <w:spacing w:before="240" w:after="60"/>
    </w:pPr>
    <w:rPr>
      <w:rFonts w:ascii="Times New Roman" w:hAnsi="Times New Roman"/>
      <w:b/>
      <w:sz w:val="28"/>
    </w:rPr>
  </w:style>
  <w:style w:type="character" w:customStyle="1" w:styleId="Underline">
    <w:name w:val="Underline"/>
    <w:qFormat/>
    <w:rsid w:val="00222540"/>
    <w:rPr>
      <w:u w:val="single"/>
    </w:rPr>
  </w:style>
  <w:style w:type="paragraph" w:styleId="BalloonText">
    <w:name w:val="Balloon Text"/>
    <w:basedOn w:val="Normal"/>
    <w:link w:val="BalloonTextChar"/>
    <w:rsid w:val="00222540"/>
    <w:rPr>
      <w:rFonts w:ascii="Tahoma" w:hAnsi="Tahoma" w:cs="Tahoma"/>
      <w:sz w:val="16"/>
      <w:szCs w:val="16"/>
    </w:rPr>
  </w:style>
  <w:style w:type="character" w:customStyle="1" w:styleId="BalloonTextChar">
    <w:name w:val="Balloon Text Char"/>
    <w:link w:val="BalloonText"/>
    <w:rsid w:val="002225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254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2254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1404</Words>
  <Characters>9265</Characters>
  <Application>Microsoft Office Word</Application>
  <DocSecurity>0</DocSecurity>
  <Lines>340</Lines>
  <Paragraphs>175</Paragraphs>
  <ScaleCrop>false</ScaleCrop>
  <Company>Author-it Software Corporation Ltd.</Company>
  <LinksUpToDate>false</LinksUpToDate>
  <CharactersWithSpaces>10609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SFICOMP411A Implement aquaculture compliance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2012-05-26T08:34:00Z</dcterms:created>
  <dcterms:modified xsi:type="dcterms:W3CDTF">2012-05-26T08:34:00Z</dcterms:modified>
</cp:coreProperties>
</file>