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E67" w:rsidP="00C96E67">
      <w:pPr>
        <w:pStyle w:val="Title"/>
      </w:pPr>
      <w:r>
        <w:fldChar w:fldCharType="begin"/>
      </w:r>
      <w:r>
        <w:instrText xml:space="preserve"> TITLE   \* MERGEFORMAT </w:instrText>
      </w:r>
      <w:r>
        <w:fldChar w:fldCharType="separate"/>
      </w:r>
      <w:r>
        <w:t>SFICOMP315A Support the judicial process</w:t>
      </w:r>
      <w:r>
        <w:fldChar w:fldCharType="end"/>
      </w:r>
    </w:p>
    <w:p w:rsidR="00C96E67" w:rsidP="00C96E67">
      <w:pPr>
        <w:pStyle w:val="Version"/>
        <w:sectPr w:rsidSect="005678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8EF" w:rsidP="005678EF">
      <w:pPr>
        <w:pStyle w:val="SuperHeading"/>
      </w:pPr>
      <w:r w:rsidRPr="005678EF">
        <w:t>SFICOMP315A Support the judicial process</w:t>
      </w:r>
    </w:p>
    <w:p w:rsidR="00000000" w:rsidRPr="005678EF" w:rsidP="005678EF">
      <w:pPr>
        <w:pStyle w:val="Heading1"/>
      </w:pPr>
      <w:bookmarkStart w:id="1" w:name="O_273198"/>
      <w:bookmarkEnd w:id="1"/>
      <w:r w:rsidRPr="005678EF">
        <w:t>Modification History</w:t>
      </w:r>
    </w:p>
    <w:p w:rsidR="00000000" w:rsidRPr="005678EF" w:rsidP="005678EF">
      <w:pPr>
        <w:pStyle w:val="BodyText"/>
      </w:pPr>
      <w:r w:rsidRPr="005678EF">
        <w:t>Not Applicable</w:t>
      </w:r>
    </w:p>
    <w:p w:rsidR="00000000" w:rsidRPr="005678EF" w:rsidP="005678EF">
      <w:pPr>
        <w:pStyle w:val="AllowPageBreak"/>
      </w:pPr>
    </w:p>
    <w:p w:rsidR="00000000" w:rsidRPr="005678EF" w:rsidP="005678EF">
      <w:pPr>
        <w:pStyle w:val="Heading1"/>
      </w:pPr>
      <w:bookmarkStart w:id="2" w:name="O_217877"/>
      <w:bookmarkEnd w:id="2"/>
      <w:r w:rsidRPr="005678EF">
        <w:t>Unit Descriptor</w:t>
      </w:r>
    </w:p>
    <w:tbl>
      <w:tblPr>
        <w:tblW w:w="0" w:type="auto"/>
        <w:tblLayout w:type="fixed"/>
        <w:tblCellMar>
          <w:left w:w="62" w:type="dxa"/>
          <w:right w:w="62" w:type="dxa"/>
        </w:tblCellMar>
        <w:tblLook w:val="0000"/>
      </w:tblPr>
      <w:tblGrid>
        <w:gridCol w:w="2659"/>
        <w:gridCol w:w="5863"/>
      </w:tblGrid>
      <w:tr w:rsidTr="00C96E67">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r w:rsidRPr="005678EF">
              <w:t>This unit of competency involves preparing and managing evidence, witnesses and offenders for the relevant jud</w:t>
            </w:r>
            <w:r w:rsidRPr="005678EF">
              <w:t>icial authority, including presenting evidence and following up on the outcomes of proceedings.</w:t>
            </w:r>
          </w:p>
          <w:p w:rsidR="00000000" w:rsidRPr="005678EF" w:rsidP="005678EF">
            <w:pPr>
              <w:pStyle w:val="BodyText"/>
            </w:pPr>
            <w:r w:rsidRPr="005678EF">
              <w:t>Licensing, legislative, regulatory or certification requirements may apply to this unit. Therefore it will be necessary to check with the relevant state or terr</w:t>
            </w:r>
            <w:r w:rsidRPr="005678EF">
              <w:t>itory regulators for current licensing, legislative or regulatory requirements before undertaking this unit.</w:t>
            </w:r>
          </w:p>
        </w:tc>
      </w:tr>
    </w:tbl>
    <w:p w:rsidR="00C96E67" w:rsidP="005678EF">
      <w:pPr>
        <w:pStyle w:val="BodyText"/>
      </w:pPr>
    </w:p>
    <w:p w:rsidR="00C96E67" w:rsidP="005678EF">
      <w:pPr>
        <w:pStyle w:val="BodyText"/>
      </w:pPr>
    </w:p>
    <w:p w:rsidR="00000000" w:rsidRPr="005678EF" w:rsidP="005678EF">
      <w:pPr>
        <w:pStyle w:val="Heading1"/>
      </w:pPr>
      <w:bookmarkStart w:id="3" w:name="O_217881"/>
      <w:bookmarkEnd w:id="3"/>
      <w:r w:rsidRPr="005678EF">
        <w:t>Application of the Unit</w:t>
      </w:r>
    </w:p>
    <w:tbl>
      <w:tblPr>
        <w:tblW w:w="0" w:type="auto"/>
        <w:tblLayout w:type="fixed"/>
        <w:tblCellMar>
          <w:left w:w="62" w:type="dxa"/>
          <w:right w:w="62" w:type="dxa"/>
        </w:tblCellMar>
        <w:tblLook w:val="0000"/>
      </w:tblPr>
      <w:tblGrid>
        <w:gridCol w:w="2764"/>
        <w:gridCol w:w="5758"/>
      </w:tblGrid>
      <w:tr w:rsidTr="00C96E6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p>
        </w:tc>
      </w:tr>
    </w:tbl>
    <w:p w:rsidR="00C96E67" w:rsidP="005678EF">
      <w:pPr>
        <w:pStyle w:val="BodyText"/>
      </w:pPr>
    </w:p>
    <w:p w:rsidR="00C96E67" w:rsidP="005678EF">
      <w:pPr>
        <w:pStyle w:val="BodyText"/>
      </w:pPr>
    </w:p>
    <w:p w:rsidR="00000000" w:rsidRPr="005678EF" w:rsidP="005678EF">
      <w:pPr>
        <w:pStyle w:val="Heading1"/>
      </w:pPr>
      <w:bookmarkStart w:id="4" w:name="O_281458"/>
      <w:bookmarkEnd w:id="4"/>
      <w:r w:rsidRPr="005678EF">
        <w:t>Licensing/Regulatory Information</w:t>
      </w:r>
    </w:p>
    <w:p w:rsidR="00000000" w:rsidRPr="005678EF" w:rsidP="005678EF">
      <w:pPr>
        <w:pStyle w:val="BodyText"/>
      </w:pPr>
      <w:r w:rsidRPr="005678EF">
        <w:t>Refer to Unit Descriptor</w:t>
      </w:r>
    </w:p>
    <w:p w:rsidR="00000000" w:rsidRPr="005678EF" w:rsidP="005678EF">
      <w:pPr>
        <w:pStyle w:val="AllowPageBreak"/>
      </w:pPr>
    </w:p>
    <w:p w:rsidR="00000000" w:rsidRPr="005678EF" w:rsidP="005678EF">
      <w:pPr>
        <w:pStyle w:val="Heading1"/>
      </w:pPr>
      <w:bookmarkStart w:id="5" w:name="O_217879"/>
      <w:bookmarkEnd w:id="5"/>
      <w:r w:rsidRPr="005678EF">
        <w:t>Pre-Requisites</w:t>
      </w:r>
    </w:p>
    <w:tbl>
      <w:tblPr>
        <w:tblW w:w="0" w:type="auto"/>
        <w:tblLayout w:type="fixed"/>
        <w:tblCellMar>
          <w:left w:w="62" w:type="dxa"/>
          <w:right w:w="62" w:type="dxa"/>
        </w:tblCellMar>
        <w:tblLook w:val="0000"/>
      </w:tblPr>
      <w:tblGrid>
        <w:gridCol w:w="2775"/>
        <w:gridCol w:w="1295"/>
        <w:gridCol w:w="4452"/>
      </w:tblGrid>
      <w:tr w:rsidTr="00C96E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p>
        </w:tc>
      </w:tr>
      <w:tr w:rsidTr="00C96E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p>
        </w:tc>
      </w:tr>
      <w:tr w:rsidTr="00C96E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p>
        </w:tc>
      </w:tr>
    </w:tbl>
    <w:p w:rsidR="00C96E67" w:rsidP="005678EF">
      <w:pPr>
        <w:pStyle w:val="BodyText"/>
      </w:pPr>
    </w:p>
    <w:p w:rsidR="00C96E67" w:rsidP="005678EF">
      <w:pPr>
        <w:pStyle w:val="BodyText"/>
      </w:pPr>
    </w:p>
    <w:p w:rsidR="00000000" w:rsidRPr="005678EF" w:rsidP="005678EF">
      <w:pPr>
        <w:pStyle w:val="Heading1"/>
      </w:pPr>
      <w:bookmarkStart w:id="6" w:name="O_217878"/>
      <w:bookmarkEnd w:id="6"/>
      <w:r w:rsidRPr="005678EF">
        <w:t>Employability Skills Information</w:t>
      </w:r>
    </w:p>
    <w:tbl>
      <w:tblPr>
        <w:tblW w:w="0" w:type="auto"/>
        <w:tblLayout w:type="fixed"/>
        <w:tblCellMar>
          <w:left w:w="62" w:type="dxa"/>
          <w:right w:w="62" w:type="dxa"/>
        </w:tblCellMar>
        <w:tblLook w:val="0000"/>
      </w:tblPr>
      <w:tblGrid>
        <w:gridCol w:w="2802"/>
        <w:gridCol w:w="5720"/>
      </w:tblGrid>
      <w:tr w:rsidTr="00C96E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r w:rsidRPr="005678EF">
              <w:t xml:space="preserve">This unit contains employability skills. </w:t>
            </w:r>
          </w:p>
        </w:tc>
      </w:tr>
    </w:tbl>
    <w:p w:rsidR="00C96E67" w:rsidP="005678EF">
      <w:pPr>
        <w:pStyle w:val="BodyText"/>
      </w:pPr>
    </w:p>
    <w:p w:rsidR="00C96E67" w:rsidP="005678EF">
      <w:pPr>
        <w:pStyle w:val="BodyText"/>
      </w:pPr>
    </w:p>
    <w:p w:rsidR="00000000" w:rsidRPr="005678EF" w:rsidP="005678EF">
      <w:pPr>
        <w:pStyle w:val="Heading1"/>
      </w:pPr>
      <w:bookmarkStart w:id="7" w:name="O_291244"/>
      <w:bookmarkEnd w:id="7"/>
      <w:r w:rsidRPr="005678EF">
        <w:t>Elements and Performance Criteria Pre-Content</w:t>
      </w:r>
    </w:p>
    <w:tbl>
      <w:tblPr>
        <w:tblW w:w="0" w:type="auto"/>
        <w:tblLayout w:type="fixed"/>
        <w:tblCellMar>
          <w:left w:w="62" w:type="dxa"/>
          <w:right w:w="62" w:type="dxa"/>
        </w:tblCellMar>
        <w:tblLook w:val="0000"/>
      </w:tblPr>
      <w:tblGrid>
        <w:gridCol w:w="2553"/>
        <w:gridCol w:w="5969"/>
      </w:tblGrid>
      <w:tr w:rsidTr="00C96E6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r w:rsidRPr="005678EF">
              <w:t>Performance criteria describe the performance needed to demonstrate achievement of the element. Where bold italicised text is used, further information is detailed in the required skills and</w:t>
            </w:r>
            <w:r w:rsidRPr="005678EF">
              <w:t xml:space="preserve"> knowledge section and the range statement. Assessment of performance is to be consistent with the evidence guide.</w:t>
            </w:r>
          </w:p>
        </w:tc>
      </w:tr>
    </w:tbl>
    <w:p w:rsidR="00000000" w:rsidRPr="005678EF" w:rsidP="005678EF">
      <w:pPr>
        <w:pStyle w:val="BodyText"/>
      </w:pPr>
    </w:p>
    <w:p w:rsidR="00000000" w:rsidRPr="005678EF" w:rsidP="005678EF">
      <w:pPr>
        <w:pStyle w:val="AllowPageBreak"/>
      </w:pPr>
    </w:p>
    <w:p w:rsidR="00000000" w:rsidRPr="005678EF" w:rsidP="005678EF">
      <w:pPr>
        <w:pStyle w:val="Heading1"/>
      </w:pPr>
      <w:bookmarkStart w:id="8" w:name="O_237912"/>
      <w:bookmarkEnd w:id="8"/>
      <w:r w:rsidRPr="005678EF">
        <w:t>Elements and Performance Criteria</w:t>
      </w:r>
    </w:p>
    <w:tbl>
      <w:tblPr>
        <w:tblW w:w="0" w:type="auto"/>
        <w:tblLayout w:type="fixed"/>
        <w:tblCellMar>
          <w:left w:w="62" w:type="dxa"/>
          <w:right w:w="62" w:type="dxa"/>
        </w:tblCellMar>
        <w:tblLook w:val="0000"/>
      </w:tblPr>
      <w:tblGrid>
        <w:gridCol w:w="2553"/>
        <w:gridCol w:w="5969"/>
      </w:tblGrid>
      <w:tr w:rsidTr="00C96E67">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r w:rsidRPr="005678EF">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PERFORMANCE CRITERIA</w:t>
            </w:r>
          </w:p>
        </w:tc>
      </w:tr>
      <w:tr w:rsidTr="00C96E6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List"/>
              <w:rPr>
                <w:lang w:val="en-NZ"/>
              </w:rPr>
            </w:pPr>
            <w:r w:rsidRPr="005678EF">
              <w:t>1.</w:t>
            </w:r>
            <w:r w:rsidRPr="005678EF">
              <w:tab/>
              <w:t xml:space="preserve">Prepare and forward court </w:t>
            </w:r>
            <w:r w:rsidRPr="005678EF">
              <w:rPr>
                <w:rStyle w:val="BoldandItalics"/>
              </w:rPr>
              <w:t>documents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2"/>
            </w:pPr>
            <w:r w:rsidRPr="005678EF">
              <w:t>1.1.</w:t>
            </w:r>
            <w:r w:rsidRPr="005678EF">
              <w:tab/>
            </w:r>
            <w:r w:rsidRPr="005678EF">
              <w:t>Elements/points of proof are comprehensively and accurately included into briefs of evidence.</w:t>
            </w:r>
          </w:p>
          <w:p w:rsidR="00000000" w:rsidRPr="005678EF" w:rsidP="005678EF">
            <w:pPr>
              <w:pStyle w:val="List2"/>
            </w:pPr>
            <w:r w:rsidRPr="005678EF">
              <w:t>1.2.</w:t>
            </w:r>
            <w:r w:rsidRPr="005678EF">
              <w:tab/>
              <w:t>Jurisdictional court required document formats and presentation standards are complied with.</w:t>
            </w:r>
          </w:p>
          <w:p w:rsidR="00000000" w:rsidRPr="005678EF" w:rsidP="005678EF">
            <w:pPr>
              <w:pStyle w:val="List2"/>
            </w:pPr>
            <w:r w:rsidRPr="005678EF">
              <w:t>1.3.</w:t>
            </w:r>
            <w:r w:rsidRPr="005678EF">
              <w:tab/>
              <w:t>Briefs of evidence comply with the jurisdiction's legal rul</w:t>
            </w:r>
            <w:r w:rsidRPr="005678EF">
              <w:t>es of evidence.</w:t>
            </w:r>
          </w:p>
          <w:p w:rsidR="00000000" w:rsidRPr="005678EF" w:rsidP="005678EF">
            <w:pPr>
              <w:pStyle w:val="List2"/>
            </w:pPr>
            <w:r w:rsidRPr="005678EF">
              <w:t>1.4.</w:t>
            </w:r>
            <w:r w:rsidRPr="005678EF">
              <w:tab/>
              <w:t>Documents are forwarded to persons/authorities within required timeframe.</w:t>
            </w:r>
          </w:p>
          <w:p w:rsidR="00000000" w:rsidP="005678EF">
            <w:pPr>
              <w:pStyle w:val="List2"/>
              <w:rPr>
                <w:lang w:val="en-NZ"/>
              </w:rPr>
            </w:pPr>
            <w:r w:rsidRPr="005678EF">
              <w:t>1.5.</w:t>
            </w:r>
            <w:r w:rsidRPr="005678EF">
              <w:tab/>
              <w:t>The safety and security of witness evidence is maintained at all times.</w:t>
            </w:r>
          </w:p>
        </w:tc>
      </w:tr>
      <w:tr w:rsidTr="00C96E6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List"/>
              <w:rPr>
                <w:lang w:val="en-NZ"/>
              </w:rPr>
            </w:pPr>
            <w:r w:rsidRPr="005678EF">
              <w:t>2.</w:t>
            </w:r>
            <w:r w:rsidRPr="005678EF">
              <w:tab/>
              <w:t xml:space="preserve">Manage </w:t>
            </w:r>
            <w:r w:rsidRPr="005678EF">
              <w:rPr>
                <w:rStyle w:val="BoldandItalics"/>
              </w:rPr>
              <w:t>witnesses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2"/>
            </w:pPr>
            <w:r w:rsidRPr="005678EF">
              <w:t>2.1.</w:t>
            </w:r>
            <w:r w:rsidRPr="005678EF">
              <w:tab/>
              <w:t>Witnesses are identified and court appearances arranged, i</w:t>
            </w:r>
            <w:r w:rsidRPr="005678EF">
              <w:t>ncluding transport and accommodation, where required.</w:t>
            </w:r>
          </w:p>
          <w:p w:rsidR="00000000" w:rsidRPr="005678EF" w:rsidP="005678EF">
            <w:pPr>
              <w:pStyle w:val="List2"/>
            </w:pPr>
            <w:r w:rsidRPr="005678EF">
              <w:t>2.2.</w:t>
            </w:r>
            <w:r w:rsidRPr="005678EF">
              <w:tab/>
              <w:t>Witness summonses are arranged and served, in accordance with jurisdictional law, to ensure witness attendance at courts.</w:t>
            </w:r>
          </w:p>
          <w:p w:rsidR="00000000" w:rsidRPr="005678EF" w:rsidP="005678EF">
            <w:pPr>
              <w:pStyle w:val="List2"/>
            </w:pPr>
            <w:r w:rsidRPr="005678EF">
              <w:t>2.3.</w:t>
            </w:r>
            <w:r w:rsidRPr="005678EF">
              <w:tab/>
              <w:t>Liaison and support of witnesses is maintained before, during and afte</w:t>
            </w:r>
            <w:r w:rsidRPr="005678EF">
              <w:t xml:space="preserve">r the trial. </w:t>
            </w:r>
          </w:p>
          <w:p w:rsidR="00000000" w:rsidRPr="005678EF" w:rsidP="005678EF">
            <w:pPr>
              <w:pStyle w:val="List2"/>
            </w:pPr>
            <w:r w:rsidRPr="005678EF">
              <w:t>2.4.</w:t>
            </w:r>
            <w:r w:rsidRPr="005678EF">
              <w:tab/>
              <w:t xml:space="preserve">Witnesses are </w:t>
            </w:r>
            <w:r w:rsidRPr="005678EF">
              <w:rPr>
                <w:rStyle w:val="BoldandItalics"/>
              </w:rPr>
              <w:t>prepared</w:t>
            </w:r>
            <w:r w:rsidRPr="005678EF">
              <w:t xml:space="preserve"> in an ethical manner to enable them to present their evidence in court.</w:t>
            </w:r>
          </w:p>
          <w:p w:rsidR="00000000" w:rsidP="005678EF">
            <w:pPr>
              <w:pStyle w:val="List2"/>
              <w:rPr>
                <w:lang w:val="en-NZ"/>
              </w:rPr>
            </w:pPr>
            <w:r w:rsidRPr="005678EF">
              <w:t>2.5.</w:t>
            </w:r>
            <w:r w:rsidRPr="005678EF">
              <w:tab/>
            </w:r>
            <w:r w:rsidRPr="005678EF">
              <w:rPr>
                <w:rStyle w:val="BoldandItalics"/>
              </w:rPr>
              <w:t>Witness protection procedures</w:t>
            </w:r>
            <w:r w:rsidRPr="005678EF">
              <w:t xml:space="preserve"> are implemented, as necessary.</w:t>
            </w:r>
          </w:p>
        </w:tc>
      </w:tr>
      <w:tr w:rsidTr="00C96E6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List"/>
              <w:rPr>
                <w:lang w:val="en-NZ"/>
              </w:rPr>
            </w:pPr>
            <w:r w:rsidRPr="005678EF">
              <w:t>3.</w:t>
            </w:r>
            <w:r w:rsidRPr="005678EF">
              <w:tab/>
              <w:t>Monitor offenders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2"/>
            </w:pPr>
            <w:r w:rsidRPr="005678EF">
              <w:t>3.1.</w:t>
            </w:r>
            <w:r w:rsidRPr="005678EF">
              <w:tab/>
            </w:r>
            <w:r w:rsidRPr="005678EF">
              <w:rPr>
                <w:rStyle w:val="BoldandItalics"/>
              </w:rPr>
              <w:t>Documentation used in the monitoring of offenders</w:t>
            </w:r>
            <w:r w:rsidRPr="005678EF">
              <w:t xml:space="preserve"> is completed in compliance with court requirements</w:t>
            </w:r>
          </w:p>
          <w:p w:rsidR="00000000" w:rsidRPr="005678EF" w:rsidP="005678EF">
            <w:pPr>
              <w:pStyle w:val="List2"/>
            </w:pPr>
            <w:r w:rsidRPr="005678EF">
              <w:t>3.2.</w:t>
            </w:r>
            <w:r w:rsidRPr="005678EF">
              <w:tab/>
            </w:r>
            <w:r w:rsidRPr="005678EF">
              <w:rPr>
                <w:rStyle w:val="BoldandItalics"/>
              </w:rPr>
              <w:t>Procedures for monitoring offenders</w:t>
            </w:r>
            <w:r w:rsidRPr="005678EF">
              <w:t xml:space="preserve"> are in compliance with court requirements.</w:t>
            </w:r>
          </w:p>
          <w:p w:rsidR="00000000" w:rsidRPr="005678EF" w:rsidP="005678EF">
            <w:pPr>
              <w:pStyle w:val="List2"/>
            </w:pPr>
            <w:r w:rsidRPr="005678EF">
              <w:t>3.3.</w:t>
            </w:r>
            <w:r w:rsidRPr="005678EF">
              <w:tab/>
            </w:r>
            <w:r w:rsidRPr="005678EF">
              <w:rPr>
                <w:rStyle w:val="BoldandItalics"/>
              </w:rPr>
              <w:t>Appropriate authorities and parties</w:t>
            </w:r>
            <w:r w:rsidRPr="005678EF">
              <w:t xml:space="preserve"> are clearly advised in a timely manner of bail conditions, further proceedings </w:t>
            </w:r>
            <w:r w:rsidRPr="005678EF">
              <w:t>and the court's requirements.</w:t>
            </w:r>
          </w:p>
          <w:p w:rsidR="00000000" w:rsidP="005678EF">
            <w:pPr>
              <w:pStyle w:val="List2"/>
              <w:rPr>
                <w:lang w:val="en-NZ"/>
              </w:rPr>
            </w:pPr>
            <w:r w:rsidRPr="005678EF">
              <w:t>3.4.</w:t>
            </w:r>
            <w:r w:rsidRPr="005678EF">
              <w:tab/>
              <w:t>Procedures are implemented to ensure compliance of offenders with court requirements.</w:t>
            </w:r>
          </w:p>
        </w:tc>
      </w:tr>
      <w:tr w:rsidTr="00C96E6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List"/>
              <w:rPr>
                <w:lang w:val="en-NZ"/>
              </w:rPr>
            </w:pPr>
            <w:r w:rsidRPr="005678EF">
              <w:t>4.</w:t>
            </w:r>
            <w:r w:rsidRPr="005678EF">
              <w:tab/>
            </w:r>
            <w:r w:rsidRPr="005678EF">
              <w:rPr>
                <w:rStyle w:val="BoldandItalics"/>
              </w:rPr>
              <w:t>Liaise</w:t>
            </w:r>
            <w:r w:rsidRPr="005678EF">
              <w:t xml:space="preserve"> with and assist </w:t>
            </w:r>
            <w:r w:rsidRPr="005678EF">
              <w:rPr>
                <w:rStyle w:val="BoldandItalics"/>
              </w:rPr>
              <w:t>prosecuting authority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2"/>
            </w:pPr>
            <w:r w:rsidRPr="005678EF">
              <w:t>4.1.</w:t>
            </w:r>
            <w:r w:rsidRPr="005678EF">
              <w:tab/>
            </w:r>
            <w:r w:rsidRPr="005678EF">
              <w:rPr>
                <w:rStyle w:val="BoldandItalics"/>
              </w:rPr>
              <w:t>Arrangements</w:t>
            </w:r>
            <w:r w:rsidRPr="005678EF">
              <w:t xml:space="preserve">, </w:t>
            </w:r>
            <w:r w:rsidRPr="005678EF">
              <w:rPr>
                <w:rStyle w:val="BoldandItalics"/>
              </w:rPr>
              <w:t>role and involvement</w:t>
            </w:r>
            <w:r w:rsidRPr="005678EF">
              <w:t xml:space="preserve"> in proceedings are confirmed.</w:t>
            </w:r>
          </w:p>
          <w:p w:rsidR="00000000" w:rsidRPr="005678EF" w:rsidP="005678EF">
            <w:pPr>
              <w:pStyle w:val="List2"/>
            </w:pPr>
            <w:r w:rsidRPr="005678EF">
              <w:t>4.2.</w:t>
            </w:r>
            <w:r w:rsidRPr="005678EF">
              <w:tab/>
              <w:t>Documentati</w:t>
            </w:r>
            <w:r w:rsidRPr="005678EF">
              <w:t>on is provided promptly and accurately to support the prosecution's case.</w:t>
            </w:r>
          </w:p>
          <w:p w:rsidR="00000000" w:rsidRPr="005678EF" w:rsidP="005678EF">
            <w:pPr>
              <w:pStyle w:val="List2"/>
            </w:pPr>
            <w:r w:rsidRPr="005678EF">
              <w:t>4.3.</w:t>
            </w:r>
            <w:r w:rsidRPr="005678EF">
              <w:tab/>
              <w:t>Informal and formal communication channels are maintained with the prosecuting authority.</w:t>
            </w:r>
          </w:p>
          <w:p w:rsidR="00000000" w:rsidP="005678EF">
            <w:pPr>
              <w:pStyle w:val="List2"/>
              <w:rPr>
                <w:lang w:val="en-NZ"/>
              </w:rPr>
            </w:pPr>
            <w:r w:rsidRPr="005678EF">
              <w:t>4.4.</w:t>
            </w:r>
            <w:r w:rsidRPr="005678EF">
              <w:tab/>
              <w:t xml:space="preserve">Judicial guidelines, protocols and legal requirements are observed and adhered to </w:t>
            </w:r>
            <w:r w:rsidRPr="005678EF">
              <w:t>at all times.</w:t>
            </w:r>
          </w:p>
        </w:tc>
      </w:tr>
      <w:tr w:rsidTr="00C96E6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List"/>
              <w:rPr>
                <w:lang w:val="en-NZ"/>
              </w:rPr>
            </w:pPr>
            <w:r w:rsidRPr="005678EF">
              <w:t>5.</w:t>
            </w:r>
            <w:r w:rsidRPr="005678EF">
              <w:tab/>
              <w:t>Present evidence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2"/>
            </w:pPr>
            <w:r w:rsidRPr="005678EF">
              <w:t>5.1.</w:t>
            </w:r>
            <w:r w:rsidRPr="005678EF">
              <w:tab/>
              <w:t>Proceedings and protocols relevant to the jurisdiction involved are adhered to throughout the proceedings.</w:t>
            </w:r>
          </w:p>
          <w:p w:rsidR="00000000" w:rsidRPr="005678EF" w:rsidP="005678EF">
            <w:pPr>
              <w:pStyle w:val="List2"/>
            </w:pPr>
            <w:r w:rsidRPr="005678EF">
              <w:t>5.2.</w:t>
            </w:r>
            <w:r w:rsidRPr="005678EF">
              <w:tab/>
              <w:t>Rules of evidence relevant to the jurisdiction are adhered to.</w:t>
            </w:r>
          </w:p>
          <w:p w:rsidR="00000000" w:rsidRPr="005678EF" w:rsidP="005678EF">
            <w:pPr>
              <w:pStyle w:val="List2"/>
            </w:pPr>
            <w:r w:rsidRPr="005678EF">
              <w:t>5.3.</w:t>
            </w:r>
            <w:r w:rsidRPr="005678EF">
              <w:tab/>
            </w:r>
            <w:r w:rsidRPr="005678EF">
              <w:rPr>
                <w:rStyle w:val="BoldandItalics"/>
              </w:rPr>
              <w:t>Demeanour</w:t>
            </w:r>
            <w:r w:rsidRPr="005678EF">
              <w:t xml:space="preserve"> is appropriate and evidenc</w:t>
            </w:r>
            <w:r w:rsidRPr="005678EF">
              <w:t xml:space="preserve">e is presented to </w:t>
            </w:r>
            <w:r w:rsidRPr="005678EF">
              <w:rPr>
                <w:rStyle w:val="BoldandItalics"/>
              </w:rPr>
              <w:t>professional standards</w:t>
            </w:r>
            <w:r w:rsidRPr="005678EF">
              <w:t>.</w:t>
            </w:r>
          </w:p>
          <w:p w:rsidR="00000000" w:rsidP="005678EF">
            <w:pPr>
              <w:pStyle w:val="List2"/>
              <w:rPr>
                <w:lang w:val="en-NZ"/>
              </w:rPr>
            </w:pPr>
            <w:r w:rsidRPr="005678EF">
              <w:t>5.4.</w:t>
            </w:r>
            <w:r w:rsidRPr="005678EF">
              <w:tab/>
              <w:t>Considered expert evidence is consistent with qualifications and expertise and is provided on request.</w:t>
            </w:r>
          </w:p>
        </w:tc>
      </w:tr>
      <w:tr w:rsidTr="00C96E6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List"/>
              <w:rPr>
                <w:lang w:val="en-NZ"/>
              </w:rPr>
            </w:pPr>
            <w:r w:rsidRPr="005678EF">
              <w:t>6.</w:t>
            </w:r>
            <w:r w:rsidRPr="005678EF">
              <w:tab/>
              <w:t xml:space="preserve">Undertake </w:t>
            </w:r>
            <w:r w:rsidRPr="005678EF">
              <w:rPr>
                <w:rStyle w:val="SpecialBold"/>
              </w:rPr>
              <w:t>post-court procedures</w:t>
            </w:r>
            <w:r w:rsidRPr="005678EF">
              <w:t xml:space="preserve"> and follow up outcomes of proceedings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2"/>
            </w:pPr>
            <w:r w:rsidRPr="005678EF">
              <w:t>6.1.</w:t>
            </w:r>
            <w:r w:rsidRPr="005678EF">
              <w:tab/>
            </w:r>
            <w:r w:rsidRPr="005678EF">
              <w:t>Briefs of evidence and other documents are acted upon.</w:t>
            </w:r>
          </w:p>
          <w:p w:rsidR="00000000" w:rsidRPr="005678EF" w:rsidP="005678EF">
            <w:pPr>
              <w:pStyle w:val="List2"/>
            </w:pPr>
            <w:r w:rsidRPr="005678EF">
              <w:t>6.2.</w:t>
            </w:r>
            <w:r w:rsidRPr="005678EF">
              <w:tab/>
              <w:t>Property and exhibits are returned or disposed of.</w:t>
            </w:r>
          </w:p>
          <w:p w:rsidR="00000000" w:rsidRPr="005678EF" w:rsidP="005678EF">
            <w:pPr>
              <w:pStyle w:val="List2"/>
            </w:pPr>
            <w:r w:rsidRPr="005678EF">
              <w:t>6.3.</w:t>
            </w:r>
            <w:r w:rsidRPr="005678EF">
              <w:tab/>
            </w:r>
            <w:r w:rsidRPr="005678EF">
              <w:rPr>
                <w:rStyle w:val="BoldandItalics"/>
              </w:rPr>
              <w:t>Relevant parties</w:t>
            </w:r>
            <w:r w:rsidRPr="005678EF">
              <w:t xml:space="preserve"> are notified of court results in a timely manner.</w:t>
            </w:r>
          </w:p>
          <w:p w:rsidR="00000000" w:rsidRPr="005678EF" w:rsidP="005678EF">
            <w:pPr>
              <w:pStyle w:val="List2"/>
            </w:pPr>
            <w:r w:rsidRPr="005678EF">
              <w:t>6.4.</w:t>
            </w:r>
            <w:r w:rsidRPr="005678EF">
              <w:tab/>
              <w:t>Where required, avenues of possible further action are constructivel</w:t>
            </w:r>
            <w:r w:rsidRPr="005678EF">
              <w:t>y and objectively discussed with a prosecuting authority.</w:t>
            </w:r>
          </w:p>
          <w:p w:rsidR="00000000" w:rsidRPr="005678EF" w:rsidP="005678EF">
            <w:pPr>
              <w:pStyle w:val="List2"/>
            </w:pPr>
            <w:r w:rsidRPr="005678EF">
              <w:t>6.5.</w:t>
            </w:r>
            <w:r w:rsidRPr="005678EF">
              <w:tab/>
              <w:t>The outcomes of the proceedings are noted and filed, and reports completed.</w:t>
            </w:r>
          </w:p>
          <w:p w:rsidR="00000000" w:rsidRPr="005678EF" w:rsidP="005678EF">
            <w:pPr>
              <w:pStyle w:val="List2"/>
            </w:pPr>
            <w:r w:rsidRPr="005678EF">
              <w:t>6.6.</w:t>
            </w:r>
            <w:r w:rsidRPr="005678EF">
              <w:tab/>
              <w:t>Any required actions are implemented.</w:t>
            </w:r>
          </w:p>
        </w:tc>
      </w:tr>
    </w:tbl>
    <w:p w:rsidR="00C96E67" w:rsidP="005678EF">
      <w:pPr>
        <w:pStyle w:val="BodyText"/>
      </w:pPr>
    </w:p>
    <w:p w:rsidR="00C96E67" w:rsidP="005678EF">
      <w:pPr>
        <w:pStyle w:val="BodyText"/>
      </w:pPr>
    </w:p>
    <w:p w:rsidR="00000000" w:rsidRPr="005678EF" w:rsidP="005678EF">
      <w:pPr>
        <w:pStyle w:val="Heading1"/>
      </w:pPr>
      <w:bookmarkStart w:id="9" w:name="O_261703"/>
      <w:bookmarkEnd w:id="9"/>
      <w:r w:rsidRPr="005678EF">
        <w:t>Required Skills and Knowledge</w:t>
      </w:r>
    </w:p>
    <w:tbl>
      <w:tblPr>
        <w:tblW w:w="0" w:type="auto"/>
        <w:tblLayout w:type="fixed"/>
        <w:tblCellMar>
          <w:left w:w="62" w:type="dxa"/>
          <w:right w:w="62" w:type="dxa"/>
        </w:tblCellMar>
        <w:tblLook w:val="0000"/>
      </w:tblPr>
      <w:tblGrid>
        <w:gridCol w:w="8522"/>
      </w:tblGrid>
      <w:tr w:rsidTr="00C96E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REQUIRED SKILLS AND KNOWLEDGE</w:t>
            </w:r>
          </w:p>
        </w:tc>
      </w:tr>
      <w:tr w:rsidTr="00C96E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t>This section describes the skills and knowledge required for this unit.</w:t>
            </w:r>
          </w:p>
        </w:tc>
      </w:tr>
      <w:tr w:rsidTr="00C96E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Required skills</w:t>
            </w:r>
          </w:p>
        </w:tc>
      </w:tr>
      <w:tr w:rsidTr="00C96E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communicating with witnesses, prosecution authority and court personnel</w:t>
            </w:r>
          </w:p>
          <w:p w:rsidR="00000000" w:rsidRPr="005678EF" w:rsidP="005678EF">
            <w:pPr>
              <w:pStyle w:val="ListBullet"/>
            </w:pPr>
            <w:r w:rsidRPr="005678EF">
              <w:t>using computer and information management systems</w:t>
            </w:r>
          </w:p>
          <w:p w:rsidR="00000000" w:rsidRPr="005678EF" w:rsidP="005678EF">
            <w:pPr>
              <w:pStyle w:val="ListBullet"/>
            </w:pPr>
            <w:r w:rsidRPr="005678EF">
              <w:t>making decisions and solving problems</w:t>
            </w:r>
          </w:p>
          <w:p w:rsidR="00000000" w:rsidRPr="005678EF" w:rsidP="005678EF">
            <w:pPr>
              <w:pStyle w:val="ListBullet"/>
            </w:pPr>
            <w:r w:rsidRPr="005678EF">
              <w:t>applying operational safety skills</w:t>
            </w:r>
          </w:p>
          <w:p w:rsidR="00000000" w:rsidRPr="005678EF" w:rsidP="005678EF">
            <w:pPr>
              <w:pStyle w:val="ListBullet"/>
            </w:pPr>
            <w:r w:rsidRPr="005678EF">
              <w:t xml:space="preserve">orally communicating briefings, responding to questioning, active listening, reflecting, establishing rapport, negotiating and resolving conflict </w:t>
            </w:r>
          </w:p>
          <w:p w:rsidR="00000000" w:rsidRPr="005678EF" w:rsidP="005678EF">
            <w:pPr>
              <w:pStyle w:val="ListBullet"/>
            </w:pPr>
            <w:r w:rsidRPr="005678EF">
              <w:t>applying organisational and time man</w:t>
            </w:r>
            <w:r w:rsidRPr="005678EF">
              <w:t>agement skills</w:t>
            </w:r>
          </w:p>
          <w:p w:rsidR="00000000" w:rsidRPr="005678EF" w:rsidP="005678EF">
            <w:pPr>
              <w:pStyle w:val="ListBullet"/>
            </w:pPr>
            <w:r w:rsidRPr="005678EF">
              <w:t>presenting evidence clearly and concisely at proceedings</w:t>
            </w:r>
          </w:p>
          <w:p w:rsidR="00000000" w:rsidRPr="005678EF" w:rsidP="005678EF">
            <w:pPr>
              <w:pStyle w:val="ListBullet"/>
            </w:pPr>
            <w:r w:rsidRPr="005678EF">
              <w:t>witness/victim management skills, in particular cultural awareness skills, ethical behaviours and integrity.</w:t>
            </w:r>
          </w:p>
          <w:p w:rsidR="00000000" w:rsidRPr="005678EF" w:rsidP="005678EF">
            <w:pPr>
              <w:pStyle w:val="BodyText"/>
            </w:pPr>
          </w:p>
          <w:p w:rsidR="00000000" w:rsidRPr="005678EF" w:rsidP="005678EF">
            <w:pPr>
              <w:pStyle w:val="BodyText"/>
            </w:pPr>
            <w:r w:rsidRPr="005678EF">
              <w:rPr>
                <w:rStyle w:val="SpecialBold"/>
              </w:rPr>
              <w:t>Literacy skills used for</w:t>
            </w:r>
            <w:r w:rsidRPr="005678EF">
              <w:t xml:space="preserve">: </w:t>
            </w:r>
          </w:p>
          <w:p w:rsidR="00000000" w:rsidRPr="005678EF" w:rsidP="005678EF">
            <w:pPr>
              <w:pStyle w:val="ListBullet"/>
            </w:pPr>
            <w:r w:rsidRPr="005678EF">
              <w:t>taking notes</w:t>
            </w:r>
          </w:p>
          <w:p w:rsidR="00000000" w:rsidRPr="005678EF" w:rsidP="005678EF">
            <w:pPr>
              <w:pStyle w:val="ListBullet"/>
            </w:pPr>
            <w:r w:rsidRPr="005678EF">
              <w:t>preparing briefs of evidence and exhibit register</w:t>
            </w:r>
          </w:p>
          <w:p w:rsidR="00000000" w:rsidRPr="005678EF" w:rsidP="005678EF">
            <w:pPr>
              <w:pStyle w:val="ListBullet"/>
            </w:pPr>
            <w:r w:rsidRPr="005678EF">
              <w:t>writing reports</w:t>
            </w:r>
          </w:p>
          <w:p w:rsidR="00000000" w:rsidP="005678EF">
            <w:pPr>
              <w:pStyle w:val="ListBullet"/>
              <w:rPr>
                <w:lang w:val="en-NZ"/>
              </w:rPr>
            </w:pPr>
            <w:r w:rsidRPr="005678EF">
              <w:t>word processing.</w:t>
            </w:r>
          </w:p>
        </w:tc>
      </w:tr>
      <w:tr w:rsidTr="00C96E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Required knowledge</w:t>
            </w:r>
          </w:p>
        </w:tc>
      </w:tr>
      <w:tr w:rsidTr="00C96E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agency policies and procedures relating to preparation of documents and evidence, and providing expert opinion</w:t>
            </w:r>
          </w:p>
          <w:p w:rsidR="00000000" w:rsidRPr="005678EF" w:rsidP="005678EF">
            <w:pPr>
              <w:pStyle w:val="ListBullet"/>
            </w:pPr>
            <w:r w:rsidRPr="005678EF">
              <w:t>different judicial/quasi-judicial system</w:t>
            </w:r>
            <w:r w:rsidRPr="005678EF">
              <w:t>s at which fisheries compliance matters are heard or prosecuted, and their procedures and protocols</w:t>
            </w:r>
          </w:p>
          <w:p w:rsidR="00000000" w:rsidRPr="005678EF" w:rsidP="005678EF">
            <w:pPr>
              <w:pStyle w:val="ListBullet"/>
            </w:pPr>
            <w:r w:rsidRPr="005678EF">
              <w:t>general principles of criminal liability</w:t>
            </w:r>
          </w:p>
          <w:p w:rsidR="00000000" w:rsidRPr="005678EF" w:rsidP="005678EF">
            <w:pPr>
              <w:pStyle w:val="ListBullet"/>
            </w:pPr>
            <w:r w:rsidRPr="005678EF">
              <w:t>relevant law, including the rules of evidence and continuity of evidence, policy and procedures</w:t>
            </w:r>
          </w:p>
          <w:p w:rsidR="00000000" w:rsidRPr="005678EF" w:rsidP="005678EF">
            <w:pPr>
              <w:pStyle w:val="ListBullet"/>
            </w:pPr>
            <w:r w:rsidRPr="005678EF">
              <w:t>role of legal perso</w:t>
            </w:r>
            <w:r w:rsidRPr="005678EF">
              <w:t>nnel in judicial/quasi-judicial systems</w:t>
            </w:r>
          </w:p>
          <w:p w:rsidR="00000000" w:rsidRPr="005678EF" w:rsidP="005678EF">
            <w:pPr>
              <w:pStyle w:val="ListBullet"/>
            </w:pPr>
            <w:r w:rsidRPr="005678EF">
              <w:t>types of evidence admissible in judicial/quasi-judicial systems</w:t>
            </w:r>
          </w:p>
          <w:p w:rsidR="00000000" w:rsidRPr="005678EF" w:rsidP="005678EF">
            <w:pPr>
              <w:pStyle w:val="ListBullet"/>
            </w:pPr>
            <w:r w:rsidRPr="005678EF">
              <w:t>use of notes in court/tribunal/commission.</w:t>
            </w:r>
          </w:p>
        </w:tc>
      </w:tr>
    </w:tbl>
    <w:p w:rsidR="00C96E67" w:rsidP="005678EF">
      <w:pPr>
        <w:pStyle w:val="BodyText"/>
      </w:pPr>
    </w:p>
    <w:p w:rsidR="00C96E67" w:rsidP="005678EF">
      <w:pPr>
        <w:pStyle w:val="BodyText"/>
      </w:pPr>
    </w:p>
    <w:p w:rsidR="00000000" w:rsidRPr="005678EF" w:rsidP="005678EF">
      <w:pPr>
        <w:pStyle w:val="AllowPageBreak"/>
      </w:pPr>
    </w:p>
    <w:p w:rsidR="00000000" w:rsidRPr="005678EF" w:rsidP="005678EF">
      <w:pPr>
        <w:pStyle w:val="Heading1"/>
      </w:pPr>
      <w:bookmarkStart w:id="10" w:name="O_245896"/>
      <w:bookmarkEnd w:id="10"/>
      <w:r w:rsidRPr="005678EF">
        <w:t>Evidence Guide</w:t>
      </w:r>
    </w:p>
    <w:tbl>
      <w:tblPr>
        <w:tblW w:w="9570" w:type="dxa"/>
        <w:tblLayout w:type="fixed"/>
        <w:tblCellMar>
          <w:left w:w="62" w:type="dxa"/>
          <w:right w:w="62" w:type="dxa"/>
        </w:tblCellMar>
        <w:tblLook w:val="0000"/>
      </w:tblPr>
      <w:tblGrid>
        <w:gridCol w:w="3908"/>
        <w:gridCol w:w="5662"/>
      </w:tblGrid>
      <w:tr w:rsidTr="00C96E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EVIDENCE GUIDE</w:t>
            </w:r>
          </w:p>
        </w:tc>
      </w:tr>
      <w:tr w:rsidTr="00C96E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t>The evidence guide provides advice on assessment and must be read in conjunction with the performance criteria, required skills and knowledge, range statement and the Assessment Guidelines for the Training Package.</w:t>
            </w:r>
          </w:p>
        </w:tc>
      </w:tr>
      <w:tr w:rsidTr="00C96E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p>
        </w:tc>
      </w:tr>
      <w:tr w:rsidTr="00C96E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r w:rsidRPr="005678EF">
              <w:t>Assessment must confirm ability to:</w:t>
            </w:r>
          </w:p>
          <w:p w:rsidR="00000000" w:rsidRPr="005678EF" w:rsidP="005678EF">
            <w:pPr>
              <w:pStyle w:val="ListBullet"/>
            </w:pPr>
            <w:r w:rsidRPr="005678EF">
              <w:t xml:space="preserve">support the judicial process through: </w:t>
            </w:r>
          </w:p>
          <w:p w:rsidR="00000000" w:rsidRPr="005678EF" w:rsidP="005678EF">
            <w:pPr>
              <w:pStyle w:val="ListBullet2"/>
            </w:pPr>
            <w:r w:rsidRPr="005678EF">
              <w:t>preparation of brief of evidence</w:t>
            </w:r>
          </w:p>
          <w:p w:rsidR="00000000" w:rsidRPr="005678EF" w:rsidP="005678EF">
            <w:pPr>
              <w:pStyle w:val="ListBullet2"/>
            </w:pPr>
            <w:r w:rsidRPr="005678EF">
              <w:t>issuing summonses to witnesses</w:t>
            </w:r>
          </w:p>
          <w:p w:rsidR="00000000" w:rsidRPr="005678EF" w:rsidP="005678EF">
            <w:pPr>
              <w:pStyle w:val="ListBullet2"/>
            </w:pPr>
            <w:r w:rsidRPr="005678EF">
              <w:t>ensuring witnesses are available and prepared</w:t>
            </w:r>
          </w:p>
          <w:p w:rsidR="00000000" w:rsidRPr="005678EF" w:rsidP="005678EF">
            <w:pPr>
              <w:pStyle w:val="ListBullet2"/>
            </w:pPr>
            <w:r w:rsidRPr="005678EF">
              <w:t>presenting evidence</w:t>
            </w:r>
          </w:p>
          <w:p w:rsidR="00000000" w:rsidRPr="005678EF" w:rsidP="005678EF">
            <w:pPr>
              <w:pStyle w:val="ListBullet2"/>
            </w:pPr>
            <w:r w:rsidRPr="005678EF">
              <w:t>following up on post-proceeding matters.</w:t>
            </w:r>
          </w:p>
          <w:p w:rsidR="00000000" w:rsidRPr="005678EF" w:rsidP="005678EF">
            <w:pPr>
              <w:pStyle w:val="BodyText"/>
            </w:pPr>
            <w:r w:rsidRPr="005678EF">
              <w:t xml:space="preserve">Assessment must confirm knowledge of: </w:t>
            </w:r>
          </w:p>
          <w:p w:rsidR="00000000" w:rsidRPr="005678EF" w:rsidP="005678EF">
            <w:pPr>
              <w:pStyle w:val="ListBullet"/>
            </w:pPr>
            <w:r w:rsidRPr="005678EF">
              <w:t>jurisdictional procedures and protocols</w:t>
            </w:r>
          </w:p>
          <w:p w:rsidR="00000000" w:rsidP="005678EF">
            <w:pPr>
              <w:pStyle w:val="ListBullet"/>
              <w:rPr>
                <w:lang w:val="en-NZ"/>
              </w:rPr>
            </w:pPr>
            <w:r w:rsidRPr="005678EF">
              <w:t>legislation relevant to the jurisdiction and the proceeding.</w:t>
            </w:r>
          </w:p>
        </w:tc>
      </w:tr>
      <w:tr w:rsidTr="00C96E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r w:rsidRPr="005678EF">
              <w:t>Assessment is to be conducted on the job or in a simulated environment.</w:t>
            </w:r>
          </w:p>
          <w:p w:rsidR="00000000" w:rsidRPr="005678EF" w:rsidP="005678EF">
            <w:pPr>
              <w:pStyle w:val="BodyText"/>
            </w:pPr>
          </w:p>
          <w:p w:rsidR="00000000" w:rsidP="005678EF">
            <w:pPr>
              <w:pStyle w:val="BodyText"/>
              <w:rPr>
                <w:lang w:val="en-NZ"/>
              </w:rPr>
            </w:pPr>
            <w:r w:rsidRPr="005678EF">
              <w:t>A simulated environment must reflect a work environment with case materials, witnesses, court protocols and procedures, judicial forms</w:t>
            </w:r>
            <w:r w:rsidRPr="005678EF">
              <w:t xml:space="preserve"> and legal personnel.</w:t>
            </w:r>
          </w:p>
        </w:tc>
      </w:tr>
      <w:tr w:rsidTr="00C96E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r w:rsidRPr="005678EF">
              <w:t xml:space="preserve">The following assessment methods are suggested: </w:t>
            </w:r>
          </w:p>
          <w:p w:rsidR="00000000" w:rsidRPr="005678EF" w:rsidP="005678EF">
            <w:pPr>
              <w:pStyle w:val="ListBullet"/>
            </w:pPr>
            <w:r w:rsidRPr="005678EF">
              <w:t>written or oral short-answer testing</w:t>
            </w:r>
          </w:p>
          <w:p w:rsidR="00000000" w:rsidRPr="005678EF" w:rsidP="005678EF">
            <w:pPr>
              <w:pStyle w:val="ListBullet"/>
            </w:pPr>
            <w:r w:rsidRPr="005678EF">
              <w:t>practical exercises or role-plays</w:t>
            </w:r>
          </w:p>
          <w:p w:rsidR="00000000" w:rsidP="005678EF">
            <w:pPr>
              <w:pStyle w:val="ListBullet"/>
              <w:rPr>
                <w:lang w:val="en-NZ"/>
              </w:rPr>
            </w:pPr>
            <w:r w:rsidRPr="005678EF">
              <w:t>observation of practical demonstration.</w:t>
            </w:r>
          </w:p>
        </w:tc>
      </w:tr>
      <w:tr w:rsidTr="00C96E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r w:rsidRPr="005678EF">
              <w:t xml:space="preserve">This unit may </w:t>
            </w:r>
            <w:r w:rsidRPr="005678EF">
              <w:t>be assessed holistically with other units within a qualification.</w:t>
            </w:r>
          </w:p>
        </w:tc>
      </w:tr>
    </w:tbl>
    <w:p w:rsidR="00C96E67" w:rsidP="005678EF">
      <w:pPr>
        <w:pStyle w:val="BodyText"/>
      </w:pPr>
    </w:p>
    <w:p w:rsidR="00C96E67" w:rsidP="005678EF">
      <w:pPr>
        <w:pStyle w:val="BodyText"/>
      </w:pPr>
    </w:p>
    <w:p w:rsidR="00000000" w:rsidRPr="005678EF" w:rsidP="005678EF">
      <w:pPr>
        <w:pStyle w:val="Heading1"/>
      </w:pPr>
      <w:bookmarkStart w:id="11" w:name="O_253879"/>
      <w:bookmarkEnd w:id="11"/>
      <w:r w:rsidRPr="005678EF">
        <w:t>Range Statement</w:t>
      </w:r>
    </w:p>
    <w:tbl>
      <w:tblPr>
        <w:tblW w:w="0" w:type="auto"/>
        <w:tblLayout w:type="fixed"/>
        <w:tblCellMar>
          <w:left w:w="62" w:type="dxa"/>
          <w:right w:w="62" w:type="dxa"/>
        </w:tblCellMar>
        <w:tblLook w:val="0000"/>
      </w:tblPr>
      <w:tblGrid>
        <w:gridCol w:w="3479"/>
        <w:gridCol w:w="5043"/>
      </w:tblGrid>
      <w:tr w:rsidTr="00C96E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RANGE STATEMENT</w:t>
            </w:r>
          </w:p>
        </w:tc>
      </w:tr>
      <w:tr w:rsidTr="00C96E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t>The range statement relates to the unit of competency as a whole. It allows for different work environments and situations that may affect performance. Bold italicised wording, if used in the performance criteria, is detailed below. Essential operating con</w:t>
            </w:r>
            <w:r w:rsidRPr="005678EF">
              <w:t>ditions that may be present with training and assessment (depending on the work situation, needs of the candidate, accessibility of the item, and local industry and regional contexts) may also be included.</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Documents</w:t>
            </w:r>
            <w:r w:rsidRPr="005678E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court brief/summary of f</w:t>
            </w:r>
            <w:r w:rsidRPr="005678EF">
              <w:t>acts</w:t>
            </w:r>
          </w:p>
          <w:p w:rsidR="00000000" w:rsidRPr="005678EF" w:rsidP="005678EF">
            <w:pPr>
              <w:pStyle w:val="ListBullet"/>
            </w:pPr>
            <w:r w:rsidRPr="005678EF">
              <w:t>items or briefs of evidence</w:t>
            </w:r>
          </w:p>
          <w:p w:rsidR="00000000" w:rsidRPr="005678EF" w:rsidP="005678EF">
            <w:pPr>
              <w:pStyle w:val="ListBullet"/>
            </w:pPr>
            <w:r w:rsidRPr="005678EF">
              <w:t>logs</w:t>
            </w:r>
          </w:p>
          <w:p w:rsidR="00000000" w:rsidRPr="005678EF" w:rsidP="005678EF">
            <w:pPr>
              <w:pStyle w:val="ListBullet"/>
            </w:pPr>
            <w:r w:rsidRPr="005678EF">
              <w:t>media footage</w:t>
            </w:r>
          </w:p>
          <w:p w:rsidR="00000000" w:rsidRPr="005678EF" w:rsidP="005678EF">
            <w:pPr>
              <w:pStyle w:val="ListBullet"/>
            </w:pPr>
            <w:r w:rsidRPr="005678EF">
              <w:t>photographs</w:t>
            </w:r>
          </w:p>
          <w:p w:rsidR="00000000" w:rsidRPr="005678EF" w:rsidP="005678EF">
            <w:pPr>
              <w:pStyle w:val="ListBullet"/>
            </w:pPr>
            <w:r w:rsidRPr="005678EF">
              <w:t>radio/telephone records</w:t>
            </w:r>
          </w:p>
          <w:p w:rsidR="00000000" w:rsidRPr="005678EF" w:rsidP="005678EF">
            <w:pPr>
              <w:pStyle w:val="ListBullet"/>
            </w:pPr>
            <w:r w:rsidRPr="005678EF">
              <w:t>reports of incidents</w:t>
            </w:r>
          </w:p>
          <w:p w:rsidR="00000000" w:rsidRPr="005678EF" w:rsidP="005678EF">
            <w:pPr>
              <w:pStyle w:val="ListBullet"/>
            </w:pPr>
            <w:r w:rsidRPr="005678EF">
              <w:t>reports, legal opinion and other specialist reports</w:t>
            </w:r>
          </w:p>
          <w:p w:rsidR="00000000" w:rsidRPr="005678EF" w:rsidP="005678EF">
            <w:pPr>
              <w:pStyle w:val="ListBullet"/>
            </w:pPr>
            <w:r w:rsidRPr="005678EF">
              <w:t>statements</w:t>
            </w:r>
          </w:p>
          <w:p w:rsidR="00000000" w:rsidP="005678EF">
            <w:pPr>
              <w:pStyle w:val="ListBullet"/>
              <w:rPr>
                <w:lang w:val="en-NZ"/>
              </w:rPr>
            </w:pPr>
            <w:r w:rsidRPr="005678EF">
              <w:t>statements/affidavits.</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Witnesses</w:t>
            </w:r>
            <w:r w:rsidRPr="005678E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bystanders and experts</w:t>
            </w:r>
          </w:p>
          <w:p w:rsidR="00000000" w:rsidP="005678EF">
            <w:pPr>
              <w:pStyle w:val="ListBullet"/>
              <w:rPr>
                <w:lang w:val="en-NZ"/>
              </w:rPr>
            </w:pPr>
            <w:r w:rsidRPr="005678EF">
              <w:t>those directly involved.</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t xml:space="preserve">Court </w:t>
            </w:r>
            <w:r w:rsidRPr="005678EF">
              <w:rPr>
                <w:rStyle w:val="BoldandItalics"/>
              </w:rPr>
              <w:t>preparation</w:t>
            </w:r>
            <w:r w:rsidRPr="005678E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being advised of obligations and format for giving evidence</w:t>
            </w:r>
          </w:p>
          <w:p w:rsidR="00000000" w:rsidRPr="005678EF" w:rsidP="005678EF">
            <w:pPr>
              <w:pStyle w:val="ListBullet"/>
            </w:pPr>
            <w:r w:rsidRPr="005678EF">
              <w:t>being advised of the procedure for obtaining witness fees</w:t>
            </w:r>
          </w:p>
          <w:p w:rsidR="00000000" w:rsidP="005678EF">
            <w:pPr>
              <w:pStyle w:val="ListBullet"/>
              <w:rPr>
                <w:lang w:val="en-NZ"/>
              </w:rPr>
            </w:pPr>
            <w:r w:rsidRPr="005678EF">
              <w:t>being kept informed of investigation/court status.</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Witness protection procedures</w:t>
            </w:r>
            <w:r w:rsidRPr="005678EF">
              <w:t xml:space="preserve"> may be undertaken by:</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ListBullet"/>
              <w:rPr>
                <w:lang w:val="en-NZ"/>
              </w:rPr>
            </w:pPr>
            <w:r w:rsidRPr="005678EF">
              <w:t>specialised section for the case officer and may include bail conditions imposed on the offender.</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Documentation used in the monitoring of offenders</w:t>
            </w:r>
            <w:r w:rsidRPr="005678E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bail reports/advice</w:t>
            </w:r>
          </w:p>
          <w:p w:rsidR="00000000" w:rsidRPr="005678EF" w:rsidP="005678EF">
            <w:pPr>
              <w:pStyle w:val="ListBullet"/>
            </w:pPr>
            <w:r w:rsidRPr="005678EF">
              <w:t>fact sheets</w:t>
            </w:r>
          </w:p>
          <w:p w:rsidR="00000000" w:rsidRPr="005678EF" w:rsidP="005678EF">
            <w:pPr>
              <w:pStyle w:val="ListBullet"/>
            </w:pPr>
            <w:r w:rsidRPr="005678EF">
              <w:t>field re</w:t>
            </w:r>
            <w:r w:rsidRPr="005678EF">
              <w:t>ports</w:t>
            </w:r>
          </w:p>
          <w:p w:rsidR="00000000" w:rsidP="005678EF">
            <w:pPr>
              <w:pStyle w:val="ListBullet"/>
              <w:rPr>
                <w:lang w:val="en-NZ"/>
              </w:rPr>
            </w:pPr>
            <w:r w:rsidRPr="005678EF">
              <w:t>reporting cards.</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Procedures for monitoring offenders</w:t>
            </w:r>
            <w:r w:rsidRPr="005678EF">
              <w:t xml:space="preserve"> may refer to:</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bail conditions</w:t>
            </w:r>
          </w:p>
          <w:p w:rsidR="00000000" w:rsidRPr="005678EF" w:rsidP="005678EF">
            <w:pPr>
              <w:pStyle w:val="ListBullet"/>
            </w:pPr>
            <w:r w:rsidRPr="005678EF">
              <w:t>curfew checks</w:t>
            </w:r>
          </w:p>
          <w:p w:rsidR="00000000" w:rsidRPr="005678EF" w:rsidP="005678EF">
            <w:pPr>
              <w:pStyle w:val="ListBullet"/>
            </w:pPr>
            <w:r w:rsidRPr="005678EF">
              <w:t>reporting conditions</w:t>
            </w:r>
          </w:p>
          <w:p w:rsidR="00000000" w:rsidP="005678EF">
            <w:pPr>
              <w:pStyle w:val="ListBullet"/>
              <w:rPr>
                <w:lang w:val="en-NZ"/>
              </w:rPr>
            </w:pPr>
            <w:r w:rsidRPr="005678EF">
              <w:t>residential checks.</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Appropriate authorities and parties to be advised</w:t>
            </w:r>
            <w:r w:rsidRPr="005678EF">
              <w:t xml:space="preserve">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bail/watch house Officer in Charge</w:t>
            </w:r>
          </w:p>
          <w:p w:rsidR="00000000" w:rsidP="005678EF">
            <w:pPr>
              <w:pStyle w:val="ListBullet"/>
              <w:rPr>
                <w:lang w:val="en-NZ"/>
              </w:rPr>
            </w:pPr>
            <w:r w:rsidRPr="005678EF">
              <w:t>the court.</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Liaison with the prosecuting authority</w:t>
            </w:r>
            <w:r w:rsidRPr="005678EF">
              <w:t xml:space="preserve"> may be: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ListBullet"/>
              <w:rPr>
                <w:lang w:val="en-NZ"/>
              </w:rPr>
            </w:pPr>
            <w:r w:rsidRPr="005678EF">
              <w:t>formal or informal and occur before, during or after a trial.</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Arrangements</w:t>
            </w:r>
            <w:r w:rsidRPr="005678EF">
              <w:t xml:space="preserve">, </w:t>
            </w:r>
            <w:r w:rsidRPr="005678EF">
              <w:rPr>
                <w:rStyle w:val="BoldandItalics"/>
              </w:rPr>
              <w:t>role and involvement</w:t>
            </w:r>
            <w:r w:rsidRPr="005678E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confirmation of evidence required to be presented</w:t>
            </w:r>
          </w:p>
          <w:p w:rsidR="00000000" w:rsidRPr="005678EF" w:rsidP="005678EF">
            <w:pPr>
              <w:pStyle w:val="ListBullet"/>
            </w:pPr>
            <w:r w:rsidRPr="005678EF">
              <w:t>confirmation of time</w:t>
            </w:r>
          </w:p>
          <w:p w:rsidR="00000000" w:rsidP="005678EF">
            <w:pPr>
              <w:pStyle w:val="ListBullet"/>
              <w:rPr>
                <w:lang w:val="en-NZ"/>
              </w:rPr>
            </w:pPr>
            <w:r w:rsidRPr="005678EF">
              <w:t>date and location of pro</w:t>
            </w:r>
            <w:r w:rsidRPr="005678EF">
              <w:t>ceedings.</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Proceedings</w:t>
            </w:r>
            <w:r w:rsidRPr="005678E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 xml:space="preserve">judicial and quasi-judicial tribunals </w:t>
            </w:r>
          </w:p>
          <w:p w:rsidR="00000000" w:rsidP="005678EF">
            <w:pPr>
              <w:pStyle w:val="ListBullet"/>
              <w:rPr>
                <w:lang w:val="en-NZ"/>
              </w:rPr>
            </w:pPr>
            <w:r w:rsidRPr="005678EF">
              <w:t>rules of court.</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Demeanour</w:t>
            </w:r>
            <w:r w:rsidRPr="005678E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appearance</w:t>
            </w:r>
          </w:p>
          <w:p w:rsidR="00000000" w:rsidRPr="005678EF" w:rsidP="005678EF">
            <w:pPr>
              <w:pStyle w:val="ListBullet"/>
            </w:pPr>
            <w:r w:rsidRPr="005678EF">
              <w:t>confidence</w:t>
            </w:r>
          </w:p>
          <w:p w:rsidR="00000000" w:rsidRPr="005678EF" w:rsidP="005678EF">
            <w:pPr>
              <w:pStyle w:val="ListBullet"/>
            </w:pPr>
            <w:r w:rsidRPr="005678EF">
              <w:t>deportment</w:t>
            </w:r>
          </w:p>
          <w:p w:rsidR="00000000" w:rsidP="005678EF">
            <w:pPr>
              <w:pStyle w:val="ListBullet"/>
              <w:rPr>
                <w:lang w:val="en-NZ"/>
              </w:rPr>
            </w:pPr>
            <w:r w:rsidRPr="005678EF">
              <w:t>dress standard.</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Professional standards</w:t>
            </w:r>
            <w:r w:rsidRPr="005678E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concise and articulate manner</w:t>
            </w:r>
          </w:p>
          <w:p w:rsidR="00000000" w:rsidRPr="005678EF" w:rsidP="005678EF">
            <w:pPr>
              <w:pStyle w:val="ListBullet"/>
            </w:pPr>
            <w:r w:rsidRPr="005678EF">
              <w:t xml:space="preserve">impartiality </w:t>
            </w:r>
          </w:p>
          <w:p w:rsidR="00000000" w:rsidRPr="005678EF" w:rsidP="005678EF">
            <w:pPr>
              <w:pStyle w:val="ListBullet"/>
            </w:pPr>
            <w:r w:rsidRPr="005678EF">
              <w:t>integrity</w:t>
            </w:r>
          </w:p>
          <w:p w:rsidR="00000000" w:rsidRPr="005678EF" w:rsidP="005678EF">
            <w:pPr>
              <w:pStyle w:val="ListBullet"/>
            </w:pPr>
            <w:r w:rsidRPr="005678EF">
              <w:t>language</w:t>
            </w:r>
          </w:p>
          <w:p w:rsidR="00000000" w:rsidRPr="005678EF" w:rsidP="005678EF">
            <w:pPr>
              <w:pStyle w:val="ListBullet"/>
            </w:pPr>
            <w:r w:rsidRPr="005678EF">
              <w:t>respect for people and offices held</w:t>
            </w:r>
          </w:p>
          <w:p w:rsidR="00000000" w:rsidP="005678EF">
            <w:pPr>
              <w:pStyle w:val="ListBullet"/>
              <w:rPr>
                <w:lang w:val="en-NZ"/>
              </w:rPr>
            </w:pPr>
            <w:r w:rsidRPr="005678EF">
              <w:t>voice clarity.</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Post</w:t>
            </w:r>
            <w:r w:rsidRPr="005678EF">
              <w:t>-</w:t>
            </w:r>
            <w:r w:rsidRPr="005678EF">
              <w:rPr>
                <w:rStyle w:val="BoldandItalics"/>
              </w:rPr>
              <w:t>court procedures</w:t>
            </w:r>
            <w:r w:rsidRPr="005678E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discussion of possible appeal</w:t>
            </w:r>
          </w:p>
          <w:p w:rsidR="00000000" w:rsidP="005678EF">
            <w:pPr>
              <w:pStyle w:val="ListBullet"/>
              <w:rPr>
                <w:lang w:val="en-NZ"/>
              </w:rPr>
            </w:pPr>
            <w:r w:rsidRPr="005678EF">
              <w:t>implementation of judicial orders, such as for confiscation or destruction of property.</w:t>
            </w:r>
          </w:p>
        </w:tc>
      </w:tr>
      <w:tr w:rsidTr="00C96E6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BoldandItalics"/>
              </w:rPr>
              <w:t>Relevant parties to be notified</w:t>
            </w:r>
            <w:r w:rsidRPr="005678EF">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ListBullet"/>
            </w:pPr>
            <w:r w:rsidRPr="005678EF">
              <w:t>government departments</w:t>
            </w:r>
          </w:p>
          <w:p w:rsidR="00000000" w:rsidRPr="005678EF" w:rsidP="005678EF">
            <w:pPr>
              <w:pStyle w:val="ListBullet"/>
            </w:pPr>
            <w:r w:rsidRPr="005678EF">
              <w:t>internal and external agencies</w:t>
            </w:r>
          </w:p>
          <w:p w:rsidR="00000000" w:rsidRPr="005678EF" w:rsidP="005678EF">
            <w:pPr>
              <w:pStyle w:val="ListBullet"/>
            </w:pPr>
            <w:r w:rsidRPr="005678EF">
              <w:t>other fisheries officers</w:t>
            </w:r>
          </w:p>
          <w:p w:rsidR="00000000" w:rsidRPr="005678EF" w:rsidP="005678EF">
            <w:pPr>
              <w:pStyle w:val="ListBullet"/>
            </w:pPr>
            <w:r w:rsidRPr="005678EF">
              <w:t>the witness or witnesses.</w:t>
            </w:r>
          </w:p>
        </w:tc>
      </w:tr>
    </w:tbl>
    <w:p w:rsidR="00C96E67" w:rsidP="005678EF">
      <w:pPr>
        <w:pStyle w:val="BodyText"/>
      </w:pPr>
    </w:p>
    <w:p w:rsidR="00C96E67" w:rsidP="005678EF">
      <w:pPr>
        <w:pStyle w:val="BodyText"/>
      </w:pPr>
    </w:p>
    <w:p w:rsidR="00000000" w:rsidRPr="005678EF" w:rsidP="005678EF">
      <w:pPr>
        <w:pStyle w:val="Heading1"/>
      </w:pPr>
      <w:bookmarkStart w:id="12" w:name="O_217883"/>
      <w:bookmarkEnd w:id="12"/>
      <w:r w:rsidRPr="005678EF">
        <w:t>Unit Sector(s)</w:t>
      </w:r>
    </w:p>
    <w:tbl>
      <w:tblPr>
        <w:tblW w:w="0" w:type="auto"/>
        <w:tblLayout w:type="fixed"/>
        <w:tblCellMar>
          <w:left w:w="62" w:type="dxa"/>
          <w:right w:w="62" w:type="dxa"/>
        </w:tblCellMar>
        <w:tblLook w:val="0000"/>
      </w:tblPr>
      <w:tblGrid>
        <w:gridCol w:w="2614"/>
        <w:gridCol w:w="5908"/>
      </w:tblGrid>
      <w:tr w:rsidTr="00C96E6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r w:rsidRPr="005678EF">
              <w:t>Fisheries compliance</w:t>
            </w:r>
          </w:p>
        </w:tc>
      </w:tr>
    </w:tbl>
    <w:p w:rsidR="00C96E67" w:rsidP="005678EF">
      <w:pPr>
        <w:pStyle w:val="BodyText"/>
      </w:pPr>
    </w:p>
    <w:p w:rsidR="00C96E67" w:rsidP="005678EF">
      <w:pPr>
        <w:pStyle w:val="BodyText"/>
      </w:pPr>
    </w:p>
    <w:p w:rsidR="00000000" w:rsidRPr="005678EF" w:rsidP="005678EF">
      <w:pPr>
        <w:pStyle w:val="Heading1"/>
      </w:pPr>
      <w:bookmarkStart w:id="13" w:name="O_217880"/>
      <w:bookmarkEnd w:id="13"/>
      <w:r w:rsidRPr="005678EF">
        <w:t>Co-requisite units</w:t>
      </w:r>
    </w:p>
    <w:tbl>
      <w:tblPr>
        <w:tblW w:w="0" w:type="auto"/>
        <w:tblLayout w:type="fixed"/>
        <w:tblCellMar>
          <w:left w:w="62" w:type="dxa"/>
          <w:right w:w="62" w:type="dxa"/>
        </w:tblCellMar>
        <w:tblLook w:val="0000"/>
      </w:tblPr>
      <w:tblGrid>
        <w:gridCol w:w="2641"/>
        <w:gridCol w:w="1322"/>
        <w:gridCol w:w="4559"/>
      </w:tblGrid>
      <w:tr w:rsidTr="00C96E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96E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p>
        </w:tc>
      </w:tr>
      <w:tr w:rsidTr="00C96E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p>
        </w:tc>
      </w:tr>
    </w:tbl>
    <w:p w:rsidR="00C96E67" w:rsidP="005678EF">
      <w:pPr>
        <w:pStyle w:val="BodyText"/>
      </w:pPr>
    </w:p>
    <w:p w:rsidR="00C96E67" w:rsidP="005678EF">
      <w:pPr>
        <w:pStyle w:val="BodyText"/>
      </w:pPr>
    </w:p>
    <w:p w:rsidR="00000000" w:rsidRPr="005678EF" w:rsidP="005678EF">
      <w:pPr>
        <w:pStyle w:val="Heading1"/>
      </w:pPr>
      <w:bookmarkStart w:id="14" w:name="O_217882"/>
      <w:bookmarkEnd w:id="14"/>
      <w:r w:rsidRPr="005678EF">
        <w:t>Competency field</w:t>
      </w:r>
    </w:p>
    <w:tbl>
      <w:tblPr>
        <w:tblW w:w="0" w:type="auto"/>
        <w:tblLayout w:type="fixed"/>
        <w:tblCellMar>
          <w:left w:w="62" w:type="dxa"/>
          <w:right w:w="62" w:type="dxa"/>
        </w:tblCellMar>
        <w:tblLook w:val="0000"/>
      </w:tblPr>
      <w:tblGrid>
        <w:gridCol w:w="2784"/>
        <w:gridCol w:w="5738"/>
      </w:tblGrid>
      <w:tr w:rsidTr="00C96E6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EF">
            <w:pPr>
              <w:pStyle w:val="BodyText"/>
              <w:rPr>
                <w:lang w:val="en-NZ"/>
              </w:rPr>
            </w:pPr>
            <w:r w:rsidRPr="005678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EF" w:rsidP="005678EF">
            <w:pPr>
              <w:pStyle w:val="BodyText"/>
            </w:pPr>
          </w:p>
        </w:tc>
      </w:tr>
    </w:tbl>
    <w:p w:rsidR="00C96E67" w:rsidP="005678EF">
      <w:pPr>
        <w:pStyle w:val="BodyText"/>
      </w:pPr>
    </w:p>
    <w:p w:rsidR="00C96E67" w:rsidP="005678EF">
      <w:pPr>
        <w:pStyle w:val="BodyText"/>
      </w:pPr>
    </w:p>
    <w:p w:rsidR="00000000" w:rsidRPr="005678EF" w:rsidP="005678EF"/>
    <w:sectPr w:rsidSect="005678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E67" w:rsidP="00C96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67" w:rsidP="00567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96E67" w:rsidP="005678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96E67" w:rsidP="005678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E67" w:rsidP="00C96E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E67" w:rsidP="005678EF">
    <w:pPr>
      <w:pStyle w:val="Header"/>
      <w:framePr w:wrap="around"/>
    </w:pPr>
    <w:r>
      <w:fldChar w:fldCharType="begin"/>
    </w:r>
    <w:r>
      <w:instrText xml:space="preserve"> TITLE   \* MERGEFORMAT </w:instrText>
    </w:r>
    <w:r>
      <w:fldChar w:fldCharType="separate"/>
    </w:r>
    <w:r>
      <w:t>SFICOMP315A Support the judicial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6E67" w:rsidP="005678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0AE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5AA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3044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8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78EF"/>
    <w:pPr>
      <w:spacing w:before="360" w:after="60"/>
      <w:outlineLvl w:val="0"/>
    </w:pPr>
    <w:rPr>
      <w:sz w:val="32"/>
    </w:rPr>
  </w:style>
  <w:style w:type="paragraph" w:styleId="Heading2">
    <w:name w:val="heading 2"/>
    <w:basedOn w:val="HeadingBase"/>
    <w:next w:val="BodyText"/>
    <w:link w:val="Heading2Char"/>
    <w:qFormat/>
    <w:rsid w:val="005678EF"/>
    <w:pPr>
      <w:keepLines/>
      <w:spacing w:before="240" w:after="120"/>
      <w:outlineLvl w:val="1"/>
    </w:pPr>
    <w:rPr>
      <w:sz w:val="28"/>
      <w:szCs w:val="40"/>
    </w:rPr>
  </w:style>
  <w:style w:type="paragraph" w:styleId="Heading3">
    <w:name w:val="heading 3"/>
    <w:basedOn w:val="HeadingBase"/>
    <w:next w:val="BodyText"/>
    <w:link w:val="Heading3Char"/>
    <w:qFormat/>
    <w:rsid w:val="005678EF"/>
    <w:pPr>
      <w:spacing w:before="180" w:after="120"/>
      <w:outlineLvl w:val="2"/>
    </w:pPr>
    <w:rPr>
      <w:spacing w:val="-10"/>
      <w:kern w:val="32"/>
    </w:rPr>
  </w:style>
  <w:style w:type="paragraph" w:styleId="Heading4">
    <w:name w:val="heading 4"/>
    <w:basedOn w:val="HeadingBase"/>
    <w:next w:val="BodyText"/>
    <w:link w:val="Heading4Char"/>
    <w:qFormat/>
    <w:rsid w:val="005678EF"/>
    <w:pPr>
      <w:spacing w:before="160" w:after="120"/>
      <w:outlineLvl w:val="3"/>
    </w:pPr>
    <w:rPr>
      <w:sz w:val="22"/>
    </w:rPr>
  </w:style>
  <w:style w:type="paragraph" w:styleId="Heading5">
    <w:name w:val="heading 5"/>
    <w:basedOn w:val="HeadingBase"/>
    <w:next w:val="Normal"/>
    <w:link w:val="Heading5Char"/>
    <w:qFormat/>
    <w:rsid w:val="005678EF"/>
    <w:pPr>
      <w:spacing w:before="80"/>
      <w:outlineLvl w:val="4"/>
    </w:pPr>
    <w:rPr>
      <w:color w:val="918585"/>
      <w:sz w:val="20"/>
    </w:rPr>
  </w:style>
  <w:style w:type="paragraph" w:styleId="Heading6">
    <w:name w:val="heading 6"/>
    <w:basedOn w:val="HeadingBase"/>
    <w:next w:val="Normal"/>
    <w:link w:val="Heading6Char"/>
    <w:qFormat/>
    <w:rsid w:val="005678EF"/>
    <w:pPr>
      <w:spacing w:before="60"/>
      <w:outlineLvl w:val="5"/>
    </w:pPr>
    <w:rPr>
      <w:color w:val="918585"/>
      <w:sz w:val="20"/>
    </w:rPr>
  </w:style>
  <w:style w:type="paragraph" w:styleId="Heading7">
    <w:name w:val="heading 7"/>
    <w:basedOn w:val="Normal"/>
    <w:next w:val="Normal"/>
    <w:link w:val="Heading7Char"/>
    <w:qFormat/>
    <w:rsid w:val="005678EF"/>
    <w:pPr>
      <w:ind w:left="720"/>
      <w:outlineLvl w:val="6"/>
    </w:pPr>
    <w:rPr>
      <w:i/>
    </w:rPr>
  </w:style>
  <w:style w:type="paragraph" w:styleId="Heading8">
    <w:name w:val="heading 8"/>
    <w:basedOn w:val="Normal"/>
    <w:next w:val="Normal"/>
    <w:link w:val="Heading8Char"/>
    <w:qFormat/>
    <w:rsid w:val="005678EF"/>
    <w:pPr>
      <w:ind w:left="720"/>
      <w:outlineLvl w:val="7"/>
    </w:pPr>
    <w:rPr>
      <w:i/>
    </w:rPr>
  </w:style>
  <w:style w:type="paragraph" w:styleId="Heading9">
    <w:name w:val="heading 9"/>
    <w:basedOn w:val="Normal"/>
    <w:next w:val="Normal"/>
    <w:link w:val="Heading9Char"/>
    <w:qFormat/>
    <w:rsid w:val="005678EF"/>
    <w:pPr>
      <w:ind w:left="720"/>
      <w:outlineLvl w:val="8"/>
    </w:pPr>
    <w:rPr>
      <w:i/>
    </w:rPr>
  </w:style>
  <w:style w:type="character" w:default="1" w:styleId="DefaultParagraphFont">
    <w:name w:val="Default Paragraph Font"/>
    <w:uiPriority w:val="1"/>
    <w:unhideWhenUsed/>
    <w:rsid w:val="00567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8EF"/>
  </w:style>
  <w:style w:type="character" w:customStyle="1" w:styleId="Heading1Char">
    <w:name w:val="Heading 1 Char"/>
    <w:basedOn w:val="DefaultParagraphFont"/>
    <w:link w:val="Heading1"/>
    <w:rsid w:val="005678EF"/>
    <w:rPr>
      <w:rFonts w:ascii="Times New Roman" w:eastAsia="Times New Roman" w:hAnsi="Times New Roman" w:cs="Times New Roman"/>
      <w:b/>
      <w:sz w:val="32"/>
      <w:szCs w:val="20"/>
      <w:lang w:eastAsia="en-US"/>
    </w:rPr>
  </w:style>
  <w:style w:type="paragraph" w:styleId="BodyText">
    <w:name w:val="Body Text"/>
    <w:basedOn w:val="Normal"/>
    <w:link w:val="BodyTextChar"/>
    <w:rsid w:val="005678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78EF"/>
    <w:rPr>
      <w:rFonts w:ascii="Times New Roman" w:eastAsia="Times New Roman" w:hAnsi="Times New Roman" w:cs="Times New Roman"/>
      <w:sz w:val="24"/>
      <w:lang w:val="en-US" w:eastAsia="en-US"/>
    </w:rPr>
  </w:style>
  <w:style w:type="paragraph" w:styleId="Footer">
    <w:name w:val="footer"/>
    <w:basedOn w:val="Normal"/>
    <w:link w:val="FooterChar"/>
    <w:rsid w:val="00567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8EF"/>
    <w:rPr>
      <w:rFonts w:ascii="Times New Roman" w:eastAsia="Times New Roman" w:hAnsi="Times New Roman" w:cs="Times New Roman"/>
      <w:sz w:val="16"/>
      <w:lang w:val="en-US" w:eastAsia="en-US"/>
    </w:rPr>
  </w:style>
  <w:style w:type="paragraph" w:styleId="List">
    <w:name w:val="List"/>
    <w:basedOn w:val="BodyText"/>
    <w:next w:val="BodyText"/>
    <w:rsid w:val="005678EF"/>
    <w:pPr>
      <w:tabs>
        <w:tab w:val="left" w:pos="340"/>
      </w:tabs>
      <w:spacing w:before="60" w:after="60"/>
      <w:ind w:left="340" w:hanging="340"/>
    </w:pPr>
  </w:style>
  <w:style w:type="paragraph" w:styleId="ListBullet">
    <w:name w:val="List Bullet"/>
    <w:basedOn w:val="List"/>
    <w:rsid w:val="005678EF"/>
    <w:pPr>
      <w:numPr>
        <w:numId w:val="13"/>
      </w:numPr>
      <w:tabs>
        <w:tab w:val="clear" w:pos="340"/>
      </w:tabs>
      <w:spacing w:before="40" w:after="40"/>
    </w:pPr>
  </w:style>
  <w:style w:type="character" w:customStyle="1" w:styleId="SpecialBold">
    <w:name w:val="Special Bold"/>
    <w:basedOn w:val="DefaultParagraphFont"/>
    <w:rsid w:val="005678EF"/>
    <w:rPr>
      <w:b/>
      <w:spacing w:val="0"/>
    </w:rPr>
  </w:style>
  <w:style w:type="paragraph" w:styleId="ListBullet2">
    <w:name w:val="List Bullet 2"/>
    <w:basedOn w:val="List2"/>
    <w:rsid w:val="005678EF"/>
    <w:pPr>
      <w:numPr>
        <w:numId w:val="14"/>
      </w:numPr>
      <w:tabs>
        <w:tab w:val="clear" w:pos="680"/>
      </w:tabs>
    </w:pPr>
  </w:style>
  <w:style w:type="paragraph" w:styleId="Header">
    <w:name w:val="header"/>
    <w:basedOn w:val="Normal"/>
    <w:link w:val="HeaderChar"/>
    <w:rsid w:val="00567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8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78EF"/>
    <w:pPr>
      <w:spacing w:before="240" w:after="120"/>
      <w:outlineLvl w:val="0"/>
    </w:pPr>
    <w:rPr>
      <w:rFonts w:ascii="Times New Roman" w:hAnsi="Times New Roman"/>
      <w:b/>
      <w:sz w:val="28"/>
    </w:rPr>
  </w:style>
  <w:style w:type="paragraph" w:customStyle="1" w:styleId="AllowPageBreak">
    <w:name w:val="AllowPageBreak"/>
    <w:rsid w:val="005678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78EF"/>
    <w:pPr>
      <w:tabs>
        <w:tab w:val="left" w:pos="680"/>
      </w:tabs>
      <w:spacing w:before="60" w:after="60"/>
      <w:ind w:left="680" w:hanging="340"/>
    </w:pPr>
  </w:style>
  <w:style w:type="character" w:customStyle="1" w:styleId="BoldandItalics">
    <w:name w:val="Bold and Italics"/>
    <w:qFormat/>
    <w:rsid w:val="005678EF"/>
    <w:rPr>
      <w:b/>
      <w:i/>
      <w:u w:val="none"/>
    </w:rPr>
  </w:style>
  <w:style w:type="character" w:customStyle="1" w:styleId="Heading2Char">
    <w:name w:val="Heading 2 Char"/>
    <w:basedOn w:val="DefaultParagraphFont"/>
    <w:link w:val="Heading2"/>
    <w:rsid w:val="00567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8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78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78EF"/>
    <w:rPr>
      <w:rFonts w:ascii="Courier New" w:eastAsia="Times New Roman" w:hAnsi="Courier New" w:cs="Times New Roman"/>
      <w:i/>
      <w:szCs w:val="20"/>
      <w:lang w:val="en-US" w:eastAsia="en-US"/>
    </w:rPr>
  </w:style>
  <w:style w:type="paragraph" w:customStyle="1" w:styleId="HeadingBase">
    <w:name w:val="Heading Base"/>
    <w:rsid w:val="00567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8EF"/>
    <w:pPr>
      <w:tabs>
        <w:tab w:val="right" w:leader="dot" w:pos="9072"/>
      </w:tabs>
      <w:ind w:left="567"/>
    </w:pPr>
    <w:rPr>
      <w:szCs w:val="22"/>
    </w:rPr>
  </w:style>
  <w:style w:type="paragraph" w:customStyle="1" w:styleId="TOCBase">
    <w:name w:val="TOC Base"/>
    <w:rsid w:val="00567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8EF"/>
    <w:pPr>
      <w:tabs>
        <w:tab w:val="right" w:leader="dot" w:pos="9072"/>
      </w:tabs>
      <w:spacing w:before="40" w:after="40"/>
      <w:ind w:left="284"/>
    </w:pPr>
    <w:rPr>
      <w:rFonts w:ascii="Times New Roman" w:hAnsi="Times New Roman"/>
    </w:rPr>
  </w:style>
  <w:style w:type="paragraph" w:styleId="TOC1">
    <w:name w:val="toc 1"/>
    <w:basedOn w:val="TOCBase"/>
    <w:next w:val="Normal"/>
    <w:rsid w:val="005678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78EF"/>
    <w:pPr>
      <w:spacing w:before="5040"/>
      <w:jc w:val="center"/>
    </w:pPr>
    <w:rPr>
      <w:sz w:val="48"/>
      <w:szCs w:val="72"/>
      <w:lang w:val="en-US"/>
    </w:rPr>
  </w:style>
  <w:style w:type="character" w:customStyle="1" w:styleId="TitleChar">
    <w:name w:val="Title Char"/>
    <w:basedOn w:val="DefaultParagraphFont"/>
    <w:link w:val="Title"/>
    <w:rsid w:val="00567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8EF"/>
    <w:pPr>
      <w:tabs>
        <w:tab w:val="left" w:pos="3600"/>
        <w:tab w:val="left" w:pos="3958"/>
      </w:tabs>
    </w:pPr>
  </w:style>
  <w:style w:type="paragraph" w:customStyle="1" w:styleId="Note">
    <w:name w:val="Note"/>
    <w:basedOn w:val="BodyText"/>
    <w:rsid w:val="00567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8EF"/>
    <w:pPr>
      <w:framePr w:wrap="auto" w:hAnchor="text" w:y="6049"/>
    </w:pPr>
    <w:rPr>
      <w:color w:val="000000"/>
      <w:sz w:val="40"/>
    </w:rPr>
  </w:style>
  <w:style w:type="paragraph" w:customStyle="1" w:styleId="TOCTitle">
    <w:name w:val="TOCTitle"/>
    <w:basedOn w:val="Heading1"/>
    <w:rsid w:val="005678EF"/>
    <w:pPr>
      <w:spacing w:after="240"/>
      <w:jc w:val="center"/>
      <w:outlineLvl w:val="9"/>
    </w:pPr>
    <w:rPr>
      <w:caps/>
    </w:rPr>
  </w:style>
  <w:style w:type="paragraph" w:customStyle="1" w:styleId="Version">
    <w:name w:val="Version"/>
    <w:rsid w:val="005678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8EF"/>
    <w:pPr>
      <w:keepNext w:val="0"/>
      <w:tabs>
        <w:tab w:val="right" w:pos="4176"/>
      </w:tabs>
      <w:ind w:left="198" w:hanging="198"/>
    </w:pPr>
    <w:rPr>
      <w:rFonts w:ascii="Garamond" w:hAnsi="Garamond"/>
    </w:rPr>
  </w:style>
  <w:style w:type="paragraph" w:styleId="IndexHeading">
    <w:name w:val="index heading"/>
    <w:basedOn w:val="Normal"/>
    <w:next w:val="Index1"/>
    <w:semiHidden/>
    <w:rsid w:val="005678EF"/>
    <w:pPr>
      <w:spacing w:before="120" w:after="120"/>
    </w:pPr>
    <w:rPr>
      <w:rFonts w:ascii="Arial" w:hAnsi="Arial"/>
      <w:b/>
      <w:color w:val="918585"/>
      <w:sz w:val="24"/>
    </w:rPr>
  </w:style>
  <w:style w:type="paragraph" w:customStyle="1" w:styleId="Chapter">
    <w:name w:val="Chapter"/>
    <w:basedOn w:val="Normal"/>
    <w:rsid w:val="005678EF"/>
    <w:pPr>
      <w:spacing w:before="240"/>
    </w:pPr>
    <w:rPr>
      <w:rFonts w:ascii="Times New Roman" w:hAnsi="Times New Roman"/>
      <w:smallCaps/>
      <w:spacing w:val="80"/>
      <w:sz w:val="28"/>
    </w:rPr>
  </w:style>
  <w:style w:type="paragraph" w:customStyle="1" w:styleId="InChapter">
    <w:name w:val="InChapter"/>
    <w:basedOn w:val="Heading3"/>
    <w:rsid w:val="005678EF"/>
    <w:pPr>
      <w:spacing w:after="240"/>
      <w:outlineLvl w:val="9"/>
    </w:pPr>
    <w:rPr>
      <w:noProof/>
    </w:rPr>
  </w:style>
  <w:style w:type="paragraph" w:styleId="Index2">
    <w:name w:val="index 2"/>
    <w:basedOn w:val="Normal"/>
    <w:next w:val="Normal"/>
    <w:semiHidden/>
    <w:rsid w:val="005678EF"/>
    <w:pPr>
      <w:tabs>
        <w:tab w:val="right" w:pos="4176"/>
      </w:tabs>
      <w:ind w:left="568" w:hanging="284"/>
    </w:pPr>
    <w:rPr>
      <w:rFonts w:ascii="Garamond" w:hAnsi="Garamond"/>
    </w:rPr>
  </w:style>
  <w:style w:type="paragraph" w:customStyle="1" w:styleId="Byline">
    <w:name w:val="Byline"/>
    <w:rsid w:val="00567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8EF"/>
    <w:pPr>
      <w:tabs>
        <w:tab w:val="clear" w:pos="3600"/>
        <w:tab w:val="clear" w:pos="3958"/>
      </w:tabs>
      <w:jc w:val="right"/>
    </w:pPr>
  </w:style>
  <w:style w:type="character" w:styleId="Emphasis">
    <w:name w:val="Emphasis"/>
    <w:basedOn w:val="DefaultParagraphFont"/>
    <w:qFormat/>
    <w:rsid w:val="005678EF"/>
    <w:rPr>
      <w:i/>
    </w:rPr>
  </w:style>
  <w:style w:type="paragraph" w:styleId="Caption">
    <w:name w:val="caption"/>
    <w:basedOn w:val="BodyText"/>
    <w:next w:val="Normal"/>
    <w:qFormat/>
    <w:rsid w:val="005678EF"/>
    <w:pPr>
      <w:framePr w:w="2268" w:hSpace="181" w:vSpace="181" w:wrap="around" w:vAnchor="text" w:hAnchor="page" w:x="1135" w:y="285" w:anchorLock="1"/>
    </w:pPr>
    <w:rPr>
      <w:i/>
    </w:rPr>
  </w:style>
  <w:style w:type="paragraph" w:customStyle="1" w:styleId="MiniTOCTitle">
    <w:name w:val="MiniTOCTitle"/>
    <w:basedOn w:val="Heading4"/>
    <w:rsid w:val="005678EF"/>
    <w:pPr>
      <w:spacing w:before="240"/>
      <w:outlineLvl w:val="9"/>
    </w:pPr>
    <w:rPr>
      <w:noProof/>
      <w:sz w:val="24"/>
    </w:rPr>
  </w:style>
  <w:style w:type="paragraph" w:customStyle="1" w:styleId="MiniTOCItem">
    <w:name w:val="MiniTOCItem"/>
    <w:basedOn w:val="ListBullet"/>
    <w:rsid w:val="005678EF"/>
    <w:pPr>
      <w:numPr>
        <w:numId w:val="0"/>
      </w:numPr>
      <w:tabs>
        <w:tab w:val="right" w:leader="dot" w:pos="6521"/>
      </w:tabs>
      <w:spacing w:before="0" w:after="0"/>
    </w:pPr>
  </w:style>
  <w:style w:type="paragraph" w:customStyle="1" w:styleId="TOFTitle">
    <w:name w:val="TOFTitle"/>
    <w:basedOn w:val="TOCTitle"/>
    <w:rsid w:val="005678EF"/>
  </w:style>
  <w:style w:type="paragraph" w:styleId="TableofFigures">
    <w:name w:val="table of figures"/>
    <w:basedOn w:val="Normal"/>
    <w:next w:val="Normal"/>
    <w:semiHidden/>
    <w:rsid w:val="005678EF"/>
    <w:pPr>
      <w:tabs>
        <w:tab w:val="right" w:leader="dot" w:pos="9072"/>
      </w:tabs>
      <w:ind w:left="970" w:hanging="403"/>
    </w:pPr>
    <w:rPr>
      <w:rFonts w:ascii="Times New Roman" w:hAnsi="Times New Roman"/>
      <w:b/>
    </w:rPr>
  </w:style>
  <w:style w:type="paragraph" w:styleId="ListNumber">
    <w:name w:val="List Number"/>
    <w:basedOn w:val="List"/>
    <w:rsid w:val="005678EF"/>
    <w:pPr>
      <w:numPr>
        <w:numId w:val="11"/>
      </w:numPr>
    </w:pPr>
  </w:style>
  <w:style w:type="character" w:customStyle="1" w:styleId="WingdingSymbols">
    <w:name w:val="Wingding Symbols"/>
    <w:rsid w:val="005678EF"/>
    <w:rPr>
      <w:rFonts w:ascii="Wingdings" w:hAnsi="Wingdings"/>
    </w:rPr>
  </w:style>
  <w:style w:type="paragraph" w:customStyle="1" w:styleId="TableHeading">
    <w:name w:val="Table Heading"/>
    <w:basedOn w:val="HeadingBase"/>
    <w:rsid w:val="005678EF"/>
    <w:pPr>
      <w:keepLines/>
      <w:pBdr>
        <w:bottom w:val="single" w:sz="6" w:space="1" w:color="918585"/>
      </w:pBdr>
      <w:spacing w:before="240"/>
    </w:pPr>
  </w:style>
  <w:style w:type="character" w:customStyle="1" w:styleId="HotSpot">
    <w:name w:val="HotSpot"/>
    <w:rsid w:val="005678EF"/>
    <w:rPr>
      <w:color w:val="0033CC"/>
      <w:u w:val="none"/>
    </w:rPr>
  </w:style>
  <w:style w:type="paragraph" w:customStyle="1" w:styleId="BodyTextRight">
    <w:name w:val="Body Text Right"/>
    <w:basedOn w:val="BodyText"/>
    <w:rsid w:val="005678EF"/>
    <w:pPr>
      <w:spacing w:before="0" w:after="0"/>
      <w:jc w:val="right"/>
    </w:pPr>
  </w:style>
  <w:style w:type="paragraph" w:styleId="Index3">
    <w:name w:val="index 3"/>
    <w:basedOn w:val="ListNumber2"/>
    <w:next w:val="Normal"/>
    <w:semiHidden/>
    <w:rsid w:val="005678EF"/>
    <w:pPr>
      <w:numPr>
        <w:numId w:val="0"/>
      </w:numPr>
      <w:tabs>
        <w:tab w:val="right" w:leader="dot" w:pos="4176"/>
      </w:tabs>
    </w:pPr>
  </w:style>
  <w:style w:type="paragraph" w:styleId="ListNumber2">
    <w:name w:val="List Number 2"/>
    <w:basedOn w:val="List2"/>
    <w:rsid w:val="005678EF"/>
    <w:pPr>
      <w:numPr>
        <w:numId w:val="10"/>
      </w:numPr>
      <w:tabs>
        <w:tab w:val="clear" w:pos="1060"/>
      </w:tabs>
    </w:pPr>
  </w:style>
  <w:style w:type="paragraph" w:customStyle="1" w:styleId="MarginNote">
    <w:name w:val="Margin Note"/>
    <w:basedOn w:val="BodyText"/>
    <w:rsid w:val="00567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8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78EF"/>
    <w:rPr>
      <w:sz w:val="32"/>
    </w:rPr>
  </w:style>
  <w:style w:type="paragraph" w:customStyle="1" w:styleId="HeadingProcedure">
    <w:name w:val="Heading Procedure"/>
    <w:basedOn w:val="HeadingBase"/>
    <w:next w:val="Normal"/>
    <w:rsid w:val="005678EF"/>
    <w:pPr>
      <w:tabs>
        <w:tab w:val="left" w:pos="0"/>
      </w:tabs>
      <w:spacing w:before="120" w:after="60"/>
    </w:pPr>
    <w:rPr>
      <w:i/>
      <w:color w:val="918585"/>
      <w:sz w:val="22"/>
    </w:rPr>
  </w:style>
  <w:style w:type="paragraph" w:customStyle="1" w:styleId="TableBodyText">
    <w:name w:val="Table Body Text"/>
    <w:basedOn w:val="BodyText"/>
    <w:rsid w:val="005678EF"/>
    <w:pPr>
      <w:spacing w:before="60" w:after="60"/>
    </w:pPr>
  </w:style>
  <w:style w:type="paragraph" w:styleId="ListContinue">
    <w:name w:val="List Continue"/>
    <w:basedOn w:val="List"/>
    <w:rsid w:val="005678EF"/>
    <w:pPr>
      <w:ind w:firstLine="0"/>
    </w:pPr>
  </w:style>
  <w:style w:type="paragraph" w:customStyle="1" w:styleId="ListNote">
    <w:name w:val="List Note"/>
    <w:basedOn w:val="List"/>
    <w:rsid w:val="005678EF"/>
    <w:pPr>
      <w:pBdr>
        <w:top w:val="single" w:sz="6" w:space="2" w:color="918585"/>
        <w:bottom w:val="single" w:sz="6" w:space="2" w:color="918585"/>
      </w:pBdr>
      <w:tabs>
        <w:tab w:val="left" w:pos="1021"/>
      </w:tabs>
      <w:ind w:firstLine="0"/>
    </w:pPr>
  </w:style>
  <w:style w:type="paragraph" w:customStyle="1" w:styleId="Warning">
    <w:name w:val="Warning"/>
    <w:basedOn w:val="BodyText"/>
    <w:rsid w:val="005678EF"/>
    <w:pPr>
      <w:shd w:val="clear" w:color="auto" w:fill="D9D9D9"/>
      <w:tabs>
        <w:tab w:val="left" w:pos="992"/>
      </w:tabs>
      <w:ind w:left="119" w:right="119"/>
    </w:pPr>
    <w:rPr>
      <w:sz w:val="20"/>
    </w:rPr>
  </w:style>
  <w:style w:type="paragraph" w:customStyle="1" w:styleId="MarginIcons">
    <w:name w:val="Margin Icons"/>
    <w:basedOn w:val="BodyText"/>
    <w:rsid w:val="00567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8EF"/>
    <w:rPr>
      <w:rFonts w:ascii="Courier New" w:hAnsi="Courier New"/>
    </w:rPr>
  </w:style>
  <w:style w:type="paragraph" w:customStyle="1" w:styleId="NoteBullet">
    <w:name w:val="Note Bullet"/>
    <w:basedOn w:val="Note"/>
    <w:rsid w:val="005678EF"/>
    <w:pPr>
      <w:tabs>
        <w:tab w:val="clear" w:pos="680"/>
      </w:tabs>
      <w:spacing w:before="60" w:after="60"/>
    </w:pPr>
  </w:style>
  <w:style w:type="paragraph" w:customStyle="1" w:styleId="SubHeading2">
    <w:name w:val="SubHeading2"/>
    <w:basedOn w:val="HeadingBase"/>
    <w:rsid w:val="005678EF"/>
    <w:pPr>
      <w:spacing w:before="240" w:after="60"/>
    </w:pPr>
    <w:rPr>
      <w:sz w:val="20"/>
    </w:rPr>
  </w:style>
  <w:style w:type="paragraph" w:customStyle="1" w:styleId="SubHeading1">
    <w:name w:val="SubHeading1"/>
    <w:basedOn w:val="HeadingBase"/>
    <w:rsid w:val="005678EF"/>
    <w:pPr>
      <w:spacing w:before="240" w:after="60"/>
    </w:pPr>
    <w:rPr>
      <w:color w:val="918585"/>
      <w:sz w:val="22"/>
    </w:rPr>
  </w:style>
  <w:style w:type="paragraph" w:customStyle="1" w:styleId="SideHeading">
    <w:name w:val="Side Heading"/>
    <w:basedOn w:val="HeadingBase"/>
    <w:rsid w:val="00567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8EF"/>
    <w:pPr>
      <w:numPr>
        <w:numId w:val="12"/>
      </w:numPr>
    </w:pPr>
  </w:style>
  <w:style w:type="paragraph" w:styleId="PlainText">
    <w:name w:val="Plain Text"/>
    <w:basedOn w:val="Normal"/>
    <w:link w:val="PlainTextChar"/>
    <w:rsid w:val="005678EF"/>
    <w:rPr>
      <w:sz w:val="20"/>
    </w:rPr>
  </w:style>
  <w:style w:type="character" w:customStyle="1" w:styleId="PlainTextChar">
    <w:name w:val="Plain Text Char"/>
    <w:basedOn w:val="DefaultParagraphFont"/>
    <w:link w:val="PlainText"/>
    <w:rsid w:val="005678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78EF"/>
    <w:rPr>
      <w:b/>
      <w:smallCaps/>
    </w:rPr>
  </w:style>
  <w:style w:type="paragraph" w:customStyle="1" w:styleId="TableListNumber">
    <w:name w:val="Table List Number"/>
    <w:basedOn w:val="ListNumber"/>
    <w:rsid w:val="005678EF"/>
    <w:pPr>
      <w:numPr>
        <w:numId w:val="0"/>
      </w:numPr>
    </w:pPr>
  </w:style>
  <w:style w:type="paragraph" w:styleId="TOC4">
    <w:name w:val="toc 4"/>
    <w:basedOn w:val="TOCBase"/>
    <w:next w:val="Normal"/>
    <w:semiHidden/>
    <w:rsid w:val="005678EF"/>
    <w:pPr>
      <w:tabs>
        <w:tab w:val="right" w:leader="dot" w:pos="9071"/>
      </w:tabs>
      <w:ind w:left="1701"/>
    </w:pPr>
  </w:style>
  <w:style w:type="paragraph" w:customStyle="1" w:styleId="ListAlpha">
    <w:name w:val="List Alpha"/>
    <w:basedOn w:val="List"/>
    <w:rsid w:val="005678EF"/>
    <w:pPr>
      <w:numPr>
        <w:numId w:val="9"/>
      </w:numPr>
    </w:pPr>
  </w:style>
  <w:style w:type="paragraph" w:customStyle="1" w:styleId="ListAlpha2">
    <w:name w:val="List Alpha 2"/>
    <w:basedOn w:val="List2"/>
    <w:rsid w:val="005678EF"/>
    <w:pPr>
      <w:numPr>
        <w:numId w:val="8"/>
      </w:numPr>
    </w:pPr>
  </w:style>
  <w:style w:type="paragraph" w:styleId="List3">
    <w:name w:val="List 3"/>
    <w:basedOn w:val="BodyText"/>
    <w:rsid w:val="005678EF"/>
    <w:pPr>
      <w:tabs>
        <w:tab w:val="left" w:pos="1021"/>
      </w:tabs>
      <w:spacing w:before="60" w:after="60"/>
      <w:ind w:left="1020" w:hanging="340"/>
    </w:pPr>
  </w:style>
  <w:style w:type="paragraph" w:styleId="List4">
    <w:name w:val="List 4"/>
    <w:basedOn w:val="BodyText"/>
    <w:rsid w:val="005678EF"/>
    <w:pPr>
      <w:tabs>
        <w:tab w:val="left" w:pos="1361"/>
      </w:tabs>
      <w:spacing w:before="60" w:after="60"/>
      <w:ind w:left="1361" w:hanging="340"/>
    </w:pPr>
  </w:style>
  <w:style w:type="paragraph" w:styleId="List5">
    <w:name w:val="List 5"/>
    <w:basedOn w:val="BodyText"/>
    <w:rsid w:val="005678EF"/>
    <w:pPr>
      <w:tabs>
        <w:tab w:val="left" w:pos="1701"/>
      </w:tabs>
      <w:spacing w:before="60" w:after="60"/>
      <w:ind w:left="1701" w:hanging="340"/>
    </w:pPr>
  </w:style>
  <w:style w:type="paragraph" w:styleId="ListBullet3">
    <w:name w:val="List Bullet 3"/>
    <w:basedOn w:val="List3"/>
    <w:rsid w:val="005678EF"/>
    <w:pPr>
      <w:numPr>
        <w:numId w:val="15"/>
      </w:numPr>
      <w:tabs>
        <w:tab w:val="clear" w:pos="1021"/>
      </w:tabs>
      <w:ind w:left="1037" w:hanging="357"/>
    </w:pPr>
  </w:style>
  <w:style w:type="paragraph" w:styleId="ListBullet4">
    <w:name w:val="List Bullet 4"/>
    <w:basedOn w:val="List4"/>
    <w:rsid w:val="005678EF"/>
    <w:pPr>
      <w:numPr>
        <w:numId w:val="3"/>
      </w:numPr>
    </w:pPr>
  </w:style>
  <w:style w:type="paragraph" w:styleId="ListBullet5">
    <w:name w:val="List Bullet 5"/>
    <w:basedOn w:val="List5"/>
    <w:rsid w:val="005678EF"/>
    <w:pPr>
      <w:numPr>
        <w:numId w:val="4"/>
      </w:numPr>
    </w:pPr>
  </w:style>
  <w:style w:type="paragraph" w:styleId="ListContinue2">
    <w:name w:val="List Continue 2"/>
    <w:basedOn w:val="List2"/>
    <w:rsid w:val="005678EF"/>
    <w:pPr>
      <w:ind w:firstLine="0"/>
    </w:pPr>
  </w:style>
  <w:style w:type="paragraph" w:styleId="ListContinue3">
    <w:name w:val="List Continue 3"/>
    <w:basedOn w:val="List3"/>
    <w:rsid w:val="005678EF"/>
    <w:pPr>
      <w:ind w:left="1021" w:firstLine="0"/>
    </w:pPr>
  </w:style>
  <w:style w:type="paragraph" w:styleId="ListContinue4">
    <w:name w:val="List Continue 4"/>
    <w:basedOn w:val="List4"/>
    <w:rsid w:val="005678EF"/>
    <w:pPr>
      <w:ind w:firstLine="0"/>
    </w:pPr>
  </w:style>
  <w:style w:type="paragraph" w:styleId="ListContinue5">
    <w:name w:val="List Continue 5"/>
    <w:basedOn w:val="List5"/>
    <w:rsid w:val="005678EF"/>
    <w:pPr>
      <w:ind w:firstLine="0"/>
    </w:pPr>
  </w:style>
  <w:style w:type="paragraph" w:styleId="ListNumber3">
    <w:name w:val="List Number 3"/>
    <w:basedOn w:val="List3"/>
    <w:rsid w:val="005678EF"/>
    <w:pPr>
      <w:numPr>
        <w:numId w:val="5"/>
      </w:numPr>
    </w:pPr>
  </w:style>
  <w:style w:type="paragraph" w:styleId="ListNumber4">
    <w:name w:val="List Number 4"/>
    <w:basedOn w:val="List4"/>
    <w:rsid w:val="005678EF"/>
    <w:pPr>
      <w:numPr>
        <w:numId w:val="6"/>
      </w:numPr>
    </w:pPr>
  </w:style>
  <w:style w:type="paragraph" w:styleId="ListNumber5">
    <w:name w:val="List Number 5"/>
    <w:basedOn w:val="List5"/>
    <w:rsid w:val="005678EF"/>
    <w:pPr>
      <w:numPr>
        <w:numId w:val="7"/>
      </w:numPr>
    </w:pPr>
  </w:style>
  <w:style w:type="paragraph" w:styleId="BlockText">
    <w:name w:val="Block Text"/>
    <w:basedOn w:val="Normal"/>
    <w:rsid w:val="005678EF"/>
    <w:pPr>
      <w:spacing w:after="120"/>
      <w:ind w:left="1440" w:right="1440"/>
    </w:pPr>
  </w:style>
  <w:style w:type="character" w:customStyle="1" w:styleId="Subscript">
    <w:name w:val="Subscript"/>
    <w:basedOn w:val="DefaultParagraphFont"/>
    <w:rsid w:val="005678EF"/>
    <w:rPr>
      <w:sz w:val="16"/>
      <w:vertAlign w:val="subscript"/>
    </w:rPr>
  </w:style>
  <w:style w:type="character" w:customStyle="1" w:styleId="Superscript">
    <w:name w:val="Superscript"/>
    <w:basedOn w:val="DefaultParagraphFont"/>
    <w:rsid w:val="005678EF"/>
    <w:rPr>
      <w:sz w:val="16"/>
      <w:vertAlign w:val="superscript"/>
    </w:rPr>
  </w:style>
  <w:style w:type="character" w:customStyle="1" w:styleId="Symbols">
    <w:name w:val="Symbols"/>
    <w:basedOn w:val="DefaultParagraphFont"/>
    <w:rsid w:val="005678EF"/>
    <w:rPr>
      <w:rFonts w:ascii="Symbol" w:hAnsi="Symbol"/>
    </w:rPr>
  </w:style>
  <w:style w:type="character" w:customStyle="1" w:styleId="MenuOptions">
    <w:name w:val="Menu Options"/>
    <w:basedOn w:val="DefaultParagraphFont"/>
    <w:rsid w:val="005678EF"/>
    <w:rPr>
      <w:rFonts w:ascii="Arial Narrow" w:hAnsi="Arial Narrow"/>
      <w:smallCaps/>
    </w:rPr>
  </w:style>
  <w:style w:type="character" w:customStyle="1" w:styleId="Buttons">
    <w:name w:val="Buttons"/>
    <w:basedOn w:val="DefaultParagraphFont"/>
    <w:rsid w:val="005678EF"/>
    <w:rPr>
      <w:b/>
    </w:rPr>
  </w:style>
  <w:style w:type="character" w:customStyle="1" w:styleId="Underlined">
    <w:name w:val="Underlined"/>
    <w:basedOn w:val="DefaultParagraphFont"/>
    <w:rsid w:val="005678EF"/>
    <w:rPr>
      <w:u w:val="single"/>
    </w:rPr>
  </w:style>
  <w:style w:type="paragraph" w:customStyle="1" w:styleId="TableBodyTextRight">
    <w:name w:val="Table Body Text Right"/>
    <w:basedOn w:val="TableBodyText"/>
    <w:rsid w:val="005678EF"/>
    <w:pPr>
      <w:widowControl w:val="0"/>
      <w:autoSpaceDE w:val="0"/>
      <w:autoSpaceDN w:val="0"/>
      <w:adjustRightInd w:val="0"/>
      <w:jc w:val="right"/>
    </w:pPr>
    <w:rPr>
      <w:rFonts w:cs="Arial"/>
      <w:szCs w:val="18"/>
    </w:rPr>
  </w:style>
  <w:style w:type="paragraph" w:customStyle="1" w:styleId="CopyrightText">
    <w:name w:val="Copyright Text"/>
    <w:basedOn w:val="BodyText"/>
    <w:rsid w:val="005678EF"/>
    <w:rPr>
      <w:sz w:val="18"/>
    </w:rPr>
  </w:style>
  <w:style w:type="paragraph" w:customStyle="1" w:styleId="BodySmallRight">
    <w:name w:val="Body Small Right"/>
    <w:basedOn w:val="BodyTextRight"/>
    <w:rsid w:val="005678EF"/>
    <w:rPr>
      <w:sz w:val="18"/>
      <w:szCs w:val="18"/>
    </w:rPr>
  </w:style>
  <w:style w:type="paragraph" w:customStyle="1" w:styleId="MarginEdition">
    <w:name w:val="Margin Edition"/>
    <w:basedOn w:val="MarginNote"/>
    <w:rsid w:val="005678EF"/>
    <w:pPr>
      <w:spacing w:before="0" w:after="0"/>
    </w:pPr>
    <w:rPr>
      <w:rFonts w:ascii="Times New Roman" w:hAnsi="Times New Roman"/>
      <w:color w:val="999999"/>
    </w:rPr>
  </w:style>
  <w:style w:type="paragraph" w:customStyle="1" w:styleId="Spacer">
    <w:name w:val="Spacer"/>
    <w:basedOn w:val="Normal"/>
    <w:rsid w:val="005678EF"/>
    <w:rPr>
      <w:sz w:val="2"/>
      <w:szCs w:val="2"/>
    </w:rPr>
  </w:style>
  <w:style w:type="character" w:customStyle="1" w:styleId="Small">
    <w:name w:val="Small"/>
    <w:basedOn w:val="DefaultParagraphFont"/>
    <w:rsid w:val="005678EF"/>
    <w:rPr>
      <w:sz w:val="16"/>
    </w:rPr>
  </w:style>
  <w:style w:type="paragraph" w:customStyle="1" w:styleId="WideTable">
    <w:name w:val="Wide Table"/>
    <w:basedOn w:val="Normal"/>
    <w:rsid w:val="005678EF"/>
    <w:pPr>
      <w:ind w:left="-1418"/>
    </w:pPr>
    <w:rPr>
      <w:sz w:val="2"/>
      <w:szCs w:val="2"/>
    </w:rPr>
  </w:style>
  <w:style w:type="character" w:styleId="PageNumber">
    <w:name w:val="page number"/>
    <w:basedOn w:val="DefaultParagraphFont"/>
    <w:rsid w:val="005678EF"/>
  </w:style>
  <w:style w:type="paragraph" w:styleId="Quote">
    <w:name w:val="Quote"/>
    <w:basedOn w:val="Heading1"/>
    <w:link w:val="QuoteChar"/>
    <w:qFormat/>
    <w:rsid w:val="005678EF"/>
    <w:rPr>
      <w:b w:val="0"/>
      <w:sz w:val="72"/>
      <w:szCs w:val="72"/>
      <w:lang w:val="en-NZ"/>
    </w:rPr>
  </w:style>
  <w:style w:type="character" w:customStyle="1" w:styleId="QuoteChar">
    <w:name w:val="Quote Char"/>
    <w:basedOn w:val="DefaultParagraphFont"/>
    <w:link w:val="Quote"/>
    <w:rsid w:val="00567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8EF"/>
    <w:pPr>
      <w:pageBreakBefore/>
    </w:pPr>
  </w:style>
  <w:style w:type="paragraph" w:customStyle="1" w:styleId="Border">
    <w:name w:val="Border"/>
    <w:basedOn w:val="Normal"/>
    <w:qFormat/>
    <w:rsid w:val="00567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8EF"/>
    <w:rPr>
      <w:b/>
      <w:bCs/>
      <w:i/>
      <w:iCs/>
      <w:color w:val="auto"/>
    </w:rPr>
  </w:style>
  <w:style w:type="paragraph" w:styleId="IntenseQuote">
    <w:name w:val="Intense Quote"/>
    <w:basedOn w:val="Normal"/>
    <w:next w:val="Normal"/>
    <w:link w:val="IntenseQuoteChar"/>
    <w:uiPriority w:val="30"/>
    <w:qFormat/>
    <w:rsid w:val="00567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8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78EF"/>
    <w:rPr>
      <w:smallCaps/>
      <w:color w:val="auto"/>
      <w:u w:val="single"/>
    </w:rPr>
  </w:style>
  <w:style w:type="character" w:styleId="IntenseReference">
    <w:name w:val="Intense Reference"/>
    <w:basedOn w:val="DefaultParagraphFont"/>
    <w:uiPriority w:val="32"/>
    <w:qFormat/>
    <w:rsid w:val="005678EF"/>
    <w:rPr>
      <w:b/>
      <w:bCs/>
      <w:smallCaps/>
      <w:color w:val="auto"/>
      <w:spacing w:val="5"/>
      <w:u w:val="single"/>
    </w:rPr>
  </w:style>
  <w:style w:type="paragraph" w:customStyle="1" w:styleId="2ColumnHeading">
    <w:name w:val="2Column Heading"/>
    <w:basedOn w:val="BodyText"/>
    <w:qFormat/>
    <w:rsid w:val="005678EF"/>
    <w:pPr>
      <w:spacing w:after="60"/>
      <w:ind w:left="-2268"/>
    </w:pPr>
    <w:rPr>
      <w:b/>
    </w:rPr>
  </w:style>
  <w:style w:type="paragraph" w:customStyle="1" w:styleId="Heading1TOC">
    <w:name w:val="Heading1 TOC"/>
    <w:basedOn w:val="Normal"/>
    <w:qFormat/>
    <w:rsid w:val="005678EF"/>
    <w:pPr>
      <w:spacing w:before="240" w:after="120"/>
    </w:pPr>
    <w:rPr>
      <w:rFonts w:ascii="Times New Roman" w:hAnsi="Times New Roman"/>
      <w:b/>
      <w:sz w:val="32"/>
    </w:rPr>
  </w:style>
  <w:style w:type="paragraph" w:customStyle="1" w:styleId="Heading2TOC">
    <w:name w:val="Heading2 TOC"/>
    <w:basedOn w:val="Normal"/>
    <w:qFormat/>
    <w:rsid w:val="005678EF"/>
    <w:pPr>
      <w:spacing w:before="240" w:after="60"/>
    </w:pPr>
    <w:rPr>
      <w:rFonts w:ascii="Times New Roman" w:hAnsi="Times New Roman"/>
      <w:b/>
      <w:sz w:val="28"/>
    </w:rPr>
  </w:style>
  <w:style w:type="character" w:customStyle="1" w:styleId="Underline">
    <w:name w:val="Underline"/>
    <w:basedOn w:val="DefaultParagraphFont"/>
    <w:qFormat/>
    <w:rsid w:val="005678EF"/>
    <w:rPr>
      <w:u w:val="single"/>
    </w:rPr>
  </w:style>
  <w:style w:type="paragraph" w:styleId="BalloonText">
    <w:name w:val="Balloon Text"/>
    <w:basedOn w:val="Normal"/>
    <w:link w:val="BalloonTextChar"/>
    <w:rsid w:val="005678EF"/>
    <w:rPr>
      <w:rFonts w:ascii="Tahoma" w:hAnsi="Tahoma" w:cs="Tahoma"/>
      <w:sz w:val="16"/>
      <w:szCs w:val="16"/>
    </w:rPr>
  </w:style>
  <w:style w:type="character" w:customStyle="1" w:styleId="BalloonTextChar">
    <w:name w:val="Balloon Text Char"/>
    <w:basedOn w:val="DefaultParagraphFont"/>
    <w:link w:val="BalloonText"/>
    <w:rsid w:val="005678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78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78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1257</Words>
  <Characters>8138</Characters>
  <Application>Microsoft Office Word</Application>
  <DocSecurity>0</DocSecurity>
  <Lines>321</Lines>
  <Paragraphs>180</Paragraphs>
  <ScaleCrop>false</ScaleCrop>
  <Company>Author-it Software Corporation Ltd.</Company>
  <LinksUpToDate>false</LinksUpToDate>
  <CharactersWithSpaces>9302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SFICOMP315A Support the judicial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2012-05-26T08:33:00Z</dcterms:created>
  <dcterms:modified xsi:type="dcterms:W3CDTF">2012-05-26T08:33:00Z</dcterms:modified>
</cp:coreProperties>
</file>