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B5A" w:rsidP="00D71B5A">
      <w:pPr>
        <w:pStyle w:val="Title"/>
      </w:pPr>
      <w:r>
        <w:fldChar w:fldCharType="begin"/>
      </w:r>
      <w:r>
        <w:instrText xml:space="preserve"> TITLE   \* MERGEFORMAT </w:instrText>
      </w:r>
      <w:r>
        <w:fldChar w:fldCharType="separate"/>
      </w:r>
      <w:r>
        <w:t>SFIAQUA509B Develop stock production plan</w:t>
      </w:r>
      <w:r>
        <w:fldChar w:fldCharType="end"/>
      </w:r>
    </w:p>
    <w:p w:rsidR="00D71B5A" w:rsidP="00D71B5A">
      <w:pPr>
        <w:pStyle w:val="Version"/>
        <w:sectPr w:rsidSect="00A954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437" w:rsidP="00A95437">
      <w:pPr>
        <w:pStyle w:val="SuperHeading"/>
      </w:pPr>
      <w:r w:rsidRPr="00A95437">
        <w:t>SFIAQUA509B Develop stock production plan</w:t>
      </w:r>
    </w:p>
    <w:p w:rsidR="00000000" w:rsidRPr="00A95437" w:rsidP="00A95437">
      <w:pPr>
        <w:pStyle w:val="Heading1"/>
      </w:pPr>
      <w:bookmarkStart w:id="1" w:name="O_273188"/>
      <w:bookmarkEnd w:id="1"/>
      <w:r w:rsidRPr="00A95437">
        <w:t>Modification History</w:t>
      </w:r>
    </w:p>
    <w:p w:rsidR="00000000" w:rsidRPr="00A95437" w:rsidP="00A95437">
      <w:pPr>
        <w:pStyle w:val="BodyText"/>
      </w:pPr>
      <w:r w:rsidRPr="00A95437">
        <w:t>Not Applicable</w:t>
      </w:r>
    </w:p>
    <w:p w:rsidR="00000000" w:rsidRPr="00A95437" w:rsidP="00A95437">
      <w:pPr>
        <w:pStyle w:val="AllowPageBreak"/>
      </w:pPr>
    </w:p>
    <w:p w:rsidR="00000000" w:rsidRPr="00A95437" w:rsidP="00A95437">
      <w:pPr>
        <w:pStyle w:val="Heading1"/>
      </w:pPr>
      <w:bookmarkStart w:id="2" w:name="O_217807"/>
      <w:bookmarkEnd w:id="2"/>
      <w:r w:rsidRPr="00A95437">
        <w:t>Unit Descriptor</w:t>
      </w:r>
    </w:p>
    <w:tbl>
      <w:tblPr>
        <w:tblW w:w="0" w:type="auto"/>
        <w:tblLayout w:type="fixed"/>
        <w:tblCellMar>
          <w:left w:w="62" w:type="dxa"/>
          <w:right w:w="62" w:type="dxa"/>
        </w:tblCellMar>
        <w:tblLook w:val="0000"/>
      </w:tblPr>
      <w:tblGrid>
        <w:gridCol w:w="2659"/>
        <w:gridCol w:w="5863"/>
      </w:tblGrid>
      <w:tr w:rsidTr="00D71B5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t>This unit of competency involves developing a stock production plan for an aquaculture or ornamen</w:t>
            </w:r>
            <w:r w:rsidRPr="00A95437">
              <w:t xml:space="preserve">tal enterprise following a detailed analysis of requirements. The plan is to incorporate all relevant stages of facility operations, including labour, equipment and transport requirements. </w:t>
            </w:r>
          </w:p>
          <w:p w:rsidR="00000000" w:rsidRPr="00A95437" w:rsidP="00A95437">
            <w:pPr>
              <w:pStyle w:val="BodyText"/>
            </w:pPr>
            <w:r w:rsidRPr="00A95437">
              <w:t>Licensing, legislative, regulatory or certification requirements m</w:t>
            </w:r>
            <w:r w:rsidRPr="00A95437">
              <w:t>ay apply to this unit. Therefore it will be necessary to check with the relevant state or territory regulators for current licensing, legislative or regulatory requirements before undertaking this unit.</w:t>
            </w:r>
          </w:p>
        </w:tc>
      </w:tr>
    </w:tbl>
    <w:p w:rsidR="00D71B5A" w:rsidP="00A95437">
      <w:pPr>
        <w:pStyle w:val="BodyText"/>
      </w:pPr>
    </w:p>
    <w:p w:rsidR="00D71B5A" w:rsidP="00A95437">
      <w:pPr>
        <w:pStyle w:val="BodyText"/>
      </w:pPr>
    </w:p>
    <w:p w:rsidR="00000000" w:rsidRPr="00A95437" w:rsidP="00A95437">
      <w:pPr>
        <w:pStyle w:val="Heading1"/>
      </w:pPr>
      <w:bookmarkStart w:id="3" w:name="O_217811"/>
      <w:bookmarkEnd w:id="3"/>
      <w:r w:rsidRPr="00A95437">
        <w:t>Application of the Unit</w:t>
      </w:r>
    </w:p>
    <w:tbl>
      <w:tblPr>
        <w:tblW w:w="0" w:type="auto"/>
        <w:tblLayout w:type="fixed"/>
        <w:tblCellMar>
          <w:left w:w="62" w:type="dxa"/>
          <w:right w:w="62" w:type="dxa"/>
        </w:tblCellMar>
        <w:tblLook w:val="0000"/>
      </w:tblPr>
      <w:tblGrid>
        <w:gridCol w:w="2733"/>
        <w:gridCol w:w="5789"/>
      </w:tblGrid>
      <w:tr w:rsidTr="00D71B5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t xml:space="preserve">All enterprise or workplace procedures and activities are carried out according to </w:t>
            </w:r>
            <w:r w:rsidRPr="00A95437">
              <w:rPr>
                <w:rStyle w:val="BoldandItalics"/>
              </w:rPr>
              <w:t>relevant government regulations</w:t>
            </w:r>
            <w:r w:rsidRPr="00A95437">
              <w:t xml:space="preserve">, </w:t>
            </w:r>
            <w:r w:rsidRPr="00A95437">
              <w:rPr>
                <w:rStyle w:val="BoldandItalics"/>
              </w:rPr>
              <w:t>licensing and other compliance requirements</w:t>
            </w:r>
            <w:r w:rsidRPr="00A95437">
              <w:t xml:space="preserve">, including </w:t>
            </w:r>
            <w:r w:rsidRPr="00A95437">
              <w:rPr>
                <w:rStyle w:val="BoldandItalics"/>
              </w:rPr>
              <w:t>occupational health and safety</w:t>
            </w:r>
            <w:r w:rsidRPr="00A95437">
              <w:t xml:space="preserve"> (</w:t>
            </w:r>
            <w:r w:rsidRPr="00A95437">
              <w:rPr>
                <w:rStyle w:val="BoldandItalics"/>
              </w:rPr>
              <w:t>OHS</w:t>
            </w:r>
            <w:r w:rsidRPr="00A95437">
              <w:t xml:space="preserve">) </w:t>
            </w:r>
            <w:r w:rsidRPr="00A95437">
              <w:rPr>
                <w:rStyle w:val="BoldandItalics"/>
              </w:rPr>
              <w:t>guidelines</w:t>
            </w:r>
            <w:r w:rsidRPr="00A95437">
              <w:t xml:space="preserve">, </w:t>
            </w:r>
            <w:r w:rsidRPr="00A95437">
              <w:rPr>
                <w:rStyle w:val="BoldandItalics"/>
              </w:rPr>
              <w:t>food safety and hygiene regulations and procedures</w:t>
            </w:r>
            <w:r w:rsidRPr="00A95437">
              <w:t xml:space="preserve">, and </w:t>
            </w:r>
            <w:r w:rsidRPr="00A95437">
              <w:rPr>
                <w:rStyle w:val="BoldandItalics"/>
              </w:rPr>
              <w:t>ecologically sustainable development</w:t>
            </w:r>
            <w:r w:rsidRPr="00A95437">
              <w:t xml:space="preserve"> (</w:t>
            </w:r>
            <w:r w:rsidRPr="00A95437">
              <w:rPr>
                <w:rStyle w:val="BoldandItalics"/>
              </w:rPr>
              <w:t>ESD</w:t>
            </w:r>
            <w:r w:rsidRPr="00A95437">
              <w:t xml:space="preserve">) </w:t>
            </w:r>
            <w:r w:rsidRPr="00A95437">
              <w:rPr>
                <w:rStyle w:val="BoldandItalics"/>
              </w:rPr>
              <w:t>principles</w:t>
            </w:r>
            <w:r w:rsidRPr="00A95437">
              <w:t xml:space="preserve">. </w:t>
            </w:r>
          </w:p>
          <w:p w:rsidR="00000000" w:rsidRPr="00A95437" w:rsidP="00A95437">
            <w:pPr>
              <w:pStyle w:val="BodyText"/>
            </w:pPr>
            <w:r w:rsidRPr="00A95437">
              <w:t>Equipment operation, maintenance, repairs and calibrations are undertaken in a safe manner that conforms to manufacturer instructions. Appropria</w:t>
            </w:r>
            <w:r w:rsidRPr="00A95437">
              <w:t xml:space="preserve">te </w:t>
            </w:r>
            <w:r w:rsidRPr="00A95437">
              <w:rPr>
                <w:rStyle w:val="BoldandItalics"/>
              </w:rPr>
              <w:t>personal protective equipment</w:t>
            </w:r>
            <w:r w:rsidRPr="00A95437">
              <w:t xml:space="preserve"> (</w:t>
            </w:r>
            <w:r w:rsidRPr="00A95437">
              <w:rPr>
                <w:rStyle w:val="BoldandItalics"/>
              </w:rPr>
              <w:t>PPE</w:t>
            </w:r>
            <w:r w:rsidRPr="00A95437">
              <w:t>) is selected, checked, used and maintained.</w:t>
            </w:r>
          </w:p>
        </w:tc>
      </w:tr>
    </w:tbl>
    <w:p w:rsidR="00D71B5A" w:rsidP="00A95437">
      <w:pPr>
        <w:pStyle w:val="BodyText"/>
      </w:pPr>
    </w:p>
    <w:p w:rsidR="00D71B5A" w:rsidP="00A95437">
      <w:pPr>
        <w:pStyle w:val="BodyText"/>
      </w:pPr>
    </w:p>
    <w:p w:rsidR="00000000" w:rsidRPr="00A95437" w:rsidP="00A95437">
      <w:pPr>
        <w:pStyle w:val="Heading1"/>
      </w:pPr>
      <w:bookmarkStart w:id="4" w:name="O_281448"/>
      <w:bookmarkEnd w:id="4"/>
      <w:r w:rsidRPr="00A95437">
        <w:t>Licensing/Regulatory Information</w:t>
      </w:r>
    </w:p>
    <w:p w:rsidR="00000000" w:rsidRPr="00A95437" w:rsidP="00A95437">
      <w:pPr>
        <w:pStyle w:val="BodyText"/>
      </w:pPr>
      <w:r w:rsidRPr="00A95437">
        <w:t>Refer to Unit Descriptor</w:t>
      </w:r>
    </w:p>
    <w:p w:rsidR="00000000" w:rsidRPr="00A95437" w:rsidP="00A95437">
      <w:pPr>
        <w:pStyle w:val="AllowPageBreak"/>
      </w:pPr>
    </w:p>
    <w:p w:rsidR="00000000" w:rsidRPr="00A95437" w:rsidP="00A95437">
      <w:pPr>
        <w:pStyle w:val="Heading1"/>
      </w:pPr>
      <w:bookmarkStart w:id="5" w:name="O_217809"/>
      <w:bookmarkEnd w:id="5"/>
      <w:r w:rsidRPr="00A95437">
        <w:t>Pre-Requisites</w:t>
      </w:r>
    </w:p>
    <w:tbl>
      <w:tblPr>
        <w:tblW w:w="0" w:type="auto"/>
        <w:tblLayout w:type="fixed"/>
        <w:tblCellMar>
          <w:left w:w="62" w:type="dxa"/>
          <w:right w:w="62" w:type="dxa"/>
        </w:tblCellMar>
        <w:tblLook w:val="0000"/>
      </w:tblPr>
      <w:tblGrid>
        <w:gridCol w:w="2775"/>
        <w:gridCol w:w="1295"/>
        <w:gridCol w:w="4452"/>
      </w:tblGrid>
      <w:tr w:rsidTr="00D71B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p>
        </w:tc>
      </w:tr>
      <w:tr w:rsidTr="00D71B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p>
        </w:tc>
      </w:tr>
      <w:tr w:rsidTr="00D71B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p>
        </w:tc>
      </w:tr>
    </w:tbl>
    <w:p w:rsidR="00D71B5A" w:rsidP="00A95437">
      <w:pPr>
        <w:pStyle w:val="BodyText"/>
      </w:pPr>
    </w:p>
    <w:p w:rsidR="00D71B5A" w:rsidP="00A95437">
      <w:pPr>
        <w:pStyle w:val="BodyText"/>
      </w:pPr>
    </w:p>
    <w:p w:rsidR="00000000" w:rsidRPr="00A95437" w:rsidP="00A95437">
      <w:pPr>
        <w:pStyle w:val="Heading1"/>
      </w:pPr>
      <w:bookmarkStart w:id="6" w:name="O_217808"/>
      <w:bookmarkEnd w:id="6"/>
      <w:r w:rsidRPr="00A95437">
        <w:t>Employability Skills Information</w:t>
      </w:r>
    </w:p>
    <w:tbl>
      <w:tblPr>
        <w:tblW w:w="0" w:type="auto"/>
        <w:tblLayout w:type="fixed"/>
        <w:tblCellMar>
          <w:left w:w="62" w:type="dxa"/>
          <w:right w:w="62" w:type="dxa"/>
        </w:tblCellMar>
        <w:tblLook w:val="0000"/>
      </w:tblPr>
      <w:tblGrid>
        <w:gridCol w:w="2802"/>
        <w:gridCol w:w="5720"/>
      </w:tblGrid>
      <w:tr w:rsidTr="00D71B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t xml:space="preserve">This unit contains employability skills. </w:t>
            </w:r>
          </w:p>
        </w:tc>
      </w:tr>
    </w:tbl>
    <w:p w:rsidR="00D71B5A" w:rsidP="00A95437">
      <w:pPr>
        <w:pStyle w:val="BodyText"/>
      </w:pPr>
    </w:p>
    <w:p w:rsidR="00D71B5A" w:rsidP="00A95437">
      <w:pPr>
        <w:pStyle w:val="BodyText"/>
      </w:pPr>
    </w:p>
    <w:p w:rsidR="00000000" w:rsidRPr="00A95437" w:rsidP="00A95437">
      <w:pPr>
        <w:pStyle w:val="Heading1"/>
      </w:pPr>
      <w:bookmarkStart w:id="7" w:name="O_291234"/>
      <w:bookmarkEnd w:id="7"/>
      <w:r w:rsidRPr="00A95437">
        <w:t>Elements and Performance Criteria Pre-Content</w:t>
      </w:r>
    </w:p>
    <w:tbl>
      <w:tblPr>
        <w:tblW w:w="0" w:type="auto"/>
        <w:tblLayout w:type="fixed"/>
        <w:tblCellMar>
          <w:left w:w="62" w:type="dxa"/>
          <w:right w:w="62" w:type="dxa"/>
        </w:tblCellMar>
        <w:tblLook w:val="0000"/>
      </w:tblPr>
      <w:tblGrid>
        <w:gridCol w:w="2554"/>
        <w:gridCol w:w="5968"/>
      </w:tblGrid>
      <w:tr w:rsidTr="00D71B5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t>Perf</w:t>
            </w:r>
            <w:r w:rsidRPr="00A95437">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A95437">
              <w:t>is to be consistent with the evidence guide.</w:t>
            </w:r>
          </w:p>
        </w:tc>
      </w:tr>
    </w:tbl>
    <w:p w:rsidR="00000000" w:rsidRPr="00A95437" w:rsidP="00A95437">
      <w:pPr>
        <w:pStyle w:val="BodyText"/>
      </w:pPr>
    </w:p>
    <w:p w:rsidR="00000000" w:rsidRPr="00A95437" w:rsidP="00A95437">
      <w:pPr>
        <w:pStyle w:val="AllowPageBreak"/>
      </w:pPr>
    </w:p>
    <w:p w:rsidR="00000000" w:rsidRPr="00A95437" w:rsidP="00A95437">
      <w:pPr>
        <w:pStyle w:val="Heading1"/>
      </w:pPr>
      <w:bookmarkStart w:id="8" w:name="O_237902"/>
      <w:bookmarkEnd w:id="8"/>
      <w:r w:rsidRPr="00A95437">
        <w:t>Elements and Performance Criteria</w:t>
      </w:r>
    </w:p>
    <w:tbl>
      <w:tblPr>
        <w:tblW w:w="0" w:type="auto"/>
        <w:tblLayout w:type="fixed"/>
        <w:tblCellMar>
          <w:left w:w="62" w:type="dxa"/>
          <w:right w:w="62" w:type="dxa"/>
        </w:tblCellMar>
        <w:tblLook w:val="0000"/>
      </w:tblPr>
      <w:tblGrid>
        <w:gridCol w:w="2554"/>
        <w:gridCol w:w="5968"/>
      </w:tblGrid>
      <w:tr w:rsidTr="00D71B5A">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PERFORMANCE CRITERIA</w:t>
            </w:r>
          </w:p>
        </w:tc>
      </w:tr>
      <w:tr w:rsidTr="00D71B5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List"/>
              <w:rPr>
                <w:lang w:val="en-NZ"/>
              </w:rPr>
            </w:pPr>
            <w:r w:rsidRPr="00A95437">
              <w:t>1.</w:t>
            </w:r>
            <w:r w:rsidRPr="00A95437">
              <w:tab/>
              <w:t>Determine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2"/>
            </w:pPr>
            <w:r w:rsidRPr="00A95437">
              <w:t>1.1.</w:t>
            </w:r>
            <w:r w:rsidRPr="00A95437">
              <w:tab/>
            </w:r>
            <w:r w:rsidRPr="00A95437">
              <w:rPr>
                <w:rStyle w:val="BoldandItalics"/>
              </w:rPr>
              <w:t>Cultured or held stock</w:t>
            </w:r>
            <w:r w:rsidRPr="00A95437">
              <w:t xml:space="preserve"> production targets for each </w:t>
            </w:r>
            <w:r w:rsidRPr="00A95437">
              <w:rPr>
                <w:rStyle w:val="BoldandItalics"/>
              </w:rPr>
              <w:t>stage or component of the enterprise</w:t>
            </w:r>
            <w:r w:rsidRPr="00A95437">
              <w:t xml:space="preserve"> are established consistent with marketing, business plans and sustainable aquaculture practices policy. </w:t>
            </w:r>
          </w:p>
          <w:p w:rsidR="00000000" w:rsidRPr="00A95437" w:rsidP="00A95437">
            <w:pPr>
              <w:pStyle w:val="List2"/>
            </w:pPr>
            <w:r w:rsidRPr="00A95437">
              <w:t>1.2.</w:t>
            </w:r>
            <w:r w:rsidRPr="00A95437">
              <w:tab/>
              <w:t>Suitability of water resources for stock is assessed.</w:t>
            </w:r>
          </w:p>
          <w:p w:rsidR="00000000" w:rsidRPr="00A95437" w:rsidP="00A95437">
            <w:pPr>
              <w:pStyle w:val="List2"/>
            </w:pPr>
            <w:r w:rsidRPr="00A95437">
              <w:t>1.3.</w:t>
            </w:r>
            <w:r w:rsidRPr="00A95437">
              <w:tab/>
              <w:t xml:space="preserve">Current information on </w:t>
            </w:r>
            <w:r w:rsidRPr="00A95437">
              <w:rPr>
                <w:rStyle w:val="BoldandItalics"/>
              </w:rPr>
              <w:t>government regulations</w:t>
            </w:r>
            <w:r w:rsidRPr="00A95437">
              <w:t xml:space="preserve"> </w:t>
            </w:r>
            <w:r w:rsidRPr="00A95437">
              <w:rPr>
                <w:rStyle w:val="BoldandItalics"/>
              </w:rPr>
              <w:t>relevant to farm ownership</w:t>
            </w:r>
            <w:r w:rsidRPr="00A95437">
              <w:t>/</w:t>
            </w:r>
            <w:r w:rsidRPr="00A95437">
              <w:rPr>
                <w:rStyle w:val="BoldandItalics"/>
              </w:rPr>
              <w:t>possession</w:t>
            </w:r>
            <w:r w:rsidRPr="00A95437">
              <w:t xml:space="preserve"> an</w:t>
            </w:r>
            <w:r w:rsidRPr="00A95437">
              <w:t xml:space="preserve">d </w:t>
            </w:r>
            <w:r w:rsidRPr="00A95437">
              <w:rPr>
                <w:rStyle w:val="BoldandItalics"/>
              </w:rPr>
              <w:t>farm production</w:t>
            </w:r>
            <w:r w:rsidRPr="00A95437">
              <w:t xml:space="preserve"> is obtained and action taken, or policies and procedures developed, to ensure compliance. </w:t>
            </w:r>
          </w:p>
          <w:p w:rsidR="00000000" w:rsidRPr="00A95437" w:rsidP="00A95437">
            <w:pPr>
              <w:pStyle w:val="List2"/>
            </w:pPr>
            <w:r w:rsidRPr="00A95437">
              <w:t>1.4.</w:t>
            </w:r>
            <w:r w:rsidRPr="00A95437">
              <w:tab/>
            </w:r>
            <w:r w:rsidRPr="00A95437">
              <w:rPr>
                <w:rStyle w:val="BoldandItalics"/>
              </w:rPr>
              <w:t>Production facilities</w:t>
            </w:r>
            <w:r w:rsidRPr="00A95437">
              <w:t xml:space="preserve"> are assessed for appropriate type, condition, location and size/number to achieve production plans targets or arrangements made to bring them up to required standard. </w:t>
            </w:r>
          </w:p>
          <w:p w:rsidR="00000000" w:rsidRPr="00A95437" w:rsidP="00A95437">
            <w:pPr>
              <w:pStyle w:val="List2"/>
            </w:pPr>
            <w:r w:rsidRPr="00A95437">
              <w:t>1.5.</w:t>
            </w:r>
            <w:r w:rsidRPr="00A95437">
              <w:tab/>
              <w:t>Mechanisation or automation of process or activity, including the use of specialis</w:t>
            </w:r>
            <w:r w:rsidRPr="00A95437">
              <w:t>ed contract services, is researched and introduced</w:t>
            </w:r>
          </w:p>
          <w:p w:rsidR="00000000" w:rsidRPr="00A95437" w:rsidP="00A95437">
            <w:pPr>
              <w:pStyle w:val="List2"/>
            </w:pPr>
            <w:r w:rsidRPr="00A95437">
              <w:t>1.6.</w:t>
            </w:r>
            <w:r w:rsidRPr="00A95437">
              <w:tab/>
              <w:t xml:space="preserve">Labour and </w:t>
            </w:r>
            <w:r w:rsidRPr="00A95437">
              <w:rPr>
                <w:rStyle w:val="BoldandItalics"/>
              </w:rPr>
              <w:t>equipment requirements</w:t>
            </w:r>
            <w:r w:rsidRPr="00A95437">
              <w:t xml:space="preserve"> are determined.</w:t>
            </w:r>
          </w:p>
          <w:p w:rsidR="00000000" w:rsidP="00A95437">
            <w:pPr>
              <w:pStyle w:val="List2"/>
              <w:rPr>
                <w:lang w:val="en-NZ"/>
              </w:rPr>
            </w:pPr>
            <w:r w:rsidRPr="00A95437">
              <w:t>1.7.</w:t>
            </w:r>
            <w:r w:rsidRPr="00A95437">
              <w:tab/>
              <w:t>Handling, harvesting and on-farm transport requirements are determined for each age, sex or category of stock.</w:t>
            </w:r>
          </w:p>
        </w:tc>
      </w:tr>
      <w:tr w:rsidTr="00D71B5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List"/>
              <w:rPr>
                <w:lang w:val="en-NZ"/>
              </w:rPr>
            </w:pPr>
            <w:r w:rsidRPr="00A95437">
              <w:t>2.</w:t>
            </w:r>
            <w:r w:rsidRPr="00A95437">
              <w:tab/>
              <w:t>Develop plan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2"/>
            </w:pPr>
            <w:r w:rsidRPr="00A95437">
              <w:t>2.1.</w:t>
            </w:r>
            <w:r w:rsidRPr="00A95437">
              <w:tab/>
              <w:t>Production p</w:t>
            </w:r>
            <w:r w:rsidRPr="00A95437">
              <w:t>lan is developed incorporating previously identified requirements.</w:t>
            </w:r>
          </w:p>
          <w:p w:rsidR="00000000" w:rsidRPr="00A95437" w:rsidP="00A95437">
            <w:pPr>
              <w:pStyle w:val="List2"/>
            </w:pPr>
            <w:r w:rsidRPr="00A95437">
              <w:t>2.2.</w:t>
            </w:r>
            <w:r w:rsidRPr="00A95437">
              <w:tab/>
              <w:t>Plan incorporates a calendar of operations for each enterprise production cycle.</w:t>
            </w:r>
          </w:p>
          <w:p w:rsidR="00000000" w:rsidRPr="00A95437" w:rsidP="00A95437">
            <w:pPr>
              <w:pStyle w:val="List2"/>
            </w:pPr>
            <w:r w:rsidRPr="00A95437">
              <w:t>2.3.</w:t>
            </w:r>
            <w:r w:rsidRPr="00A95437">
              <w:tab/>
              <w:t xml:space="preserve">Schedules are drawn up for timing of purchase and use of </w:t>
            </w:r>
            <w:r w:rsidRPr="00A95437">
              <w:rPr>
                <w:rStyle w:val="BoldandItalics"/>
              </w:rPr>
              <w:t>inputs and services</w:t>
            </w:r>
            <w:r w:rsidRPr="00A95437">
              <w:t xml:space="preserve"> used in production. </w:t>
            </w:r>
          </w:p>
          <w:p w:rsidR="00000000" w:rsidRPr="00A95437" w:rsidP="00A95437">
            <w:pPr>
              <w:pStyle w:val="List2"/>
            </w:pPr>
            <w:r w:rsidRPr="00A95437">
              <w:t>2.4.</w:t>
            </w:r>
            <w:r w:rsidRPr="00A95437">
              <w:tab/>
              <w:t>On-farm and off-farm processing and off-farm transport programs are developed for each stock category.</w:t>
            </w:r>
          </w:p>
          <w:p w:rsidR="00000000" w:rsidRPr="00A95437" w:rsidP="00A95437">
            <w:pPr>
              <w:pStyle w:val="List2"/>
            </w:pPr>
            <w:r w:rsidRPr="00A95437">
              <w:t>2.5.</w:t>
            </w:r>
            <w:r w:rsidRPr="00A95437">
              <w:tab/>
              <w:t>Environmental controls and security arrangements are established, as required.</w:t>
            </w:r>
          </w:p>
        </w:tc>
      </w:tr>
    </w:tbl>
    <w:p w:rsidR="00D71B5A" w:rsidP="00A95437">
      <w:pPr>
        <w:pStyle w:val="BodyText"/>
      </w:pPr>
    </w:p>
    <w:p w:rsidR="00D71B5A" w:rsidP="00A95437">
      <w:pPr>
        <w:pStyle w:val="BodyText"/>
      </w:pPr>
    </w:p>
    <w:p w:rsidR="00000000" w:rsidRPr="00A95437" w:rsidP="00A95437">
      <w:pPr>
        <w:pStyle w:val="Heading1"/>
      </w:pPr>
      <w:bookmarkStart w:id="9" w:name="O_261693"/>
      <w:bookmarkEnd w:id="9"/>
      <w:r w:rsidRPr="00A95437">
        <w:t>Required Skills and Knowledge</w:t>
      </w:r>
    </w:p>
    <w:tbl>
      <w:tblPr>
        <w:tblW w:w="0" w:type="auto"/>
        <w:tblLayout w:type="fixed"/>
        <w:tblCellMar>
          <w:left w:w="62" w:type="dxa"/>
          <w:right w:w="62" w:type="dxa"/>
        </w:tblCellMar>
        <w:tblLook w:val="0000"/>
      </w:tblPr>
      <w:tblGrid>
        <w:gridCol w:w="8522"/>
      </w:tblGrid>
      <w:tr w:rsidTr="00D71B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REQUIRED SKILLS AND KNOWLEDGE</w:t>
            </w:r>
          </w:p>
        </w:tc>
      </w:tr>
      <w:tr w:rsidTr="00D71B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t>This section describes the skills and knowledge required for this unit.</w:t>
            </w:r>
          </w:p>
        </w:tc>
      </w:tr>
      <w:tr w:rsidTr="00D71B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Required skills</w:t>
            </w:r>
          </w:p>
        </w:tc>
      </w:tr>
      <w:tr w:rsidTr="00D71B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establishing OHS procedures</w:t>
            </w:r>
          </w:p>
          <w:p w:rsidR="00000000" w:rsidRPr="00A95437" w:rsidP="00A95437">
            <w:pPr>
              <w:pStyle w:val="ListBullet"/>
            </w:pPr>
            <w:r w:rsidRPr="00A95437">
              <w:t>making judgements on a wide range of factors, including resource requirements, which are to be detailed in the production plan</w:t>
            </w:r>
          </w:p>
          <w:p w:rsidR="00000000" w:rsidRPr="00A95437" w:rsidP="00A95437">
            <w:pPr>
              <w:pStyle w:val="ListBullet"/>
            </w:pPr>
            <w:r w:rsidRPr="00A95437">
              <w:t>managing personnel</w:t>
            </w:r>
          </w:p>
          <w:p w:rsidR="00000000" w:rsidRPr="00A95437" w:rsidP="00A95437">
            <w:pPr>
              <w:pStyle w:val="ListBullet"/>
            </w:pPr>
            <w:r w:rsidRPr="00A95437">
              <w:t>planning and scheduling to meet market, on-farm processing and off-farm transport requirements</w:t>
            </w:r>
          </w:p>
          <w:p w:rsidR="00000000" w:rsidRPr="00A95437" w:rsidP="00A95437">
            <w:pPr>
              <w:pStyle w:val="ListBullet"/>
            </w:pPr>
            <w:r w:rsidRPr="00A95437">
              <w:t>researching mec</w:t>
            </w:r>
            <w:r w:rsidRPr="00A95437">
              <w:t>hanical and automation options</w:t>
            </w:r>
          </w:p>
          <w:p w:rsidR="00000000" w:rsidRPr="00A95437" w:rsidP="00A95437">
            <w:pPr>
              <w:pStyle w:val="BodyText"/>
            </w:pPr>
          </w:p>
          <w:p w:rsidR="00000000" w:rsidRPr="00A95437" w:rsidP="00A95437">
            <w:pPr>
              <w:pStyle w:val="BodyText"/>
            </w:pPr>
            <w:r w:rsidRPr="00A95437">
              <w:rPr>
                <w:rStyle w:val="SpecialBold"/>
              </w:rPr>
              <w:t>Literacy skills used for</w:t>
            </w:r>
            <w:r w:rsidRPr="00A95437">
              <w:t xml:space="preserve">: </w:t>
            </w:r>
          </w:p>
          <w:p w:rsidR="00000000" w:rsidRPr="00A95437" w:rsidP="00A95437">
            <w:pPr>
              <w:pStyle w:val="ListBullet"/>
            </w:pPr>
            <w:r w:rsidRPr="00A95437">
              <w:t>developing detailed production plans and supporting schedules</w:t>
            </w:r>
          </w:p>
          <w:p w:rsidR="00000000" w:rsidRPr="00A95437" w:rsidP="00A95437">
            <w:pPr>
              <w:pStyle w:val="ListBullet"/>
            </w:pPr>
            <w:r w:rsidRPr="00A95437">
              <w:t>extracting data/information from journals, websites, magazines, books and trade journals</w:t>
            </w:r>
          </w:p>
          <w:p w:rsidR="00000000" w:rsidRPr="00A95437" w:rsidP="00A95437">
            <w:pPr>
              <w:pStyle w:val="ListBullet"/>
            </w:pPr>
            <w:r w:rsidRPr="00A95437">
              <w:t>writing reports.</w:t>
            </w:r>
          </w:p>
          <w:p w:rsidR="00000000" w:rsidRPr="00A95437" w:rsidP="00A95437">
            <w:pPr>
              <w:pStyle w:val="BodyText"/>
            </w:pPr>
          </w:p>
          <w:p w:rsidR="00000000" w:rsidRPr="00A95437" w:rsidP="00A95437">
            <w:pPr>
              <w:pStyle w:val="BodyText"/>
            </w:pPr>
            <w:r w:rsidRPr="00A95437">
              <w:rPr>
                <w:rStyle w:val="SpecialBold"/>
              </w:rPr>
              <w:t>Numeracy skills used for</w:t>
            </w:r>
            <w:r w:rsidRPr="00A95437">
              <w:t xml:space="preserve">: </w:t>
            </w:r>
          </w:p>
          <w:p w:rsidR="00000000" w:rsidRPr="00A95437" w:rsidP="00A95437">
            <w:pPr>
              <w:pStyle w:val="ListBullet"/>
            </w:pPr>
            <w:r w:rsidRPr="00A95437">
              <w:t>calculating chemical dose rate</w:t>
            </w:r>
          </w:p>
          <w:p w:rsidR="00000000" w:rsidRPr="00A95437" w:rsidP="00A95437">
            <w:pPr>
              <w:pStyle w:val="ListBullet"/>
            </w:pPr>
            <w:r w:rsidRPr="00A95437">
              <w:t>forecasting and budgeting</w:t>
            </w:r>
          </w:p>
          <w:p w:rsidR="00000000" w:rsidRPr="00A95437" w:rsidP="00A95437">
            <w:pPr>
              <w:pStyle w:val="ListBullet"/>
            </w:pPr>
            <w:r w:rsidRPr="00A95437">
              <w:t>recording and presenting data</w:t>
            </w:r>
          </w:p>
          <w:p w:rsidR="00000000" w:rsidP="00A95437">
            <w:pPr>
              <w:pStyle w:val="ListBullet"/>
              <w:rPr>
                <w:lang w:val="en-NZ"/>
              </w:rPr>
            </w:pPr>
            <w:r w:rsidRPr="00A95437">
              <w:t>using spreadsheets and entering data.</w:t>
            </w:r>
          </w:p>
        </w:tc>
      </w:tr>
      <w:tr w:rsidTr="00D71B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Required knowledge</w:t>
            </w:r>
          </w:p>
        </w:tc>
      </w:tr>
      <w:tr w:rsidTr="00D71B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biological and physical requirements of stock</w:t>
            </w:r>
          </w:p>
          <w:p w:rsidR="00000000" w:rsidRPr="00A95437" w:rsidP="00A95437">
            <w:pPr>
              <w:pStyle w:val="ListBullet"/>
            </w:pPr>
            <w:r w:rsidRPr="00A95437">
              <w:t>disease surveillance and health management protocols</w:t>
            </w:r>
          </w:p>
          <w:p w:rsidR="00000000" w:rsidRPr="00A95437" w:rsidP="00A95437">
            <w:pPr>
              <w:pStyle w:val="ListBullet"/>
            </w:pPr>
            <w:r w:rsidRPr="00A95437">
              <w:t>legislation, regulations and voluntary codes of practice</w:t>
            </w:r>
          </w:p>
          <w:p w:rsidR="00000000" w:rsidRPr="00A95437" w:rsidP="00A95437">
            <w:pPr>
              <w:pStyle w:val="ListBullet"/>
            </w:pPr>
            <w:r w:rsidRPr="00A95437">
              <w:t>production cycles</w:t>
            </w:r>
          </w:p>
          <w:p w:rsidR="00000000" w:rsidRPr="00A95437" w:rsidP="00A95437">
            <w:pPr>
              <w:pStyle w:val="ListBullet"/>
            </w:pPr>
            <w:r w:rsidRPr="00A95437">
              <w:t xml:space="preserve">mechanisation or automation of process or activity </w:t>
            </w:r>
          </w:p>
          <w:p w:rsidR="00000000" w:rsidRPr="00A95437" w:rsidP="00A95437">
            <w:pPr>
              <w:pStyle w:val="ListBullet"/>
            </w:pPr>
            <w:r w:rsidRPr="00A95437">
              <w:t>stock breeding, where appropriate</w:t>
            </w:r>
          </w:p>
          <w:p w:rsidR="00000000" w:rsidRPr="00A95437" w:rsidP="00A95437">
            <w:pPr>
              <w:pStyle w:val="ListBullet"/>
            </w:pPr>
            <w:r w:rsidRPr="00A95437">
              <w:t>stock health</w:t>
            </w:r>
          </w:p>
          <w:p w:rsidR="00000000" w:rsidRPr="00A95437" w:rsidP="00A95437">
            <w:pPr>
              <w:pStyle w:val="ListBullet"/>
            </w:pPr>
            <w:r w:rsidRPr="00A95437">
              <w:t>stock husbandry and management</w:t>
            </w:r>
          </w:p>
          <w:p w:rsidR="00000000" w:rsidRPr="00A95437" w:rsidP="00A95437">
            <w:pPr>
              <w:pStyle w:val="ListBullet"/>
            </w:pPr>
            <w:r w:rsidRPr="00A95437">
              <w:t>stock nutrition or feeding</w:t>
            </w:r>
          </w:p>
          <w:p w:rsidR="00000000" w:rsidRPr="00A95437" w:rsidP="00A95437">
            <w:pPr>
              <w:pStyle w:val="ListBullet"/>
            </w:pPr>
            <w:r w:rsidRPr="00A95437">
              <w:t>use of specialised contr</w:t>
            </w:r>
            <w:r w:rsidRPr="00A95437">
              <w:t>act services.</w:t>
            </w:r>
          </w:p>
        </w:tc>
      </w:tr>
    </w:tbl>
    <w:p w:rsidR="00D71B5A" w:rsidP="00A95437">
      <w:pPr>
        <w:pStyle w:val="BodyText"/>
      </w:pPr>
    </w:p>
    <w:p w:rsidR="00D71B5A" w:rsidP="00A95437">
      <w:pPr>
        <w:pStyle w:val="BodyText"/>
      </w:pPr>
    </w:p>
    <w:p w:rsidR="00000000" w:rsidRPr="00A95437" w:rsidP="00A95437">
      <w:pPr>
        <w:pStyle w:val="AllowPageBreak"/>
      </w:pPr>
    </w:p>
    <w:p w:rsidR="00000000" w:rsidRPr="00A95437" w:rsidP="00A95437">
      <w:pPr>
        <w:pStyle w:val="Heading1"/>
      </w:pPr>
      <w:bookmarkStart w:id="10" w:name="O_245886"/>
      <w:bookmarkEnd w:id="10"/>
      <w:r w:rsidRPr="00A95437">
        <w:t>Evidence Guide</w:t>
      </w:r>
    </w:p>
    <w:tbl>
      <w:tblPr>
        <w:tblW w:w="9570" w:type="dxa"/>
        <w:tblLayout w:type="fixed"/>
        <w:tblCellMar>
          <w:left w:w="62" w:type="dxa"/>
          <w:right w:w="62" w:type="dxa"/>
        </w:tblCellMar>
        <w:tblLook w:val="0000"/>
      </w:tblPr>
      <w:tblGrid>
        <w:gridCol w:w="3908"/>
        <w:gridCol w:w="5662"/>
      </w:tblGrid>
      <w:tr w:rsidTr="00D71B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EVIDENCE GUIDE</w:t>
            </w:r>
          </w:p>
        </w:tc>
      </w:tr>
      <w:tr w:rsidTr="00D71B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t xml:space="preserve">The evidence guide provides advice on assessment and must be read in conjunction with the performance criteria, required skills and knowledge, </w:t>
            </w:r>
            <w:r w:rsidRPr="00A95437">
              <w:t>range statement and the Assessment Guidelines for the Training Package.</w:t>
            </w:r>
          </w:p>
        </w:tc>
      </w:tr>
      <w:tr w:rsidTr="00D71B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p>
        </w:tc>
      </w:tr>
      <w:tr w:rsidTr="00D71B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t xml:space="preserve">Assessment must confirm the ability to: </w:t>
            </w:r>
          </w:p>
          <w:p w:rsidR="00000000" w:rsidRPr="00A95437" w:rsidP="00A95437">
            <w:pPr>
              <w:pStyle w:val="ListBullet"/>
            </w:pPr>
            <w:r w:rsidRPr="00A95437">
              <w:t>accurately determine labou</w:t>
            </w:r>
            <w:r w:rsidRPr="00A95437">
              <w:t>r, equipment and other requirements for each stage of operation</w:t>
            </w:r>
          </w:p>
          <w:p w:rsidR="00000000" w:rsidRPr="00A95437" w:rsidP="00A95437">
            <w:pPr>
              <w:pStyle w:val="ListBullet"/>
            </w:pPr>
            <w:r w:rsidRPr="00A95437">
              <w:t>produce a profitable and sustainable stock production plan for an aquaculture enterprise which is ecologically, biologically and financially sustainable.</w:t>
            </w:r>
          </w:p>
          <w:p w:rsidR="00000000" w:rsidRPr="00A95437" w:rsidP="00A95437">
            <w:pPr>
              <w:pStyle w:val="BodyText"/>
            </w:pPr>
          </w:p>
          <w:p w:rsidR="00000000" w:rsidRPr="00A95437" w:rsidP="00A95437">
            <w:pPr>
              <w:pStyle w:val="BodyText"/>
            </w:pPr>
            <w:r w:rsidRPr="00A95437">
              <w:t>Assessment must confirm knowledge of:</w:t>
            </w:r>
          </w:p>
          <w:p w:rsidR="00000000" w:rsidRPr="00A95437" w:rsidP="00A95437">
            <w:pPr>
              <w:pStyle w:val="ListBullet"/>
            </w:pPr>
            <w:r w:rsidRPr="00A95437">
              <w:t>aquaculture production</w:t>
            </w:r>
          </w:p>
          <w:p w:rsidR="00000000" w:rsidP="00A95437">
            <w:pPr>
              <w:pStyle w:val="ListBullet"/>
              <w:rPr>
                <w:lang w:val="en-NZ"/>
              </w:rPr>
            </w:pPr>
            <w:r w:rsidRPr="00A95437">
              <w:t>basic business skills to analyse financial performance of the production plan.</w:t>
            </w:r>
          </w:p>
        </w:tc>
      </w:tr>
      <w:tr w:rsidTr="00D71B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t xml:space="preserve">Assessment is to be conducted at the workplace or in a simulated work environment. To assess a plan's </w:t>
            </w:r>
            <w:r w:rsidRPr="00A95437">
              <w:t xml:space="preserve">profitability and sustainability, evidence should be gathered over a period of time which allows for at least one (1) full production cycle. </w:t>
            </w:r>
          </w:p>
          <w:p w:rsidR="00000000" w:rsidRPr="00A95437" w:rsidP="00A95437">
            <w:pPr>
              <w:pStyle w:val="BodyText"/>
            </w:pPr>
          </w:p>
          <w:p w:rsidR="00000000" w:rsidRPr="00A95437" w:rsidP="00A95437">
            <w:pPr>
              <w:pStyle w:val="BodyText"/>
            </w:pPr>
            <w:r w:rsidRPr="00A95437">
              <w:t xml:space="preserve">Resources may include: </w:t>
            </w:r>
          </w:p>
          <w:p w:rsidR="00000000" w:rsidRPr="00A95437" w:rsidP="00A95437">
            <w:pPr>
              <w:pStyle w:val="ListBullet"/>
            </w:pPr>
            <w:r w:rsidRPr="00A95437">
              <w:t>marketing or business plan</w:t>
            </w:r>
          </w:p>
          <w:p w:rsidR="00000000" w:rsidP="00A95437">
            <w:pPr>
              <w:pStyle w:val="ListBullet"/>
              <w:rPr>
                <w:lang w:val="en-NZ"/>
              </w:rPr>
            </w:pPr>
            <w:r w:rsidRPr="00A95437">
              <w:t>sustainable aquaculture policies</w:t>
            </w:r>
          </w:p>
        </w:tc>
      </w:tr>
      <w:tr w:rsidTr="00D71B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t>The fo</w:t>
            </w:r>
            <w:r w:rsidRPr="00A95437">
              <w:t xml:space="preserve">llowing assessment methods are suggested: </w:t>
            </w:r>
          </w:p>
          <w:p w:rsidR="00000000" w:rsidRPr="00A95437" w:rsidP="00A95437">
            <w:pPr>
              <w:pStyle w:val="ListBullet"/>
            </w:pPr>
            <w:r w:rsidRPr="00A95437">
              <w:t>project (work or scenario based)</w:t>
            </w:r>
          </w:p>
          <w:p w:rsidR="00000000" w:rsidRPr="00A95437" w:rsidP="00A95437">
            <w:pPr>
              <w:pStyle w:val="ListBullet"/>
            </w:pPr>
            <w:r w:rsidRPr="00A95437">
              <w:t>case studies</w:t>
            </w:r>
          </w:p>
          <w:p w:rsidR="00000000" w:rsidP="00A95437">
            <w:pPr>
              <w:pStyle w:val="ListBullet"/>
              <w:rPr>
                <w:lang w:val="en-NZ"/>
              </w:rPr>
            </w:pPr>
            <w:r w:rsidRPr="00A95437">
              <w:t>written or oral questions.</w:t>
            </w:r>
          </w:p>
        </w:tc>
      </w:tr>
      <w:tr w:rsidTr="00D71B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t>This unit may be assessed holistically with other units within a qualification.</w:t>
            </w:r>
          </w:p>
        </w:tc>
      </w:tr>
    </w:tbl>
    <w:p w:rsidR="00D71B5A" w:rsidP="00A95437">
      <w:pPr>
        <w:pStyle w:val="BodyText"/>
      </w:pPr>
    </w:p>
    <w:p w:rsidR="00D71B5A" w:rsidP="00A95437">
      <w:pPr>
        <w:pStyle w:val="BodyText"/>
      </w:pPr>
    </w:p>
    <w:p w:rsidR="00000000" w:rsidRPr="00A95437" w:rsidP="00A95437">
      <w:pPr>
        <w:pStyle w:val="Heading1"/>
      </w:pPr>
      <w:bookmarkStart w:id="11" w:name="O_253869"/>
      <w:bookmarkEnd w:id="11"/>
      <w:r w:rsidRPr="00A95437">
        <w:t>Range Statement</w:t>
      </w:r>
    </w:p>
    <w:tbl>
      <w:tblPr>
        <w:tblW w:w="0" w:type="auto"/>
        <w:tblLayout w:type="fixed"/>
        <w:tblCellMar>
          <w:left w:w="62" w:type="dxa"/>
          <w:right w:w="62" w:type="dxa"/>
        </w:tblCellMar>
        <w:tblLook w:val="0000"/>
      </w:tblPr>
      <w:tblGrid>
        <w:gridCol w:w="3576"/>
        <w:gridCol w:w="4946"/>
      </w:tblGrid>
      <w:tr w:rsidTr="00D71B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RANGE STATEMENT</w:t>
            </w:r>
          </w:p>
        </w:tc>
      </w:tr>
      <w:tr w:rsidTr="00D71B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t xml:space="preserve">The range statement relates to the unit of competency as a whole. It allows for different work environments and situations that may affect </w:t>
            </w:r>
            <w:r w:rsidRPr="00A95437">
              <w:t>performance. Bold italicised wording, if used in the performance criteria, is detailed below. Essential operating conditions that may be present with training and assessment (depending on the work situation, needs of the candidate, accessibility of the ite</w:t>
            </w:r>
            <w:r w:rsidRPr="00A95437">
              <w:t>m, and local industry and regional contexts) may also be included.</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Relevant government regulations</w:t>
            </w:r>
            <w:r w:rsidRPr="00A95437">
              <w:t xml:space="preserve">, </w:t>
            </w:r>
            <w:r w:rsidRPr="00A95437">
              <w:rPr>
                <w:rStyle w:val="BoldandItalics"/>
              </w:rPr>
              <w:t>licensing and other compliance requirements</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business or workplace operations, policies and practices:</w:t>
            </w:r>
          </w:p>
          <w:p w:rsidR="00000000" w:rsidRPr="00A95437" w:rsidP="00A95437">
            <w:pPr>
              <w:pStyle w:val="ListBullet2"/>
            </w:pPr>
            <w:r w:rsidRPr="00A95437">
              <w:t xml:space="preserve">commercial law, including fair trading and trade practices </w:t>
            </w:r>
          </w:p>
          <w:p w:rsidR="00000000" w:rsidRPr="00A95437" w:rsidP="00A95437">
            <w:pPr>
              <w:pStyle w:val="ListBullet2"/>
            </w:pPr>
            <w:r w:rsidRPr="00A95437">
              <w:t>consumer law</w:t>
            </w:r>
          </w:p>
          <w:p w:rsidR="00000000" w:rsidRPr="00A95437" w:rsidP="00A95437">
            <w:pPr>
              <w:pStyle w:val="ListBullet2"/>
            </w:pPr>
            <w:r w:rsidRPr="00A95437">
              <w:t xml:space="preserve">corporate law, including registration, licensing and financial reporting </w:t>
            </w:r>
          </w:p>
          <w:p w:rsidR="00000000" w:rsidRPr="00A95437" w:rsidP="00A95437">
            <w:pPr>
              <w:pStyle w:val="ListBullet2"/>
            </w:pPr>
            <w:r w:rsidRPr="00A95437">
              <w:t>disability policies and practices</w:t>
            </w:r>
          </w:p>
          <w:p w:rsidR="00000000" w:rsidRPr="00A95437" w:rsidP="00A95437">
            <w:pPr>
              <w:pStyle w:val="ListBullet2"/>
            </w:pPr>
            <w:r w:rsidRPr="00A95437">
              <w:t xml:space="preserve">equal opportunity, anti-discrimination and sexual harassment </w:t>
            </w:r>
          </w:p>
          <w:p w:rsidR="00000000" w:rsidRPr="00A95437" w:rsidP="00A95437">
            <w:pPr>
              <w:pStyle w:val="ListBullet2"/>
            </w:pPr>
            <w:r w:rsidRPr="00A95437">
              <w:t>industrial re</w:t>
            </w:r>
            <w:r w:rsidRPr="00A95437">
              <w:t>lations and awards, individual employment contracts and share of catch agreements</w:t>
            </w:r>
          </w:p>
          <w:p w:rsidR="00000000" w:rsidRPr="00A95437" w:rsidP="00A95437">
            <w:pPr>
              <w:pStyle w:val="ListBullet2"/>
            </w:pPr>
            <w:r w:rsidRPr="00A95437">
              <w:t>jurisdictional variations</w:t>
            </w:r>
          </w:p>
          <w:p w:rsidR="00000000" w:rsidRPr="00A95437" w:rsidP="00A95437">
            <w:pPr>
              <w:pStyle w:val="ListBullet2"/>
            </w:pPr>
            <w:r w:rsidRPr="00A95437">
              <w:t>superannuation</w:t>
            </w:r>
          </w:p>
          <w:p w:rsidR="00000000" w:rsidRPr="00A95437" w:rsidP="00A95437">
            <w:pPr>
              <w:pStyle w:val="ListBullet2"/>
            </w:pPr>
            <w:r w:rsidRPr="00A95437">
              <w:t>taxation</w:t>
            </w:r>
          </w:p>
          <w:p w:rsidR="00000000" w:rsidRPr="00A95437" w:rsidP="00A95437">
            <w:pPr>
              <w:pStyle w:val="ListBullet2"/>
            </w:pPr>
            <w:r w:rsidRPr="00A95437">
              <w:t xml:space="preserve">trade practices </w:t>
            </w:r>
          </w:p>
          <w:p w:rsidR="00000000" w:rsidRPr="00A95437" w:rsidP="00A95437">
            <w:pPr>
              <w:pStyle w:val="ListBullet2"/>
            </w:pPr>
            <w:r w:rsidRPr="00A95437">
              <w:t>warnings and dismissals</w:t>
            </w:r>
          </w:p>
          <w:p w:rsidR="00000000" w:rsidRPr="00A95437" w:rsidP="00A95437">
            <w:pPr>
              <w:pStyle w:val="ListBullet2"/>
            </w:pPr>
            <w:r w:rsidRPr="00A95437">
              <w:t>worker's compensation</w:t>
            </w:r>
          </w:p>
          <w:p w:rsidR="00000000" w:rsidRPr="00A95437" w:rsidP="00A95437">
            <w:pPr>
              <w:pStyle w:val="ListBullet"/>
            </w:pPr>
            <w:r w:rsidRPr="00A95437">
              <w:t>ESD principles, environmental hazard identification, risk as</w:t>
            </w:r>
            <w:r w:rsidRPr="00A95437">
              <w:t>sessment and control</w:t>
            </w:r>
          </w:p>
          <w:p w:rsidR="00000000" w:rsidRPr="00A95437" w:rsidP="00A95437">
            <w:pPr>
              <w:pStyle w:val="ListBullet"/>
            </w:pPr>
            <w:r w:rsidRPr="00A95437">
              <w:t>fisheries or aquaculture regulations, permits, licences, quotas, catch restrictions and other compliance requirements, including:</w:t>
            </w:r>
          </w:p>
          <w:p w:rsidR="00000000" w:rsidRPr="00A95437" w:rsidP="00A95437">
            <w:pPr>
              <w:pStyle w:val="ListBullet2"/>
            </w:pPr>
            <w:r w:rsidRPr="00A95437">
              <w:t>Australian Exclusive Economic Zone</w:t>
            </w:r>
          </w:p>
          <w:p w:rsidR="00000000" w:rsidRPr="00A95437" w:rsidP="00A95437">
            <w:pPr>
              <w:pStyle w:val="ListBullet2"/>
            </w:pPr>
            <w:r w:rsidRPr="00A95437">
              <w:t>international treaties and agreements</w:t>
            </w:r>
          </w:p>
          <w:p w:rsidR="00000000" w:rsidRPr="00A95437" w:rsidP="00A95437">
            <w:pPr>
              <w:pStyle w:val="ListBullet"/>
            </w:pPr>
            <w:r w:rsidRPr="00A95437">
              <w:t>food safety, Hazard Analysis Critical Control Point (HACCP), hygiene and temperature control along chain of custody</w:t>
            </w:r>
          </w:p>
          <w:p w:rsidR="00000000" w:rsidRPr="00A95437" w:rsidP="00A95437">
            <w:pPr>
              <w:pStyle w:val="ListBullet"/>
            </w:pPr>
            <w:r w:rsidRPr="00A95437">
              <w:t>imports quarantine and inspection, and importing approved arrangements for Australian Quarantine Inspection Service (AQIS), Australian Custo</w:t>
            </w:r>
            <w:r w:rsidRPr="00A95437">
              <w:t>ms Service (ACS) and Biosecurity Australia (BA)</w:t>
            </w:r>
          </w:p>
          <w:p w:rsidR="00000000" w:rsidRPr="00A95437" w:rsidP="00A95437">
            <w:pPr>
              <w:pStyle w:val="ListBullet"/>
            </w:pPr>
            <w:r w:rsidRPr="00A95437">
              <w:t>Indigenous native title, land claims and cultural activities, including fishing by traditional methods</w:t>
            </w:r>
          </w:p>
          <w:p w:rsidR="00000000" w:rsidRPr="00A95437" w:rsidP="00A95437">
            <w:pPr>
              <w:pStyle w:val="ListBullet"/>
            </w:pPr>
            <w:r w:rsidRPr="00A95437">
              <w:t>maritime and occupational diving operations:</w:t>
            </w:r>
          </w:p>
          <w:p w:rsidR="00000000" w:rsidRPr="00A95437" w:rsidP="00A95437">
            <w:pPr>
              <w:pStyle w:val="ListBullet2"/>
            </w:pPr>
            <w:r w:rsidRPr="00A95437">
              <w:t>foreign and Australian legislation applying to quarantine a</w:t>
            </w:r>
            <w:r w:rsidRPr="00A95437">
              <w:t>nd customs</w:t>
            </w:r>
          </w:p>
          <w:p w:rsidR="00000000" w:rsidRPr="00A95437" w:rsidP="00A95437">
            <w:pPr>
              <w:pStyle w:val="ListBullet2"/>
            </w:pPr>
            <w:r w:rsidRPr="00A95437">
              <w:t>International Convention for the Safety of Life at Sea (SOLAS)</w:t>
            </w:r>
          </w:p>
          <w:p w:rsidR="00000000" w:rsidRPr="00A95437" w:rsidP="00A95437">
            <w:pPr>
              <w:pStyle w:val="ListBullet2"/>
            </w:pPr>
            <w:r w:rsidRPr="00A95437">
              <w:t xml:space="preserve">International Convention on Standards of Training, Certification and Watchkeeping for Seafarers (STCW 1978) </w:t>
            </w:r>
          </w:p>
          <w:p w:rsidR="00000000" w:rsidRPr="00A95437" w:rsidP="00A95437">
            <w:pPr>
              <w:pStyle w:val="ListBullet2"/>
            </w:pPr>
            <w:r w:rsidRPr="00A95437">
              <w:t>Marine Emergency Response Search and Rescue (MERSAR)</w:t>
            </w:r>
          </w:p>
          <w:p w:rsidR="00000000" w:rsidRPr="00A95437" w:rsidP="00A95437">
            <w:pPr>
              <w:pStyle w:val="ListBullet2"/>
            </w:pPr>
            <w:r w:rsidRPr="00A95437">
              <w:t>National Standards f</w:t>
            </w:r>
            <w:r w:rsidRPr="00A95437">
              <w:t>or Commercial Vessels</w:t>
            </w:r>
          </w:p>
          <w:p w:rsidR="00000000" w:rsidRPr="00A95437" w:rsidP="00A95437">
            <w:pPr>
              <w:pStyle w:val="ListBullet2"/>
            </w:pPr>
            <w:r w:rsidRPr="00A95437">
              <w:t>pollution prevention - International Convention for the Prevention of Pollution from Ships (MARPOL 73/78)</w:t>
            </w:r>
          </w:p>
          <w:p w:rsidR="00000000" w:rsidRPr="00A95437" w:rsidP="00A95437">
            <w:pPr>
              <w:pStyle w:val="ListBullet2"/>
            </w:pPr>
            <w:r w:rsidRPr="00A95437">
              <w:t xml:space="preserve">Uniform Shipping Laws (USL) Code </w:t>
            </w:r>
          </w:p>
          <w:p w:rsidR="00000000" w:rsidRPr="00A95437" w:rsidP="00A95437">
            <w:pPr>
              <w:pStyle w:val="ListBullet2"/>
            </w:pPr>
            <w:r w:rsidRPr="00A95437">
              <w:t>use of vessels, right of way and other marine orders, bunkering and refuelling</w:t>
            </w:r>
          </w:p>
          <w:p w:rsidR="00000000" w:rsidRPr="00A95437" w:rsidP="00A95437">
            <w:pPr>
              <w:pStyle w:val="ListBullet"/>
            </w:pPr>
            <w:r w:rsidRPr="00A95437">
              <w:t>land, buildi</w:t>
            </w:r>
            <w:r w:rsidRPr="00A95437">
              <w:t>ngs and vehicles:</w:t>
            </w:r>
          </w:p>
          <w:p w:rsidR="00000000" w:rsidRPr="00A95437" w:rsidP="00A95437">
            <w:pPr>
              <w:pStyle w:val="ListBullet2"/>
            </w:pPr>
            <w:r w:rsidRPr="00A95437">
              <w:t>buildings and structures design and appearance, constructions and additions</w:t>
            </w:r>
          </w:p>
          <w:p w:rsidR="00000000" w:rsidRPr="00A95437" w:rsidP="00A95437">
            <w:pPr>
              <w:pStyle w:val="ListBullet2"/>
            </w:pPr>
            <w:r w:rsidRPr="00A95437">
              <w:t xml:space="preserve">poaching, trespass and theft </w:t>
            </w:r>
          </w:p>
          <w:p w:rsidR="00000000" w:rsidRPr="00A95437" w:rsidP="00A95437">
            <w:pPr>
              <w:pStyle w:val="ListBullet2"/>
            </w:pPr>
            <w:r w:rsidRPr="00A95437">
              <w:t>road laws for use of motor vehicles, bikes, trucks and other transport equipment</w:t>
            </w:r>
          </w:p>
          <w:p w:rsidR="00000000" w:rsidRPr="00A95437" w:rsidP="00A95437">
            <w:pPr>
              <w:pStyle w:val="ListBullet2"/>
            </w:pPr>
            <w:r w:rsidRPr="00A95437">
              <w:t xml:space="preserve">soil and water management </w:t>
            </w:r>
          </w:p>
          <w:p w:rsidR="00000000" w:rsidRPr="00A95437" w:rsidP="00A95437">
            <w:pPr>
              <w:pStyle w:val="ListBullet2"/>
            </w:pPr>
            <w:r w:rsidRPr="00A95437">
              <w:t>use of chemicals and bi</w:t>
            </w:r>
            <w:r w:rsidRPr="00A95437">
              <w:t>ological agents</w:t>
            </w:r>
          </w:p>
          <w:p w:rsidR="00000000" w:rsidRPr="00A95437" w:rsidP="00A95437">
            <w:pPr>
              <w:pStyle w:val="ListBullet2"/>
            </w:pPr>
            <w:r w:rsidRPr="00A95437">
              <w:t>use of firearms and powerheads</w:t>
            </w:r>
          </w:p>
          <w:p w:rsidR="00000000" w:rsidRPr="00A95437" w:rsidP="00A95437">
            <w:pPr>
              <w:pStyle w:val="ListBullet2"/>
            </w:pPr>
            <w:r w:rsidRPr="00A95437">
              <w:t>use of utilities, including water, natural gas, electricity and sewage</w:t>
            </w:r>
          </w:p>
          <w:p w:rsidR="00000000" w:rsidRPr="00A95437" w:rsidP="00A95437">
            <w:pPr>
              <w:pStyle w:val="ListBullet2"/>
            </w:pPr>
            <w:r w:rsidRPr="00A95437">
              <w:t xml:space="preserve">water or land lease, tenure or ownership and use </w:t>
            </w:r>
          </w:p>
          <w:p w:rsidR="00000000" w:rsidRPr="00A95437" w:rsidP="00A95437">
            <w:pPr>
              <w:pStyle w:val="ListBullet"/>
            </w:pPr>
            <w:r w:rsidRPr="00A95437">
              <w:t>OHS hazard identification, risk assessment and control</w:t>
            </w:r>
          </w:p>
          <w:p w:rsidR="00000000" w:rsidRPr="00A95437" w:rsidP="00A95437">
            <w:pPr>
              <w:pStyle w:val="ListBullet"/>
            </w:pPr>
            <w:r w:rsidRPr="00A95437">
              <w:t>product quality assurance:</w:t>
            </w:r>
          </w:p>
          <w:p w:rsidR="00000000" w:rsidRPr="00A95437" w:rsidP="00A95437">
            <w:pPr>
              <w:pStyle w:val="ListBullet2"/>
            </w:pPr>
            <w:r w:rsidRPr="00A95437">
              <w:t>correct naming and labelling (e.g. country of origin, Australian Fish Names Standard and eco-labelling)</w:t>
            </w:r>
          </w:p>
          <w:p w:rsidR="00000000" w:rsidRPr="00A95437" w:rsidP="00A95437">
            <w:pPr>
              <w:pStyle w:val="ListBullet2"/>
            </w:pPr>
            <w:r w:rsidRPr="00A95437">
              <w:t>correct quantities, sizes and other customer requirements</w:t>
            </w:r>
          </w:p>
          <w:p w:rsidR="00000000" w:rsidP="00A95437">
            <w:pPr>
              <w:pStyle w:val="ListBullet2"/>
              <w:rPr>
                <w:lang w:val="en-NZ"/>
              </w:rPr>
            </w:pPr>
            <w:r w:rsidRPr="00A95437">
              <w:t>third-party certification (e.g. Australian Grown and ISO 14001:2004 Environmental management s</w:t>
            </w:r>
            <w:r w:rsidRPr="00A95437">
              <w:t>ystems).</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OHS guidelines</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appropriate workplace provision of first aid kits and fire extinguishers</w:t>
            </w:r>
          </w:p>
          <w:p w:rsidR="00000000" w:rsidRPr="00A95437" w:rsidP="00A95437">
            <w:pPr>
              <w:pStyle w:val="ListBullet"/>
            </w:pPr>
            <w:r w:rsidRPr="00A95437">
              <w:t>clean, uncluttered, hygienic workplace</w:t>
            </w:r>
          </w:p>
          <w:p w:rsidR="00000000" w:rsidRPr="00A95437" w:rsidP="00A95437">
            <w:pPr>
              <w:pStyle w:val="ListBullet"/>
            </w:pPr>
            <w:r w:rsidRPr="00A95437">
              <w:t>codes of practice, regulations and/or guidance notes which may apply in a jurisdiction or industry sector</w:t>
            </w:r>
          </w:p>
          <w:p w:rsidR="00000000" w:rsidRPr="00A95437" w:rsidP="00A95437">
            <w:pPr>
              <w:pStyle w:val="ListBullet"/>
            </w:pPr>
            <w:r w:rsidRPr="00A95437">
              <w:t>enterprise-specific OHS procedures, policies or standards</w:t>
            </w:r>
          </w:p>
          <w:p w:rsidR="00000000" w:rsidRPr="00A95437" w:rsidP="00A95437">
            <w:pPr>
              <w:pStyle w:val="ListBullet"/>
            </w:pPr>
            <w:r w:rsidRPr="00A95437">
              <w:t>hazard and risk assessment of workplace, maintenance activities and control measures</w:t>
            </w:r>
          </w:p>
          <w:p w:rsidR="00000000" w:rsidRPr="00A95437" w:rsidP="00A95437">
            <w:pPr>
              <w:pStyle w:val="ListBullet"/>
            </w:pPr>
            <w:r w:rsidRPr="00A95437">
              <w:t>induction or training of staff, contractors and visitors in relevant OHS procedures and/or requirements to allow</w:t>
            </w:r>
            <w:r w:rsidRPr="00A95437">
              <w:t xml:space="preserve"> them to carry out their duties in a safe manner </w:t>
            </w:r>
          </w:p>
          <w:p w:rsidR="00000000" w:rsidRPr="00A95437" w:rsidP="00A95437">
            <w:pPr>
              <w:pStyle w:val="ListBullet"/>
            </w:pPr>
            <w:r w:rsidRPr="00A95437">
              <w:t>OHS training register</w:t>
            </w:r>
          </w:p>
          <w:p w:rsidR="00000000" w:rsidRPr="00A95437" w:rsidP="00A95437">
            <w:pPr>
              <w:pStyle w:val="ListBullet"/>
            </w:pPr>
            <w:r w:rsidRPr="00A95437">
              <w:t>safe lifting, carrying and handling techniques, including manual handling, and the handling and storage of hazardous substances</w:t>
            </w:r>
          </w:p>
          <w:p w:rsidR="00000000" w:rsidRPr="00A95437" w:rsidP="00A95437">
            <w:pPr>
              <w:pStyle w:val="ListBullet"/>
            </w:pPr>
            <w:r w:rsidRPr="00A95437">
              <w:t xml:space="preserve">safe systems and procedures for outdoor work, including </w:t>
            </w:r>
            <w:r w:rsidRPr="00A95437">
              <w:t>protection from solar radiation, fall protection, confined space entry and the protection of people in the workplace</w:t>
            </w:r>
          </w:p>
          <w:p w:rsidR="00000000" w:rsidRPr="00A95437" w:rsidP="00A95437">
            <w:pPr>
              <w:pStyle w:val="ListBullet"/>
            </w:pPr>
            <w:r w:rsidRPr="00A95437">
              <w:t>systems and procedures for the safe maintenance of property, machinery and equipment, including hydraulics and exposed moving parts</w:t>
            </w:r>
          </w:p>
          <w:p w:rsidR="00000000" w:rsidP="00A95437">
            <w:pPr>
              <w:pStyle w:val="ListBullet"/>
              <w:rPr>
                <w:lang w:val="en-NZ"/>
              </w:rPr>
            </w:pPr>
            <w:r w:rsidRPr="00A95437">
              <w:t>the app</w:t>
            </w:r>
            <w:r w:rsidRPr="00A95437">
              <w:t>ropriate use, maintenance and storage of PPE.</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Food safety and hygiene regulations and procedures</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Australian Shellfish Sanitation program</w:t>
            </w:r>
          </w:p>
          <w:p w:rsidR="00000000" w:rsidRPr="00A95437" w:rsidP="00A95437">
            <w:pPr>
              <w:pStyle w:val="ListBullet"/>
            </w:pPr>
            <w:r w:rsidRPr="00A95437">
              <w:t>display, packaging and sale of food, including seafood and aquatic products</w:t>
            </w:r>
          </w:p>
          <w:p w:rsidR="00000000" w:rsidRPr="00A95437" w:rsidP="00A95437">
            <w:pPr>
              <w:pStyle w:val="ListBullet"/>
            </w:pPr>
            <w:r w:rsidRPr="00A95437">
              <w:t>equipment design, use, clean</w:t>
            </w:r>
            <w:r w:rsidRPr="00A95437">
              <w:t xml:space="preserve">ing and maintenance </w:t>
            </w:r>
          </w:p>
          <w:p w:rsidR="00000000" w:rsidRPr="00A95437" w:rsidP="00A95437">
            <w:pPr>
              <w:pStyle w:val="ListBullet"/>
            </w:pPr>
            <w:r w:rsidRPr="00A95437">
              <w:t>exporting requirements, including AQIS Export Control (Fish) orders</w:t>
            </w:r>
          </w:p>
          <w:p w:rsidR="00000000" w:rsidRPr="00A95437" w:rsidP="00A95437">
            <w:pPr>
              <w:pStyle w:val="ListBullet"/>
            </w:pPr>
            <w:r w:rsidRPr="00A95437">
              <w:t>handling and disposal of condemned or recalled seafood products</w:t>
            </w:r>
          </w:p>
          <w:p w:rsidR="00000000" w:rsidRPr="00A95437" w:rsidP="00A95437">
            <w:pPr>
              <w:pStyle w:val="ListBullet"/>
            </w:pPr>
            <w:r w:rsidRPr="00A95437">
              <w:t>HACCP, food safety program, and other risk minimisation and quality assurance systems</w:t>
            </w:r>
          </w:p>
          <w:p w:rsidR="00000000" w:rsidRPr="00A95437" w:rsidP="00A95437">
            <w:pPr>
              <w:pStyle w:val="ListBullet"/>
            </w:pPr>
            <w:r w:rsidRPr="00A95437">
              <w:t xml:space="preserve">location, construction and servicing of seafood premises </w:t>
            </w:r>
          </w:p>
          <w:p w:rsidR="00000000" w:rsidRPr="00A95437" w:rsidP="00A95437">
            <w:pPr>
              <w:pStyle w:val="ListBullet"/>
            </w:pPr>
            <w:r w:rsidRPr="00A95437">
              <w:t>people, product and place hygiene and sanitation requirements</w:t>
            </w:r>
          </w:p>
          <w:p w:rsidR="00000000" w:rsidRPr="00A95437" w:rsidP="00A95437">
            <w:pPr>
              <w:pStyle w:val="ListBullet"/>
            </w:pPr>
            <w:r w:rsidRPr="00A95437">
              <w:t xml:space="preserve">Primary Products Standard and the Australian Seafood Standard (voluntary) </w:t>
            </w:r>
          </w:p>
          <w:p w:rsidR="00000000" w:rsidRPr="00A95437" w:rsidP="00A95437">
            <w:pPr>
              <w:pStyle w:val="ListBullet"/>
            </w:pPr>
            <w:r w:rsidRPr="00A95437">
              <w:t>processing, further processing and preparation of food, inclu</w:t>
            </w:r>
            <w:r w:rsidRPr="00A95437">
              <w:t xml:space="preserve">ding seafood and aquatic products </w:t>
            </w:r>
          </w:p>
          <w:p w:rsidR="00000000" w:rsidRPr="00A95437" w:rsidP="00A95437">
            <w:pPr>
              <w:pStyle w:val="ListBullet"/>
            </w:pPr>
            <w:r w:rsidRPr="00A95437">
              <w:t>product labelling, tracing and recall</w:t>
            </w:r>
          </w:p>
          <w:p w:rsidR="00000000" w:rsidRPr="00A95437" w:rsidP="00A95437">
            <w:pPr>
              <w:pStyle w:val="ListBullet"/>
            </w:pPr>
            <w:r w:rsidRPr="00A95437">
              <w:t>receipt, storage and transportation of food, including seafood and aquatic products</w:t>
            </w:r>
          </w:p>
          <w:p w:rsidR="00000000" w:rsidRPr="00A95437" w:rsidP="00A95437">
            <w:pPr>
              <w:pStyle w:val="ListBullet"/>
            </w:pPr>
            <w:r w:rsidRPr="00A95437">
              <w:t>requirements set out in Australian and New Zealand Food Authority (ANZFA) Food Standards Code and s</w:t>
            </w:r>
            <w:r w:rsidRPr="00A95437">
              <w:t>tate and territory food regulations</w:t>
            </w:r>
          </w:p>
          <w:p w:rsidR="00000000" w:rsidP="00A95437">
            <w:pPr>
              <w:pStyle w:val="ListBullet"/>
              <w:rPr>
                <w:lang w:val="en-NZ"/>
              </w:rPr>
            </w:pPr>
            <w:r w:rsidRPr="00A95437">
              <w:t>temperature and contamination control along chain of custody.</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ESD principles</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controlling use and recycling of water, and managing water quality and quantity</w:t>
            </w:r>
          </w:p>
          <w:p w:rsidR="00000000" w:rsidRPr="00A95437" w:rsidP="00A95437">
            <w:pPr>
              <w:pStyle w:val="ListBullet"/>
            </w:pPr>
            <w:r w:rsidRPr="00A95437">
              <w:t>increasing use of renewable, recyclable and reco</w:t>
            </w:r>
            <w:r w:rsidRPr="00A95437">
              <w:t>verable resources</w:t>
            </w:r>
          </w:p>
          <w:p w:rsidR="00000000" w:rsidRPr="00A95437" w:rsidP="00A95437">
            <w:pPr>
              <w:pStyle w:val="ListBullet"/>
            </w:pPr>
            <w:r w:rsidRPr="00A95437">
              <w:t>managing environmental hazard identification, risk assessment and control</w:t>
            </w:r>
          </w:p>
          <w:p w:rsidR="00000000" w:rsidRPr="00A95437" w:rsidP="00A95437">
            <w:pPr>
              <w:pStyle w:val="ListBullet"/>
            </w:pPr>
            <w:r w:rsidRPr="00A95437">
              <w:t>managing imported products quarantine and inspection, facility biosecurity, translocation of livestock and genetic material, and health certification</w:t>
            </w:r>
          </w:p>
          <w:p w:rsidR="00000000" w:rsidRPr="00A95437" w:rsidP="00A95437">
            <w:pPr>
              <w:pStyle w:val="ListBullet"/>
            </w:pPr>
            <w:r w:rsidRPr="00A95437">
              <w:t>managing stock health and welfare, especially for handling, holding, transport and slaughter</w:t>
            </w:r>
          </w:p>
          <w:p w:rsidR="00000000" w:rsidRPr="00A95437" w:rsidP="00A95437">
            <w:pPr>
              <w:pStyle w:val="ListBullet"/>
            </w:pPr>
            <w:r w:rsidRPr="00A95437">
              <w:t>managing sustainable fisheries or broodstock/seedstock collection requirements, such as size limits, quotas, season restrictions, population dynamics, fishing impa</w:t>
            </w:r>
            <w:r w:rsidRPr="00A95437">
              <w:t>cts, reducing by-catch, fisheries management strategies and maintaining biodiversity</w:t>
            </w:r>
          </w:p>
          <w:p w:rsidR="00000000" w:rsidRPr="00A95437" w:rsidP="00A95437">
            <w:pPr>
              <w:pStyle w:val="ListBullet"/>
            </w:pPr>
            <w:r w:rsidRPr="00A95437">
              <w:t xml:space="preserve">managing, controlling and treating effluents, chemical residues, contaminants, wastes and pollution </w:t>
            </w:r>
          </w:p>
          <w:p w:rsidR="00000000" w:rsidRPr="00A95437" w:rsidP="00A95437">
            <w:pPr>
              <w:pStyle w:val="ListBullet"/>
            </w:pPr>
            <w:r w:rsidRPr="00A95437">
              <w:t>minimising noise, dust, light or odour emissions</w:t>
            </w:r>
          </w:p>
          <w:p w:rsidR="00000000" w:rsidRPr="00A95437" w:rsidP="00A95437">
            <w:pPr>
              <w:pStyle w:val="ListBullet"/>
            </w:pPr>
            <w:r w:rsidRPr="00A95437">
              <w:t>planning environmenta</w:t>
            </w:r>
            <w:r w:rsidRPr="00A95437">
              <w:t>l and resource efficiency improvements</w:t>
            </w:r>
          </w:p>
          <w:p w:rsidR="00000000" w:rsidRPr="00A95437" w:rsidP="00A95437">
            <w:pPr>
              <w:pStyle w:val="ListBullet"/>
            </w:pPr>
            <w:r w:rsidRPr="00A95437">
              <w:t>preventing genetically modified and live cultured or held organisms from escaping into environment</w:t>
            </w:r>
          </w:p>
          <w:p w:rsidR="00000000" w:rsidRPr="00A95437" w:rsidP="00A95437">
            <w:pPr>
              <w:pStyle w:val="ListBullet"/>
            </w:pPr>
            <w:r w:rsidRPr="00A95437">
              <w:t>protecting native and protected flora and fauna, marine or land parks or areas, adhering to the Convention on Internat</w:t>
            </w:r>
            <w:r w:rsidRPr="00A95437">
              <w:t>ional Trade in Endangered Species of Wild Flora and Fauna (CITES), the Ramsar Convention, World Heritage and other international treaties for which Australia is a signatory</w:t>
            </w:r>
          </w:p>
          <w:p w:rsidR="00000000" w:rsidRPr="00A95437" w:rsidP="00A95437">
            <w:pPr>
              <w:pStyle w:val="ListBullet"/>
            </w:pPr>
            <w:r w:rsidRPr="00A95437">
              <w:t>reducing emissions of greenhouse gases</w:t>
            </w:r>
          </w:p>
          <w:p w:rsidR="00000000" w:rsidRPr="00A95437" w:rsidP="00A95437">
            <w:pPr>
              <w:pStyle w:val="ListBullet"/>
            </w:pPr>
            <w:r w:rsidRPr="00A95437">
              <w:t>reducing use of non-renewable resources</w:t>
            </w:r>
          </w:p>
          <w:p w:rsidR="00000000" w:rsidRPr="00A95437" w:rsidP="00A95437">
            <w:pPr>
              <w:pStyle w:val="ListBullet"/>
            </w:pPr>
            <w:r w:rsidRPr="00A95437">
              <w:t>redu</w:t>
            </w:r>
            <w:r w:rsidRPr="00A95437">
              <w:t>cing disturbances to soils, erosion and surface water flows from machinery use and other activities</w:t>
            </w:r>
          </w:p>
          <w:p w:rsidR="00000000" w:rsidP="00A95437">
            <w:pPr>
              <w:pStyle w:val="ListBullet"/>
              <w:rPr>
                <w:lang w:val="en-NZ"/>
              </w:rPr>
            </w:pPr>
            <w:r w:rsidRPr="00A95437">
              <w:t>reducing energy use and introducing alternative energy sources.</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PPE</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buoyancy vest or personal floatation device (PFD)</w:t>
            </w:r>
          </w:p>
          <w:p w:rsidR="00000000" w:rsidRPr="00A95437" w:rsidP="00A95437">
            <w:pPr>
              <w:pStyle w:val="ListBullet"/>
            </w:pPr>
            <w:r w:rsidRPr="00A95437">
              <w:t>gloves, mitts or gauntlets, and protective hand and arm covering</w:t>
            </w:r>
          </w:p>
          <w:p w:rsidR="00000000" w:rsidRPr="00A95437" w:rsidP="00A95437">
            <w:pPr>
              <w:pStyle w:val="ListBullet"/>
            </w:pPr>
            <w:r w:rsidRPr="00A95437">
              <w:t xml:space="preserve">hard hat or protective head covering </w:t>
            </w:r>
          </w:p>
          <w:p w:rsidR="00000000" w:rsidRPr="00A95437" w:rsidP="00A95437">
            <w:pPr>
              <w:pStyle w:val="ListBullet"/>
            </w:pPr>
            <w:r w:rsidRPr="00A95437">
              <w:t>hearing protection (e.g. ear plugs and ear muffs)</w:t>
            </w:r>
          </w:p>
          <w:p w:rsidR="00000000" w:rsidRPr="00A95437" w:rsidP="00A95437">
            <w:pPr>
              <w:pStyle w:val="ListBullet"/>
            </w:pPr>
            <w:r w:rsidRPr="00A95437">
              <w:t>insulated protective clothing for freezers or chillers and refrigeration units</w:t>
            </w:r>
          </w:p>
          <w:p w:rsidR="00000000" w:rsidRPr="00A95437" w:rsidP="00A95437">
            <w:pPr>
              <w:pStyle w:val="ListBullet"/>
            </w:pPr>
            <w:r w:rsidRPr="00A95437">
              <w:t xml:space="preserve">non-slip and waterproof </w:t>
            </w:r>
            <w:r w:rsidRPr="00A95437">
              <w:t>boots (gumboots) or other safety footwear</w:t>
            </w:r>
          </w:p>
          <w:p w:rsidR="00000000" w:rsidRPr="00A95437" w:rsidP="00A95437">
            <w:pPr>
              <w:pStyle w:val="ListBullet"/>
            </w:pPr>
            <w:r w:rsidRPr="00A95437">
              <w:t>personal locator beacon or Emergency Position Indicating Radio Beacon (EPIRB)</w:t>
            </w:r>
          </w:p>
          <w:p w:rsidR="00000000" w:rsidRPr="00A95437" w:rsidP="00A95437">
            <w:pPr>
              <w:pStyle w:val="ListBullet"/>
            </w:pPr>
            <w:r w:rsidRPr="00A95437">
              <w:t>protective eyewear, glasses and face mask</w:t>
            </w:r>
          </w:p>
          <w:p w:rsidR="00000000" w:rsidRPr="00A95437" w:rsidP="00A95437">
            <w:pPr>
              <w:pStyle w:val="ListBullet"/>
            </w:pPr>
            <w:r w:rsidRPr="00A95437">
              <w:t>protective hair, beard and boot covers</w:t>
            </w:r>
          </w:p>
          <w:p w:rsidR="00000000" w:rsidRPr="00A95437" w:rsidP="00A95437">
            <w:pPr>
              <w:pStyle w:val="ListBullet"/>
            </w:pPr>
            <w:r w:rsidRPr="00A95437">
              <w:t xml:space="preserve">protective outdoor clothing for tropical conditions </w:t>
            </w:r>
          </w:p>
          <w:p w:rsidR="00000000" w:rsidRPr="00A95437" w:rsidP="00A95437">
            <w:pPr>
              <w:pStyle w:val="ListBullet"/>
            </w:pPr>
            <w:r w:rsidRPr="00A95437">
              <w:t>re</w:t>
            </w:r>
            <w:r w:rsidRPr="00A95437">
              <w:t>spirator or face mask</w:t>
            </w:r>
          </w:p>
          <w:p w:rsidR="00000000" w:rsidRPr="00A95437" w:rsidP="00A95437">
            <w:pPr>
              <w:pStyle w:val="ListBullet"/>
            </w:pPr>
            <w:r w:rsidRPr="00A95437">
              <w:t>safety harness</w:t>
            </w:r>
          </w:p>
          <w:p w:rsidR="00000000" w:rsidRPr="00A95437" w:rsidP="00A95437">
            <w:pPr>
              <w:pStyle w:val="ListBullet"/>
            </w:pPr>
            <w:r w:rsidRPr="00A95437">
              <w:t>sun protection (e.g. sun hat, sunscreen and sunglasses)</w:t>
            </w:r>
          </w:p>
          <w:p w:rsidR="00000000" w:rsidRPr="00A95437" w:rsidP="00A95437">
            <w:pPr>
              <w:pStyle w:val="ListBullet"/>
            </w:pPr>
            <w:r w:rsidRPr="00A95437">
              <w:t>uniforms, overalls or protective clothing (e.g. mesh and waterproof aprons)</w:t>
            </w:r>
          </w:p>
          <w:p w:rsidR="00000000" w:rsidP="00A95437">
            <w:pPr>
              <w:pStyle w:val="ListBullet"/>
              <w:rPr>
                <w:lang w:val="en-NZ"/>
              </w:rPr>
            </w:pPr>
            <w:r w:rsidRPr="00A95437">
              <w:t>waterproof clothing (e.g. wet weather gear and waders).</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Cultured or held stock</w:t>
            </w:r>
            <w:r w:rsidRPr="00A95437">
              <w:t xml:space="preserve"> may include: </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adults, broodstock (ready to breed), seedstock or stockers, eggs and sperm, fertilised eggs, larvae, post-larvae, seed, spat, hatchlings, yearlings, juveniles, fry, fingerlings, yearlings, smolt, sporophytes, seedlings and tissue cultures</w:t>
            </w:r>
          </w:p>
          <w:p w:rsidR="00000000" w:rsidRPr="00A95437" w:rsidP="00A95437">
            <w:pPr>
              <w:pStyle w:val="ListBullet"/>
            </w:pPr>
            <w:r w:rsidRPr="00A95437">
              <w:t>f</w:t>
            </w:r>
            <w:r w:rsidRPr="00A95437">
              <w:t>infish, crustaceans, molluscs, aquatic reptiles, amphibians, polychaete and oligochaete worms, plankton, micro-algae, seaweed, aquatic plants, live rock, sponges and other aquatic invertebrates</w:t>
            </w:r>
          </w:p>
          <w:p w:rsidR="00000000" w:rsidRPr="00A95437" w:rsidP="00A95437">
            <w:pPr>
              <w:pStyle w:val="ListBullet"/>
            </w:pPr>
            <w:r w:rsidRPr="00A95437">
              <w:t>for human consumption (seafood), stockers for other farms, sto</w:t>
            </w:r>
            <w:r w:rsidRPr="00A95437">
              <w:t>ckers for conservation or recreational fishing, display or companion animals (ornamentals), and other products, including pearls, skins, shells, eggs, chemicals and pigments</w:t>
            </w:r>
          </w:p>
          <w:p w:rsidR="00000000" w:rsidP="00A95437">
            <w:pPr>
              <w:pStyle w:val="ListBullet"/>
              <w:rPr>
                <w:lang w:val="en-NZ"/>
              </w:rPr>
            </w:pPr>
            <w:r w:rsidRPr="00A95437">
              <w:t>wild caught, hatchery or nursery reared.</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Stage or component of the enterprise</w:t>
            </w:r>
            <w:r w:rsidRPr="00A95437">
              <w:t xml:space="preserve"> may</w:t>
            </w:r>
            <w:r w:rsidRPr="00A95437">
              <w:t xml:space="preserve">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broodstock collection and maturation</w:t>
            </w:r>
          </w:p>
          <w:p w:rsidR="00000000" w:rsidRPr="00A95437" w:rsidP="00A95437">
            <w:pPr>
              <w:pStyle w:val="ListBullet"/>
            </w:pPr>
            <w:r w:rsidRPr="00A95437">
              <w:t>display or holding</w:t>
            </w:r>
          </w:p>
          <w:p w:rsidR="00000000" w:rsidRPr="00A95437" w:rsidP="00A95437">
            <w:pPr>
              <w:pStyle w:val="ListBullet"/>
            </w:pPr>
            <w:r w:rsidRPr="00A95437">
              <w:t>hatchery production or seed stock collection</w:t>
            </w:r>
          </w:p>
          <w:p w:rsidR="00000000" w:rsidRPr="00A95437" w:rsidP="00A95437">
            <w:pPr>
              <w:pStyle w:val="ListBullet"/>
            </w:pPr>
            <w:r w:rsidRPr="00A95437">
              <w:t>nursery culture</w:t>
            </w:r>
          </w:p>
          <w:p w:rsidR="00000000" w:rsidRPr="00A95437" w:rsidP="00A95437">
            <w:pPr>
              <w:pStyle w:val="ListBullet"/>
            </w:pPr>
            <w:r w:rsidRPr="00A95437">
              <w:t>on-farm post-harvest or processing</w:t>
            </w:r>
          </w:p>
          <w:p w:rsidR="00000000" w:rsidRPr="00A95437" w:rsidP="00A95437">
            <w:pPr>
              <w:pStyle w:val="ListBullet"/>
            </w:pPr>
            <w:r w:rsidRPr="00A95437">
              <w:t>on growing and grow out</w:t>
            </w:r>
          </w:p>
          <w:p w:rsidR="00000000" w:rsidP="00A95437">
            <w:pPr>
              <w:pStyle w:val="ListBullet"/>
              <w:rPr>
                <w:lang w:val="en-NZ"/>
              </w:rPr>
            </w:pPr>
            <w:r w:rsidRPr="00A95437">
              <w:t>single or multiple species (e.g. polyculture and integrated culture).</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Government regulations relating to farm ownership</w:t>
            </w:r>
            <w:r w:rsidRPr="00A95437">
              <w:t>/</w:t>
            </w:r>
            <w:r w:rsidRPr="00A95437">
              <w:rPr>
                <w:rStyle w:val="BoldandItalics"/>
              </w:rPr>
              <w:t>possession</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aquacultural tenancy, ornamental permits or leases</w:t>
            </w:r>
          </w:p>
          <w:p w:rsidR="00000000" w:rsidRPr="00A95437" w:rsidP="00A95437">
            <w:pPr>
              <w:pStyle w:val="ListBullet"/>
            </w:pPr>
            <w:r w:rsidRPr="00A95437">
              <w:t>lease arrangements and requirements (contract growing)</w:t>
            </w:r>
          </w:p>
          <w:p w:rsidR="00000000" w:rsidRPr="00A95437" w:rsidP="00A95437">
            <w:pPr>
              <w:pStyle w:val="ListBullet"/>
            </w:pPr>
            <w:r w:rsidRPr="00A95437">
              <w:t>rights, responsibilities and limitations relating to farm ownership or possession (lease)</w:t>
            </w:r>
          </w:p>
          <w:p w:rsidR="00000000" w:rsidP="00A95437">
            <w:pPr>
              <w:pStyle w:val="ListBullet"/>
              <w:rPr>
                <w:lang w:val="en-NZ"/>
              </w:rPr>
            </w:pPr>
            <w:r w:rsidRPr="00A95437">
              <w:t>stock permits/licences.</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Government regulations relating to farm production</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baseline study and environmental monitoring</w:t>
            </w:r>
          </w:p>
          <w:p w:rsidR="00000000" w:rsidRPr="00A95437" w:rsidP="00A95437">
            <w:pPr>
              <w:pStyle w:val="ListBullet"/>
            </w:pPr>
            <w:r w:rsidRPr="00A95437">
              <w:t>control of predators, pests and diseases</w:t>
            </w:r>
          </w:p>
          <w:p w:rsidR="00000000" w:rsidRPr="00A95437" w:rsidP="00A95437">
            <w:pPr>
              <w:pStyle w:val="ListBullet"/>
            </w:pPr>
            <w:r w:rsidRPr="00A95437">
              <w:t>handling, transport, storage and use of chemicals</w:t>
            </w:r>
          </w:p>
          <w:p w:rsidR="00000000" w:rsidRPr="00A95437" w:rsidP="00A95437">
            <w:pPr>
              <w:pStyle w:val="ListBullet"/>
            </w:pPr>
            <w:r w:rsidRPr="00A95437">
              <w:t>licensing of vehicles and vessels</w:t>
            </w:r>
          </w:p>
          <w:p w:rsidR="00000000" w:rsidRPr="00A95437" w:rsidP="00A95437">
            <w:pPr>
              <w:pStyle w:val="ListBullet"/>
            </w:pPr>
            <w:r w:rsidRPr="00A95437">
              <w:t>notification of notifiable diseases</w:t>
            </w:r>
          </w:p>
          <w:p w:rsidR="00000000" w:rsidRPr="00A95437" w:rsidP="00A95437">
            <w:pPr>
              <w:pStyle w:val="ListBullet"/>
            </w:pPr>
            <w:r w:rsidRPr="00A95437">
              <w:t>OHS requirements</w:t>
            </w:r>
          </w:p>
          <w:p w:rsidR="00000000" w:rsidRPr="00A95437" w:rsidP="00A95437">
            <w:pPr>
              <w:pStyle w:val="ListBullet"/>
            </w:pPr>
            <w:r w:rsidRPr="00A95437">
              <w:t>product quality and food safety</w:t>
            </w:r>
          </w:p>
          <w:p w:rsidR="00000000" w:rsidRPr="00A95437" w:rsidP="00A95437">
            <w:pPr>
              <w:pStyle w:val="ListBullet"/>
            </w:pPr>
            <w:r w:rsidRPr="00A95437">
              <w:t>provision of relevant data for authorities</w:t>
            </w:r>
          </w:p>
          <w:p w:rsidR="00000000" w:rsidRPr="00A95437" w:rsidP="00A95437">
            <w:pPr>
              <w:pStyle w:val="ListBullet"/>
            </w:pPr>
            <w:r w:rsidRPr="00A95437">
              <w:t>registration of firearms</w:t>
            </w:r>
          </w:p>
          <w:p w:rsidR="00000000" w:rsidRPr="00A95437" w:rsidP="00A95437">
            <w:pPr>
              <w:pStyle w:val="ListBullet"/>
            </w:pPr>
            <w:r w:rsidRPr="00A95437">
              <w:t>transport of broodstock and seedstock</w:t>
            </w:r>
          </w:p>
          <w:p w:rsidR="00000000" w:rsidP="00A95437">
            <w:pPr>
              <w:pStyle w:val="ListBullet"/>
              <w:rPr>
                <w:lang w:val="en-NZ"/>
              </w:rPr>
            </w:pPr>
            <w:r w:rsidRPr="00A95437">
              <w:t>use of exotic species.</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Production facilities</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air supplies, oxygen or gases</w:t>
            </w:r>
          </w:p>
          <w:p w:rsidR="00000000" w:rsidRPr="00A95437" w:rsidP="00A95437">
            <w:pPr>
              <w:pStyle w:val="ListBullet"/>
            </w:pPr>
            <w:r w:rsidRPr="00A95437">
              <w:t>backup equipment (e.g. water, air and power supplies)</w:t>
            </w:r>
          </w:p>
          <w:p w:rsidR="00000000" w:rsidRPr="00A95437" w:rsidP="00A95437">
            <w:pPr>
              <w:pStyle w:val="ListBullet"/>
            </w:pPr>
            <w:r w:rsidRPr="00A95437">
              <w:t>culture or holding structures</w:t>
            </w:r>
          </w:p>
          <w:p w:rsidR="00000000" w:rsidRPr="00A95437" w:rsidP="00A95437">
            <w:pPr>
              <w:pStyle w:val="ListBullet"/>
            </w:pPr>
            <w:r w:rsidRPr="00A95437">
              <w:t>electricity, gas or</w:t>
            </w:r>
            <w:r w:rsidRPr="00A95437">
              <w:t xml:space="preserve"> power supplies</w:t>
            </w:r>
          </w:p>
          <w:p w:rsidR="00000000" w:rsidRPr="00A95437" w:rsidP="00A95437">
            <w:pPr>
              <w:pStyle w:val="ListBullet"/>
            </w:pPr>
            <w:r w:rsidRPr="00A95437">
              <w:t>feeding equipment</w:t>
            </w:r>
          </w:p>
          <w:p w:rsidR="00000000" w:rsidRPr="00A95437" w:rsidP="00A95437">
            <w:pPr>
              <w:pStyle w:val="ListBullet"/>
            </w:pPr>
            <w:r w:rsidRPr="00A95437">
              <w:t>lease markers, fences and gateways, laneways, tracks and roads</w:t>
            </w:r>
          </w:p>
          <w:p w:rsidR="00000000" w:rsidRPr="00A95437" w:rsidP="00A95437">
            <w:pPr>
              <w:pStyle w:val="ListBullet"/>
            </w:pPr>
            <w:r w:rsidRPr="00A95437">
              <w:t>predator or pest exclusion</w:t>
            </w:r>
          </w:p>
          <w:p w:rsidR="00000000" w:rsidRPr="00A95437" w:rsidP="00A95437">
            <w:pPr>
              <w:pStyle w:val="ListBullet"/>
            </w:pPr>
            <w:r w:rsidRPr="00A95437">
              <w:t>processing, grading and storage sheds</w:t>
            </w:r>
          </w:p>
          <w:p w:rsidR="00000000" w:rsidRPr="00A95437" w:rsidP="00A95437">
            <w:pPr>
              <w:pStyle w:val="ListBullet"/>
            </w:pPr>
            <w:r w:rsidRPr="00A95437">
              <w:t>waste treatment and disposal</w:t>
            </w:r>
          </w:p>
          <w:p w:rsidR="00000000" w:rsidRPr="00A95437" w:rsidP="00A95437">
            <w:pPr>
              <w:pStyle w:val="ListBullet"/>
            </w:pPr>
            <w:r w:rsidRPr="00A95437">
              <w:t>water storage, supply, treatment and disposal systems</w:t>
            </w:r>
          </w:p>
          <w:p w:rsidR="00000000" w:rsidP="00A95437">
            <w:pPr>
              <w:pStyle w:val="ListBullet"/>
              <w:rPr>
                <w:lang w:val="en-NZ"/>
              </w:rPr>
            </w:pPr>
            <w:r w:rsidRPr="00A95437">
              <w:t>water quality.</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Equipment requirements</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cleaning equipment</w:t>
            </w:r>
          </w:p>
          <w:p w:rsidR="00000000" w:rsidRPr="00A95437" w:rsidP="00A95437">
            <w:pPr>
              <w:pStyle w:val="ListBullet"/>
            </w:pPr>
            <w:r w:rsidRPr="00A95437">
              <w:t>graders, counters, scales and measuring equipment</w:t>
            </w:r>
          </w:p>
          <w:p w:rsidR="00000000" w:rsidRPr="00A95437" w:rsidP="00A95437">
            <w:pPr>
              <w:pStyle w:val="ListBullet"/>
            </w:pPr>
            <w:r w:rsidRPr="00A95437">
              <w:t>harvesting equipment:</w:t>
            </w:r>
          </w:p>
          <w:p w:rsidR="00000000" w:rsidRPr="00A95437" w:rsidP="00A95437">
            <w:pPr>
              <w:pStyle w:val="ListBullet2"/>
            </w:pPr>
            <w:r w:rsidRPr="00A95437">
              <w:t>fish pump</w:t>
            </w:r>
          </w:p>
          <w:p w:rsidR="00000000" w:rsidRPr="00A95437" w:rsidP="00A95437">
            <w:pPr>
              <w:pStyle w:val="ListBullet2"/>
            </w:pPr>
            <w:r w:rsidRPr="00A95437">
              <w:t>nets, cages, traps and scoops</w:t>
            </w:r>
          </w:p>
          <w:p w:rsidR="00000000" w:rsidRPr="00A95437" w:rsidP="00A95437">
            <w:pPr>
              <w:pStyle w:val="ListBullet2"/>
            </w:pPr>
            <w:r w:rsidRPr="00A95437">
              <w:t>remote operated video or still camera</w:t>
            </w:r>
          </w:p>
          <w:p w:rsidR="00000000" w:rsidRPr="00A95437" w:rsidP="00A95437">
            <w:pPr>
              <w:pStyle w:val="ListBullet2"/>
            </w:pPr>
            <w:r w:rsidRPr="00A95437">
              <w:t>swim way</w:t>
            </w:r>
          </w:p>
          <w:p w:rsidR="00000000" w:rsidRPr="00A95437" w:rsidP="00A95437">
            <w:pPr>
              <w:pStyle w:val="ListBullet"/>
            </w:pPr>
            <w:r w:rsidRPr="00A95437">
              <w:t>PPE:</w:t>
            </w:r>
          </w:p>
          <w:p w:rsidR="00000000" w:rsidRPr="00A95437" w:rsidP="00A95437">
            <w:pPr>
              <w:pStyle w:val="ListBullet2"/>
            </w:pPr>
            <w:r w:rsidRPr="00A95437">
              <w:t>anaesthetics or restraints for dangerous animals</w:t>
            </w:r>
          </w:p>
          <w:p w:rsidR="00000000" w:rsidRPr="00A95437" w:rsidP="00A95437">
            <w:pPr>
              <w:pStyle w:val="ListBullet"/>
            </w:pPr>
            <w:r w:rsidRPr="00A95437">
              <w:t>transport equipment:</w:t>
            </w:r>
          </w:p>
          <w:p w:rsidR="00000000" w:rsidRPr="00A95437" w:rsidP="00A95437">
            <w:pPr>
              <w:pStyle w:val="ListBullet2"/>
            </w:pPr>
            <w:r w:rsidRPr="00A95437">
              <w:t>bags</w:t>
            </w:r>
          </w:p>
          <w:p w:rsidR="00000000" w:rsidRPr="00A95437" w:rsidP="00A95437">
            <w:pPr>
              <w:pStyle w:val="ListBullet2"/>
            </w:pPr>
            <w:r w:rsidRPr="00A95437">
              <w:t>baskets</w:t>
            </w:r>
          </w:p>
          <w:p w:rsidR="00000000" w:rsidRPr="00A95437" w:rsidP="00A95437">
            <w:pPr>
              <w:pStyle w:val="ListBullet2"/>
            </w:pPr>
            <w:r w:rsidRPr="00A95437">
              <w:t>buckets, pails and tanks</w:t>
            </w:r>
          </w:p>
          <w:p w:rsidR="00000000" w:rsidRPr="00A95437" w:rsidP="00A95437">
            <w:pPr>
              <w:pStyle w:val="ListBullet2"/>
            </w:pPr>
            <w:r w:rsidRPr="00A95437">
              <w:t>oxygen supply</w:t>
            </w:r>
          </w:p>
          <w:p w:rsidR="00000000" w:rsidRPr="00A95437" w:rsidP="00A95437">
            <w:pPr>
              <w:pStyle w:val="ListBullet"/>
            </w:pPr>
            <w:r w:rsidRPr="00A95437">
              <w:t>water treatment equipment:</w:t>
            </w:r>
          </w:p>
          <w:p w:rsidR="00000000" w:rsidRPr="00A95437" w:rsidP="00A95437">
            <w:pPr>
              <w:pStyle w:val="ListBullet2"/>
            </w:pPr>
            <w:r w:rsidRPr="00A95437">
              <w:t>aerators</w:t>
            </w:r>
          </w:p>
          <w:p w:rsidR="00000000" w:rsidRPr="00A95437" w:rsidP="00A95437">
            <w:pPr>
              <w:pStyle w:val="ListBullet2"/>
            </w:pPr>
            <w:r w:rsidRPr="00A95437">
              <w:t>filters</w:t>
            </w:r>
          </w:p>
          <w:p w:rsidR="00000000" w:rsidRPr="00A95437" w:rsidP="00A95437">
            <w:pPr>
              <w:pStyle w:val="ListBullet2"/>
            </w:pPr>
            <w:r w:rsidRPr="00A95437">
              <w:t>flow regulators</w:t>
            </w:r>
          </w:p>
          <w:p w:rsidR="00000000" w:rsidRPr="00A95437" w:rsidP="00A95437">
            <w:pPr>
              <w:pStyle w:val="ListBullet2"/>
            </w:pPr>
            <w:r w:rsidRPr="00A95437">
              <w:t>sterilisers, including ultraviolet (UV) and ozone</w:t>
            </w:r>
          </w:p>
          <w:p w:rsidR="00000000" w:rsidRPr="00A95437" w:rsidP="00A95437">
            <w:pPr>
              <w:pStyle w:val="ListBullet2"/>
            </w:pPr>
            <w:r w:rsidRPr="00A95437">
              <w:t>temperature control</w:t>
            </w:r>
          </w:p>
          <w:p w:rsidR="00000000" w:rsidP="00A95437">
            <w:pPr>
              <w:pStyle w:val="ListBullet2"/>
              <w:rPr>
                <w:lang w:val="en-NZ"/>
              </w:rPr>
            </w:pPr>
            <w:r w:rsidRPr="00A95437">
              <w:t>waste collection or disposal.</w:t>
            </w:r>
          </w:p>
        </w:tc>
      </w:tr>
      <w:tr w:rsidTr="00D71B5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BoldandItalics"/>
              </w:rPr>
              <w:t>Inputs and services</w:t>
            </w:r>
            <w:r w:rsidRPr="00A95437">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ListBullet"/>
            </w:pPr>
            <w:r w:rsidRPr="00A95437">
              <w:t>biofoulants and other pest treatments</w:t>
            </w:r>
          </w:p>
          <w:p w:rsidR="00000000" w:rsidRPr="00A95437" w:rsidP="00A95437">
            <w:pPr>
              <w:pStyle w:val="ListBullet"/>
            </w:pPr>
            <w:r w:rsidRPr="00A95437">
              <w:t>chemicals for parasite and disease prevention and control</w:t>
            </w:r>
          </w:p>
          <w:p w:rsidR="00000000" w:rsidRPr="00A95437" w:rsidP="00A95437">
            <w:pPr>
              <w:pStyle w:val="ListBullet"/>
            </w:pPr>
            <w:r w:rsidRPr="00A95437">
              <w:t>culture or holding infrastructure and associated materials</w:t>
            </w:r>
          </w:p>
          <w:p w:rsidR="00000000" w:rsidRPr="00A95437" w:rsidP="00A95437">
            <w:pPr>
              <w:pStyle w:val="ListBullet"/>
            </w:pPr>
            <w:r w:rsidRPr="00A95437">
              <w:t>employed labour, contractors and share farmers</w:t>
            </w:r>
          </w:p>
          <w:p w:rsidR="00000000" w:rsidRPr="00A95437" w:rsidP="00A95437">
            <w:pPr>
              <w:pStyle w:val="ListBullet"/>
            </w:pPr>
            <w:r w:rsidRPr="00A95437">
              <w:t>energy (e.g. fuel, gas and electricity)</w:t>
            </w:r>
          </w:p>
          <w:p w:rsidR="00000000" w:rsidRPr="00A95437" w:rsidP="00A95437">
            <w:pPr>
              <w:pStyle w:val="ListBullet"/>
            </w:pPr>
            <w:r w:rsidRPr="00A95437">
              <w:t>feeds</w:t>
            </w:r>
          </w:p>
          <w:p w:rsidR="00000000" w:rsidRPr="00A95437" w:rsidP="00A95437">
            <w:pPr>
              <w:pStyle w:val="ListBullet"/>
            </w:pPr>
            <w:r w:rsidRPr="00A95437">
              <w:t>harvesting and production equipment and supplies</w:t>
            </w:r>
          </w:p>
          <w:p w:rsidR="00000000" w:rsidRPr="00A95437" w:rsidP="00A95437">
            <w:pPr>
              <w:pStyle w:val="ListBullet"/>
            </w:pPr>
            <w:r w:rsidRPr="00A95437">
              <w:t>seedstock and broodstock</w:t>
            </w:r>
          </w:p>
          <w:p w:rsidR="00000000" w:rsidRPr="00A95437" w:rsidP="00A95437">
            <w:pPr>
              <w:pStyle w:val="ListBullet"/>
            </w:pPr>
            <w:r w:rsidRPr="00A95437">
              <w:t>water.</w:t>
            </w:r>
          </w:p>
        </w:tc>
      </w:tr>
    </w:tbl>
    <w:p w:rsidR="00D71B5A" w:rsidP="00A95437">
      <w:pPr>
        <w:pStyle w:val="BodyText"/>
      </w:pPr>
    </w:p>
    <w:p w:rsidR="00D71B5A" w:rsidP="00A95437">
      <w:pPr>
        <w:pStyle w:val="BodyText"/>
      </w:pPr>
    </w:p>
    <w:p w:rsidR="00000000" w:rsidRPr="00A95437" w:rsidP="00A95437">
      <w:pPr>
        <w:pStyle w:val="Heading1"/>
      </w:pPr>
      <w:bookmarkStart w:id="12" w:name="O_217813"/>
      <w:bookmarkEnd w:id="12"/>
      <w:r w:rsidRPr="00A95437">
        <w:t>Unit Sector(s)</w:t>
      </w:r>
    </w:p>
    <w:tbl>
      <w:tblPr>
        <w:tblW w:w="0" w:type="auto"/>
        <w:tblLayout w:type="fixed"/>
        <w:tblCellMar>
          <w:left w:w="62" w:type="dxa"/>
          <w:right w:w="62" w:type="dxa"/>
        </w:tblCellMar>
        <w:tblLook w:val="0000"/>
      </w:tblPr>
      <w:tblGrid>
        <w:gridCol w:w="2602"/>
        <w:gridCol w:w="5920"/>
      </w:tblGrid>
      <w:tr w:rsidTr="00D71B5A">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r w:rsidRPr="00A95437">
              <w:t>Aquaculture operations</w:t>
            </w:r>
          </w:p>
        </w:tc>
      </w:tr>
    </w:tbl>
    <w:p w:rsidR="00D71B5A" w:rsidP="00A95437">
      <w:pPr>
        <w:pStyle w:val="BodyText"/>
      </w:pPr>
    </w:p>
    <w:p w:rsidR="00D71B5A" w:rsidP="00A95437">
      <w:pPr>
        <w:pStyle w:val="BodyText"/>
      </w:pPr>
    </w:p>
    <w:p w:rsidR="00000000" w:rsidRPr="00A95437" w:rsidP="00A95437">
      <w:pPr>
        <w:pStyle w:val="Heading1"/>
      </w:pPr>
      <w:bookmarkStart w:id="13" w:name="O_217810"/>
      <w:bookmarkEnd w:id="13"/>
      <w:r w:rsidRPr="00A95437">
        <w:t>Co-requisite units</w:t>
      </w:r>
    </w:p>
    <w:tbl>
      <w:tblPr>
        <w:tblW w:w="0" w:type="auto"/>
        <w:tblLayout w:type="fixed"/>
        <w:tblCellMar>
          <w:left w:w="62" w:type="dxa"/>
          <w:right w:w="62" w:type="dxa"/>
        </w:tblCellMar>
        <w:tblLook w:val="0000"/>
      </w:tblPr>
      <w:tblGrid>
        <w:gridCol w:w="2641"/>
        <w:gridCol w:w="1322"/>
        <w:gridCol w:w="4559"/>
      </w:tblGrid>
      <w:tr w:rsidTr="00D71B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p>
        </w:tc>
      </w:tr>
      <w:tr w:rsidTr="00D71B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p>
        </w:tc>
      </w:tr>
      <w:tr w:rsidTr="00D71B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p>
        </w:tc>
      </w:tr>
    </w:tbl>
    <w:p w:rsidR="00D71B5A" w:rsidP="00A95437">
      <w:pPr>
        <w:pStyle w:val="BodyText"/>
      </w:pPr>
    </w:p>
    <w:p w:rsidR="00D71B5A" w:rsidP="00A95437">
      <w:pPr>
        <w:pStyle w:val="BodyText"/>
      </w:pPr>
    </w:p>
    <w:p w:rsidR="00000000" w:rsidRPr="00A95437" w:rsidP="00A95437">
      <w:pPr>
        <w:pStyle w:val="Heading1"/>
      </w:pPr>
      <w:bookmarkStart w:id="14" w:name="O_217812"/>
      <w:bookmarkEnd w:id="14"/>
      <w:r w:rsidRPr="00A95437">
        <w:t>Competency field</w:t>
      </w:r>
    </w:p>
    <w:tbl>
      <w:tblPr>
        <w:tblW w:w="0" w:type="auto"/>
        <w:tblLayout w:type="fixed"/>
        <w:tblCellMar>
          <w:left w:w="62" w:type="dxa"/>
          <w:right w:w="62" w:type="dxa"/>
        </w:tblCellMar>
        <w:tblLook w:val="0000"/>
      </w:tblPr>
      <w:tblGrid>
        <w:gridCol w:w="2784"/>
        <w:gridCol w:w="5738"/>
      </w:tblGrid>
      <w:tr w:rsidTr="00D71B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437">
            <w:pPr>
              <w:pStyle w:val="BodyText"/>
              <w:rPr>
                <w:lang w:val="en-NZ"/>
              </w:rPr>
            </w:pPr>
            <w:r w:rsidRPr="00A954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437" w:rsidP="00A95437">
            <w:pPr>
              <w:pStyle w:val="BodyText"/>
            </w:pPr>
          </w:p>
        </w:tc>
      </w:tr>
    </w:tbl>
    <w:p w:rsidR="00D71B5A" w:rsidP="00A95437">
      <w:pPr>
        <w:pStyle w:val="BodyText"/>
      </w:pPr>
    </w:p>
    <w:p w:rsidR="00D71B5A" w:rsidP="00A95437">
      <w:pPr>
        <w:pStyle w:val="BodyText"/>
      </w:pPr>
    </w:p>
    <w:p w:rsidR="00000000" w:rsidRPr="00A95437" w:rsidP="00A95437"/>
    <w:sectPr w:rsidSect="00A954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B5A" w:rsidP="00D71B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5A" w:rsidP="00A95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71B5A" w:rsidP="00A954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71B5A" w:rsidP="00A954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B5A" w:rsidP="00D71B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5A" w:rsidP="00A95437">
    <w:pPr>
      <w:pStyle w:val="Header"/>
      <w:framePr w:wrap="around"/>
    </w:pPr>
    <w:r>
      <w:fldChar w:fldCharType="begin"/>
    </w:r>
    <w:r>
      <w:instrText xml:space="preserve"> TITLE   \* MERGEFORMAT </w:instrText>
    </w:r>
    <w:r>
      <w:fldChar w:fldCharType="separate"/>
    </w:r>
    <w:r>
      <w:t>SFIAQUA509B Develop stock production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1B5A" w:rsidP="00A954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30B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1CF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8F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4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5437"/>
    <w:pPr>
      <w:spacing w:before="360" w:after="60"/>
      <w:outlineLvl w:val="0"/>
    </w:pPr>
    <w:rPr>
      <w:sz w:val="32"/>
    </w:rPr>
  </w:style>
  <w:style w:type="paragraph" w:styleId="Heading2">
    <w:name w:val="heading 2"/>
    <w:basedOn w:val="HeadingBase"/>
    <w:next w:val="BodyText"/>
    <w:link w:val="Heading2Char"/>
    <w:qFormat/>
    <w:rsid w:val="00A95437"/>
    <w:pPr>
      <w:keepLines/>
      <w:spacing w:before="240" w:after="120"/>
      <w:outlineLvl w:val="1"/>
    </w:pPr>
    <w:rPr>
      <w:sz w:val="28"/>
      <w:szCs w:val="40"/>
    </w:rPr>
  </w:style>
  <w:style w:type="paragraph" w:styleId="Heading3">
    <w:name w:val="heading 3"/>
    <w:basedOn w:val="HeadingBase"/>
    <w:next w:val="BodyText"/>
    <w:link w:val="Heading3Char"/>
    <w:qFormat/>
    <w:rsid w:val="00A95437"/>
    <w:pPr>
      <w:spacing w:before="180" w:after="120"/>
      <w:outlineLvl w:val="2"/>
    </w:pPr>
    <w:rPr>
      <w:spacing w:val="-10"/>
      <w:kern w:val="32"/>
    </w:rPr>
  </w:style>
  <w:style w:type="paragraph" w:styleId="Heading4">
    <w:name w:val="heading 4"/>
    <w:basedOn w:val="HeadingBase"/>
    <w:next w:val="BodyText"/>
    <w:link w:val="Heading4Char"/>
    <w:qFormat/>
    <w:rsid w:val="00A95437"/>
    <w:pPr>
      <w:spacing w:before="160" w:after="120"/>
      <w:outlineLvl w:val="3"/>
    </w:pPr>
    <w:rPr>
      <w:sz w:val="22"/>
    </w:rPr>
  </w:style>
  <w:style w:type="paragraph" w:styleId="Heading5">
    <w:name w:val="heading 5"/>
    <w:basedOn w:val="HeadingBase"/>
    <w:next w:val="Normal"/>
    <w:link w:val="Heading5Char"/>
    <w:qFormat/>
    <w:rsid w:val="00A95437"/>
    <w:pPr>
      <w:spacing w:before="80"/>
      <w:outlineLvl w:val="4"/>
    </w:pPr>
    <w:rPr>
      <w:color w:val="918585"/>
      <w:sz w:val="20"/>
    </w:rPr>
  </w:style>
  <w:style w:type="paragraph" w:styleId="Heading6">
    <w:name w:val="heading 6"/>
    <w:basedOn w:val="HeadingBase"/>
    <w:next w:val="Normal"/>
    <w:link w:val="Heading6Char"/>
    <w:qFormat/>
    <w:rsid w:val="00A95437"/>
    <w:pPr>
      <w:spacing w:before="60"/>
      <w:outlineLvl w:val="5"/>
    </w:pPr>
    <w:rPr>
      <w:color w:val="918585"/>
      <w:sz w:val="20"/>
    </w:rPr>
  </w:style>
  <w:style w:type="paragraph" w:styleId="Heading7">
    <w:name w:val="heading 7"/>
    <w:basedOn w:val="Normal"/>
    <w:next w:val="Normal"/>
    <w:link w:val="Heading7Char"/>
    <w:qFormat/>
    <w:rsid w:val="00A95437"/>
    <w:pPr>
      <w:ind w:left="720"/>
      <w:outlineLvl w:val="6"/>
    </w:pPr>
    <w:rPr>
      <w:i/>
    </w:rPr>
  </w:style>
  <w:style w:type="paragraph" w:styleId="Heading8">
    <w:name w:val="heading 8"/>
    <w:basedOn w:val="Normal"/>
    <w:next w:val="Normal"/>
    <w:link w:val="Heading8Char"/>
    <w:qFormat/>
    <w:rsid w:val="00A95437"/>
    <w:pPr>
      <w:ind w:left="720"/>
      <w:outlineLvl w:val="7"/>
    </w:pPr>
    <w:rPr>
      <w:i/>
    </w:rPr>
  </w:style>
  <w:style w:type="paragraph" w:styleId="Heading9">
    <w:name w:val="heading 9"/>
    <w:basedOn w:val="Normal"/>
    <w:next w:val="Normal"/>
    <w:link w:val="Heading9Char"/>
    <w:qFormat/>
    <w:rsid w:val="00A95437"/>
    <w:pPr>
      <w:ind w:left="720"/>
      <w:outlineLvl w:val="8"/>
    </w:pPr>
    <w:rPr>
      <w:i/>
    </w:rPr>
  </w:style>
  <w:style w:type="character" w:default="1" w:styleId="DefaultParagraphFont">
    <w:name w:val="Default Paragraph Font"/>
    <w:uiPriority w:val="1"/>
    <w:unhideWhenUsed/>
    <w:rsid w:val="00A95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437"/>
  </w:style>
  <w:style w:type="character" w:customStyle="1" w:styleId="Heading1Char">
    <w:name w:val="Heading 1 Char"/>
    <w:basedOn w:val="DefaultParagraphFont"/>
    <w:link w:val="Heading1"/>
    <w:rsid w:val="00A95437"/>
    <w:rPr>
      <w:rFonts w:ascii="Times New Roman" w:eastAsia="Times New Roman" w:hAnsi="Times New Roman" w:cs="Times New Roman"/>
      <w:b/>
      <w:sz w:val="32"/>
      <w:szCs w:val="20"/>
      <w:lang w:eastAsia="en-US"/>
    </w:rPr>
  </w:style>
  <w:style w:type="paragraph" w:styleId="BodyText">
    <w:name w:val="Body Text"/>
    <w:basedOn w:val="Normal"/>
    <w:link w:val="BodyTextChar"/>
    <w:rsid w:val="00A954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437"/>
    <w:rPr>
      <w:rFonts w:ascii="Times New Roman" w:eastAsia="Times New Roman" w:hAnsi="Times New Roman" w:cs="Times New Roman"/>
      <w:sz w:val="24"/>
      <w:lang w:val="en-US" w:eastAsia="en-US"/>
    </w:rPr>
  </w:style>
  <w:style w:type="paragraph" w:styleId="Footer">
    <w:name w:val="footer"/>
    <w:basedOn w:val="Normal"/>
    <w:link w:val="FooterChar"/>
    <w:rsid w:val="00A95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437"/>
    <w:rPr>
      <w:rFonts w:ascii="Times New Roman" w:eastAsia="Times New Roman" w:hAnsi="Times New Roman" w:cs="Times New Roman"/>
      <w:sz w:val="16"/>
      <w:lang w:val="en-US" w:eastAsia="en-US"/>
    </w:rPr>
  </w:style>
  <w:style w:type="paragraph" w:styleId="List">
    <w:name w:val="List"/>
    <w:basedOn w:val="BodyText"/>
    <w:next w:val="BodyText"/>
    <w:rsid w:val="00A95437"/>
    <w:pPr>
      <w:tabs>
        <w:tab w:val="left" w:pos="340"/>
      </w:tabs>
      <w:spacing w:before="60" w:after="60"/>
      <w:ind w:left="340" w:hanging="340"/>
    </w:pPr>
  </w:style>
  <w:style w:type="paragraph" w:styleId="ListBullet">
    <w:name w:val="List Bullet"/>
    <w:basedOn w:val="List"/>
    <w:rsid w:val="00A95437"/>
    <w:pPr>
      <w:numPr>
        <w:numId w:val="13"/>
      </w:numPr>
      <w:tabs>
        <w:tab w:val="clear" w:pos="340"/>
      </w:tabs>
      <w:spacing w:before="40" w:after="40"/>
    </w:pPr>
  </w:style>
  <w:style w:type="character" w:customStyle="1" w:styleId="SpecialBold">
    <w:name w:val="Special Bold"/>
    <w:basedOn w:val="DefaultParagraphFont"/>
    <w:rsid w:val="00A95437"/>
    <w:rPr>
      <w:b/>
      <w:spacing w:val="0"/>
    </w:rPr>
  </w:style>
  <w:style w:type="paragraph" w:styleId="ListBullet2">
    <w:name w:val="List Bullet 2"/>
    <w:basedOn w:val="List2"/>
    <w:rsid w:val="00A95437"/>
    <w:pPr>
      <w:numPr>
        <w:numId w:val="14"/>
      </w:numPr>
      <w:tabs>
        <w:tab w:val="clear" w:pos="680"/>
      </w:tabs>
    </w:pPr>
  </w:style>
  <w:style w:type="paragraph" w:styleId="Header">
    <w:name w:val="header"/>
    <w:basedOn w:val="Normal"/>
    <w:link w:val="HeaderChar"/>
    <w:rsid w:val="00A95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4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5437"/>
    <w:pPr>
      <w:spacing w:before="240" w:after="120"/>
      <w:outlineLvl w:val="0"/>
    </w:pPr>
    <w:rPr>
      <w:rFonts w:ascii="Times New Roman" w:hAnsi="Times New Roman"/>
      <w:b/>
      <w:sz w:val="28"/>
    </w:rPr>
  </w:style>
  <w:style w:type="paragraph" w:customStyle="1" w:styleId="AllowPageBreak">
    <w:name w:val="AllowPageBreak"/>
    <w:rsid w:val="00A954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5437"/>
    <w:pPr>
      <w:tabs>
        <w:tab w:val="left" w:pos="680"/>
      </w:tabs>
      <w:spacing w:before="60" w:after="60"/>
      <w:ind w:left="680" w:hanging="340"/>
    </w:pPr>
  </w:style>
  <w:style w:type="character" w:customStyle="1" w:styleId="BoldandItalics">
    <w:name w:val="Bold and Italics"/>
    <w:qFormat/>
    <w:rsid w:val="00A95437"/>
    <w:rPr>
      <w:b/>
      <w:i/>
      <w:u w:val="none"/>
    </w:rPr>
  </w:style>
  <w:style w:type="character" w:customStyle="1" w:styleId="Heading2Char">
    <w:name w:val="Heading 2 Char"/>
    <w:basedOn w:val="DefaultParagraphFont"/>
    <w:link w:val="Heading2"/>
    <w:rsid w:val="00A95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4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54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5437"/>
    <w:rPr>
      <w:rFonts w:ascii="Courier New" w:eastAsia="Times New Roman" w:hAnsi="Courier New" w:cs="Times New Roman"/>
      <w:i/>
      <w:szCs w:val="20"/>
      <w:lang w:val="en-US" w:eastAsia="en-US"/>
    </w:rPr>
  </w:style>
  <w:style w:type="paragraph" w:customStyle="1" w:styleId="HeadingBase">
    <w:name w:val="Heading Base"/>
    <w:rsid w:val="00A95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437"/>
    <w:pPr>
      <w:tabs>
        <w:tab w:val="right" w:leader="dot" w:pos="9072"/>
      </w:tabs>
      <w:ind w:left="567"/>
    </w:pPr>
    <w:rPr>
      <w:szCs w:val="22"/>
    </w:rPr>
  </w:style>
  <w:style w:type="paragraph" w:customStyle="1" w:styleId="TOCBase">
    <w:name w:val="TOC Base"/>
    <w:rsid w:val="00A95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437"/>
    <w:pPr>
      <w:tabs>
        <w:tab w:val="right" w:leader="dot" w:pos="9072"/>
      </w:tabs>
      <w:spacing w:before="40" w:after="40"/>
      <w:ind w:left="284"/>
    </w:pPr>
    <w:rPr>
      <w:rFonts w:ascii="Times New Roman" w:hAnsi="Times New Roman"/>
    </w:rPr>
  </w:style>
  <w:style w:type="paragraph" w:styleId="TOC1">
    <w:name w:val="toc 1"/>
    <w:basedOn w:val="TOCBase"/>
    <w:next w:val="Normal"/>
    <w:rsid w:val="00A954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5437"/>
    <w:pPr>
      <w:spacing w:before="5040"/>
      <w:jc w:val="center"/>
    </w:pPr>
    <w:rPr>
      <w:sz w:val="48"/>
      <w:szCs w:val="72"/>
      <w:lang w:val="en-US"/>
    </w:rPr>
  </w:style>
  <w:style w:type="character" w:customStyle="1" w:styleId="TitleChar">
    <w:name w:val="Title Char"/>
    <w:basedOn w:val="DefaultParagraphFont"/>
    <w:link w:val="Title"/>
    <w:rsid w:val="00A95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437"/>
    <w:pPr>
      <w:tabs>
        <w:tab w:val="left" w:pos="3600"/>
        <w:tab w:val="left" w:pos="3958"/>
      </w:tabs>
    </w:pPr>
  </w:style>
  <w:style w:type="paragraph" w:customStyle="1" w:styleId="Note">
    <w:name w:val="Note"/>
    <w:basedOn w:val="BodyText"/>
    <w:rsid w:val="00A954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437"/>
    <w:pPr>
      <w:framePr w:wrap="auto" w:hAnchor="text" w:y="6049"/>
    </w:pPr>
    <w:rPr>
      <w:color w:val="000000"/>
      <w:sz w:val="40"/>
    </w:rPr>
  </w:style>
  <w:style w:type="paragraph" w:customStyle="1" w:styleId="TOCTitle">
    <w:name w:val="TOCTitle"/>
    <w:basedOn w:val="Heading1"/>
    <w:rsid w:val="00A95437"/>
    <w:pPr>
      <w:spacing w:after="240"/>
      <w:jc w:val="center"/>
      <w:outlineLvl w:val="9"/>
    </w:pPr>
    <w:rPr>
      <w:caps/>
    </w:rPr>
  </w:style>
  <w:style w:type="paragraph" w:customStyle="1" w:styleId="Version">
    <w:name w:val="Version"/>
    <w:rsid w:val="00A954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437"/>
    <w:pPr>
      <w:keepNext w:val="0"/>
      <w:tabs>
        <w:tab w:val="right" w:pos="4176"/>
      </w:tabs>
      <w:ind w:left="198" w:hanging="198"/>
    </w:pPr>
    <w:rPr>
      <w:rFonts w:ascii="Garamond" w:hAnsi="Garamond"/>
    </w:rPr>
  </w:style>
  <w:style w:type="paragraph" w:styleId="IndexHeading">
    <w:name w:val="index heading"/>
    <w:basedOn w:val="Normal"/>
    <w:next w:val="Index1"/>
    <w:semiHidden/>
    <w:rsid w:val="00A95437"/>
    <w:pPr>
      <w:spacing w:before="120" w:after="120"/>
    </w:pPr>
    <w:rPr>
      <w:rFonts w:ascii="Arial" w:hAnsi="Arial"/>
      <w:b/>
      <w:color w:val="918585"/>
      <w:sz w:val="24"/>
    </w:rPr>
  </w:style>
  <w:style w:type="paragraph" w:customStyle="1" w:styleId="Chapter">
    <w:name w:val="Chapter"/>
    <w:basedOn w:val="Normal"/>
    <w:rsid w:val="00A95437"/>
    <w:pPr>
      <w:spacing w:before="240"/>
    </w:pPr>
    <w:rPr>
      <w:rFonts w:ascii="Times New Roman" w:hAnsi="Times New Roman"/>
      <w:smallCaps/>
      <w:spacing w:val="80"/>
      <w:sz w:val="28"/>
    </w:rPr>
  </w:style>
  <w:style w:type="paragraph" w:customStyle="1" w:styleId="InChapter">
    <w:name w:val="InChapter"/>
    <w:basedOn w:val="Heading3"/>
    <w:rsid w:val="00A95437"/>
    <w:pPr>
      <w:spacing w:after="240"/>
      <w:outlineLvl w:val="9"/>
    </w:pPr>
    <w:rPr>
      <w:noProof/>
    </w:rPr>
  </w:style>
  <w:style w:type="paragraph" w:styleId="Index2">
    <w:name w:val="index 2"/>
    <w:basedOn w:val="Normal"/>
    <w:next w:val="Normal"/>
    <w:semiHidden/>
    <w:rsid w:val="00A95437"/>
    <w:pPr>
      <w:tabs>
        <w:tab w:val="right" w:pos="4176"/>
      </w:tabs>
      <w:ind w:left="568" w:hanging="284"/>
    </w:pPr>
    <w:rPr>
      <w:rFonts w:ascii="Garamond" w:hAnsi="Garamond"/>
    </w:rPr>
  </w:style>
  <w:style w:type="paragraph" w:customStyle="1" w:styleId="Byline">
    <w:name w:val="Byline"/>
    <w:rsid w:val="00A95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437"/>
    <w:pPr>
      <w:tabs>
        <w:tab w:val="clear" w:pos="3600"/>
        <w:tab w:val="clear" w:pos="3958"/>
      </w:tabs>
      <w:jc w:val="right"/>
    </w:pPr>
  </w:style>
  <w:style w:type="character" w:styleId="Emphasis">
    <w:name w:val="Emphasis"/>
    <w:basedOn w:val="DefaultParagraphFont"/>
    <w:qFormat/>
    <w:rsid w:val="00A95437"/>
    <w:rPr>
      <w:i/>
    </w:rPr>
  </w:style>
  <w:style w:type="paragraph" w:styleId="Caption">
    <w:name w:val="caption"/>
    <w:basedOn w:val="BodyText"/>
    <w:next w:val="Normal"/>
    <w:qFormat/>
    <w:rsid w:val="00A95437"/>
    <w:pPr>
      <w:framePr w:w="2268" w:hSpace="181" w:vSpace="181" w:wrap="around" w:vAnchor="text" w:hAnchor="page" w:x="1135" w:y="285" w:anchorLock="1"/>
    </w:pPr>
    <w:rPr>
      <w:i/>
    </w:rPr>
  </w:style>
  <w:style w:type="paragraph" w:customStyle="1" w:styleId="MiniTOCTitle">
    <w:name w:val="MiniTOCTitle"/>
    <w:basedOn w:val="Heading4"/>
    <w:rsid w:val="00A95437"/>
    <w:pPr>
      <w:spacing w:before="240"/>
      <w:outlineLvl w:val="9"/>
    </w:pPr>
    <w:rPr>
      <w:noProof/>
      <w:sz w:val="24"/>
    </w:rPr>
  </w:style>
  <w:style w:type="paragraph" w:customStyle="1" w:styleId="MiniTOCItem">
    <w:name w:val="MiniTOCItem"/>
    <w:basedOn w:val="ListBullet"/>
    <w:rsid w:val="00A95437"/>
    <w:pPr>
      <w:numPr>
        <w:numId w:val="0"/>
      </w:numPr>
      <w:tabs>
        <w:tab w:val="right" w:leader="dot" w:pos="6521"/>
      </w:tabs>
      <w:spacing w:before="0" w:after="0"/>
    </w:pPr>
  </w:style>
  <w:style w:type="paragraph" w:customStyle="1" w:styleId="TOFTitle">
    <w:name w:val="TOFTitle"/>
    <w:basedOn w:val="TOCTitle"/>
    <w:rsid w:val="00A95437"/>
  </w:style>
  <w:style w:type="paragraph" w:styleId="TableofFigures">
    <w:name w:val="table of figures"/>
    <w:basedOn w:val="Normal"/>
    <w:next w:val="Normal"/>
    <w:semiHidden/>
    <w:rsid w:val="00A95437"/>
    <w:pPr>
      <w:tabs>
        <w:tab w:val="right" w:leader="dot" w:pos="9072"/>
      </w:tabs>
      <w:ind w:left="970" w:hanging="403"/>
    </w:pPr>
    <w:rPr>
      <w:rFonts w:ascii="Times New Roman" w:hAnsi="Times New Roman"/>
      <w:b/>
    </w:rPr>
  </w:style>
  <w:style w:type="paragraph" w:styleId="ListNumber">
    <w:name w:val="List Number"/>
    <w:basedOn w:val="List"/>
    <w:rsid w:val="00A95437"/>
    <w:pPr>
      <w:numPr>
        <w:numId w:val="11"/>
      </w:numPr>
    </w:pPr>
  </w:style>
  <w:style w:type="character" w:customStyle="1" w:styleId="WingdingSymbols">
    <w:name w:val="Wingding Symbols"/>
    <w:rsid w:val="00A95437"/>
    <w:rPr>
      <w:rFonts w:ascii="Wingdings" w:hAnsi="Wingdings"/>
    </w:rPr>
  </w:style>
  <w:style w:type="paragraph" w:customStyle="1" w:styleId="TableHeading">
    <w:name w:val="Table Heading"/>
    <w:basedOn w:val="HeadingBase"/>
    <w:rsid w:val="00A95437"/>
    <w:pPr>
      <w:keepLines/>
      <w:pBdr>
        <w:bottom w:val="single" w:sz="6" w:space="1" w:color="918585"/>
      </w:pBdr>
      <w:spacing w:before="240"/>
    </w:pPr>
  </w:style>
  <w:style w:type="character" w:customStyle="1" w:styleId="HotSpot">
    <w:name w:val="HotSpot"/>
    <w:rsid w:val="00A95437"/>
    <w:rPr>
      <w:color w:val="0033CC"/>
      <w:u w:val="none"/>
    </w:rPr>
  </w:style>
  <w:style w:type="paragraph" w:customStyle="1" w:styleId="BodyTextRight">
    <w:name w:val="Body Text Right"/>
    <w:basedOn w:val="BodyText"/>
    <w:rsid w:val="00A95437"/>
    <w:pPr>
      <w:spacing w:before="0" w:after="0"/>
      <w:jc w:val="right"/>
    </w:pPr>
  </w:style>
  <w:style w:type="paragraph" w:styleId="Index3">
    <w:name w:val="index 3"/>
    <w:basedOn w:val="ListNumber2"/>
    <w:next w:val="Normal"/>
    <w:semiHidden/>
    <w:rsid w:val="00A95437"/>
    <w:pPr>
      <w:numPr>
        <w:numId w:val="0"/>
      </w:numPr>
      <w:tabs>
        <w:tab w:val="right" w:leader="dot" w:pos="4176"/>
      </w:tabs>
    </w:pPr>
  </w:style>
  <w:style w:type="paragraph" w:styleId="ListNumber2">
    <w:name w:val="List Number 2"/>
    <w:basedOn w:val="List2"/>
    <w:rsid w:val="00A95437"/>
    <w:pPr>
      <w:numPr>
        <w:numId w:val="10"/>
      </w:numPr>
      <w:tabs>
        <w:tab w:val="clear" w:pos="1060"/>
      </w:tabs>
    </w:pPr>
  </w:style>
  <w:style w:type="paragraph" w:customStyle="1" w:styleId="MarginNote">
    <w:name w:val="Margin Note"/>
    <w:basedOn w:val="BodyText"/>
    <w:rsid w:val="00A95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4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5437"/>
    <w:rPr>
      <w:sz w:val="32"/>
    </w:rPr>
  </w:style>
  <w:style w:type="paragraph" w:customStyle="1" w:styleId="HeadingProcedure">
    <w:name w:val="Heading Procedure"/>
    <w:basedOn w:val="HeadingBase"/>
    <w:next w:val="Normal"/>
    <w:rsid w:val="00A95437"/>
    <w:pPr>
      <w:tabs>
        <w:tab w:val="left" w:pos="0"/>
      </w:tabs>
      <w:spacing w:before="120" w:after="60"/>
    </w:pPr>
    <w:rPr>
      <w:i/>
      <w:color w:val="918585"/>
      <w:sz w:val="22"/>
    </w:rPr>
  </w:style>
  <w:style w:type="paragraph" w:customStyle="1" w:styleId="TableBodyText">
    <w:name w:val="Table Body Text"/>
    <w:basedOn w:val="BodyText"/>
    <w:rsid w:val="00A95437"/>
    <w:pPr>
      <w:spacing w:before="60" w:after="60"/>
    </w:pPr>
  </w:style>
  <w:style w:type="paragraph" w:styleId="ListContinue">
    <w:name w:val="List Continue"/>
    <w:basedOn w:val="List"/>
    <w:rsid w:val="00A95437"/>
    <w:pPr>
      <w:ind w:firstLine="0"/>
    </w:pPr>
  </w:style>
  <w:style w:type="paragraph" w:customStyle="1" w:styleId="ListNote">
    <w:name w:val="List Note"/>
    <w:basedOn w:val="List"/>
    <w:rsid w:val="00A95437"/>
    <w:pPr>
      <w:pBdr>
        <w:top w:val="single" w:sz="6" w:space="2" w:color="918585"/>
        <w:bottom w:val="single" w:sz="6" w:space="2" w:color="918585"/>
      </w:pBdr>
      <w:tabs>
        <w:tab w:val="left" w:pos="1021"/>
      </w:tabs>
      <w:ind w:firstLine="0"/>
    </w:pPr>
  </w:style>
  <w:style w:type="paragraph" w:customStyle="1" w:styleId="Warning">
    <w:name w:val="Warning"/>
    <w:basedOn w:val="BodyText"/>
    <w:rsid w:val="00A95437"/>
    <w:pPr>
      <w:shd w:val="clear" w:color="auto" w:fill="D9D9D9"/>
      <w:tabs>
        <w:tab w:val="left" w:pos="992"/>
      </w:tabs>
      <w:ind w:left="119" w:right="119"/>
    </w:pPr>
    <w:rPr>
      <w:sz w:val="20"/>
    </w:rPr>
  </w:style>
  <w:style w:type="paragraph" w:customStyle="1" w:styleId="MarginIcons">
    <w:name w:val="Margin Icons"/>
    <w:basedOn w:val="BodyText"/>
    <w:rsid w:val="00A95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437"/>
    <w:rPr>
      <w:rFonts w:ascii="Courier New" w:hAnsi="Courier New"/>
    </w:rPr>
  </w:style>
  <w:style w:type="paragraph" w:customStyle="1" w:styleId="NoteBullet">
    <w:name w:val="Note Bullet"/>
    <w:basedOn w:val="Note"/>
    <w:rsid w:val="00A95437"/>
    <w:pPr>
      <w:tabs>
        <w:tab w:val="clear" w:pos="680"/>
      </w:tabs>
      <w:spacing w:before="60" w:after="60"/>
    </w:pPr>
  </w:style>
  <w:style w:type="paragraph" w:customStyle="1" w:styleId="SubHeading2">
    <w:name w:val="SubHeading2"/>
    <w:basedOn w:val="HeadingBase"/>
    <w:rsid w:val="00A95437"/>
    <w:pPr>
      <w:spacing w:before="240" w:after="60"/>
    </w:pPr>
    <w:rPr>
      <w:sz w:val="20"/>
    </w:rPr>
  </w:style>
  <w:style w:type="paragraph" w:customStyle="1" w:styleId="SubHeading1">
    <w:name w:val="SubHeading1"/>
    <w:basedOn w:val="HeadingBase"/>
    <w:rsid w:val="00A95437"/>
    <w:pPr>
      <w:spacing w:before="240" w:after="60"/>
    </w:pPr>
    <w:rPr>
      <w:color w:val="918585"/>
      <w:sz w:val="22"/>
    </w:rPr>
  </w:style>
  <w:style w:type="paragraph" w:customStyle="1" w:styleId="SideHeading">
    <w:name w:val="Side Heading"/>
    <w:basedOn w:val="HeadingBase"/>
    <w:rsid w:val="00A95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437"/>
    <w:pPr>
      <w:numPr>
        <w:numId w:val="12"/>
      </w:numPr>
    </w:pPr>
  </w:style>
  <w:style w:type="paragraph" w:styleId="PlainText">
    <w:name w:val="Plain Text"/>
    <w:basedOn w:val="Normal"/>
    <w:link w:val="PlainTextChar"/>
    <w:rsid w:val="00A95437"/>
    <w:rPr>
      <w:sz w:val="20"/>
    </w:rPr>
  </w:style>
  <w:style w:type="character" w:customStyle="1" w:styleId="PlainTextChar">
    <w:name w:val="Plain Text Char"/>
    <w:basedOn w:val="DefaultParagraphFont"/>
    <w:link w:val="PlainText"/>
    <w:rsid w:val="00A954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5437"/>
    <w:rPr>
      <w:b/>
      <w:smallCaps/>
    </w:rPr>
  </w:style>
  <w:style w:type="paragraph" w:customStyle="1" w:styleId="TableListNumber">
    <w:name w:val="Table List Number"/>
    <w:basedOn w:val="ListNumber"/>
    <w:rsid w:val="00A95437"/>
    <w:pPr>
      <w:numPr>
        <w:numId w:val="0"/>
      </w:numPr>
    </w:pPr>
  </w:style>
  <w:style w:type="paragraph" w:styleId="TOC4">
    <w:name w:val="toc 4"/>
    <w:basedOn w:val="TOCBase"/>
    <w:next w:val="Normal"/>
    <w:semiHidden/>
    <w:rsid w:val="00A95437"/>
    <w:pPr>
      <w:tabs>
        <w:tab w:val="right" w:leader="dot" w:pos="9071"/>
      </w:tabs>
      <w:ind w:left="1701"/>
    </w:pPr>
  </w:style>
  <w:style w:type="paragraph" w:customStyle="1" w:styleId="ListAlpha">
    <w:name w:val="List Alpha"/>
    <w:basedOn w:val="List"/>
    <w:rsid w:val="00A95437"/>
    <w:pPr>
      <w:numPr>
        <w:numId w:val="9"/>
      </w:numPr>
    </w:pPr>
  </w:style>
  <w:style w:type="paragraph" w:customStyle="1" w:styleId="ListAlpha2">
    <w:name w:val="List Alpha 2"/>
    <w:basedOn w:val="List2"/>
    <w:rsid w:val="00A95437"/>
    <w:pPr>
      <w:numPr>
        <w:numId w:val="8"/>
      </w:numPr>
    </w:pPr>
  </w:style>
  <w:style w:type="paragraph" w:styleId="List3">
    <w:name w:val="List 3"/>
    <w:basedOn w:val="BodyText"/>
    <w:rsid w:val="00A95437"/>
    <w:pPr>
      <w:tabs>
        <w:tab w:val="left" w:pos="1021"/>
      </w:tabs>
      <w:spacing w:before="60" w:after="60"/>
      <w:ind w:left="1020" w:hanging="340"/>
    </w:pPr>
  </w:style>
  <w:style w:type="paragraph" w:styleId="List4">
    <w:name w:val="List 4"/>
    <w:basedOn w:val="BodyText"/>
    <w:rsid w:val="00A95437"/>
    <w:pPr>
      <w:tabs>
        <w:tab w:val="left" w:pos="1361"/>
      </w:tabs>
      <w:spacing w:before="60" w:after="60"/>
      <w:ind w:left="1361" w:hanging="340"/>
    </w:pPr>
  </w:style>
  <w:style w:type="paragraph" w:styleId="List5">
    <w:name w:val="List 5"/>
    <w:basedOn w:val="BodyText"/>
    <w:rsid w:val="00A95437"/>
    <w:pPr>
      <w:tabs>
        <w:tab w:val="left" w:pos="1701"/>
      </w:tabs>
      <w:spacing w:before="60" w:after="60"/>
      <w:ind w:left="1701" w:hanging="340"/>
    </w:pPr>
  </w:style>
  <w:style w:type="paragraph" w:styleId="ListBullet3">
    <w:name w:val="List Bullet 3"/>
    <w:basedOn w:val="List3"/>
    <w:rsid w:val="00A95437"/>
    <w:pPr>
      <w:numPr>
        <w:numId w:val="15"/>
      </w:numPr>
      <w:tabs>
        <w:tab w:val="clear" w:pos="1021"/>
      </w:tabs>
      <w:ind w:left="1037" w:hanging="357"/>
    </w:pPr>
  </w:style>
  <w:style w:type="paragraph" w:styleId="ListBullet4">
    <w:name w:val="List Bullet 4"/>
    <w:basedOn w:val="List4"/>
    <w:rsid w:val="00A95437"/>
    <w:pPr>
      <w:numPr>
        <w:numId w:val="3"/>
      </w:numPr>
    </w:pPr>
  </w:style>
  <w:style w:type="paragraph" w:styleId="ListBullet5">
    <w:name w:val="List Bullet 5"/>
    <w:basedOn w:val="List5"/>
    <w:rsid w:val="00A95437"/>
    <w:pPr>
      <w:numPr>
        <w:numId w:val="4"/>
      </w:numPr>
    </w:pPr>
  </w:style>
  <w:style w:type="paragraph" w:styleId="ListContinue2">
    <w:name w:val="List Continue 2"/>
    <w:basedOn w:val="List2"/>
    <w:rsid w:val="00A95437"/>
    <w:pPr>
      <w:ind w:firstLine="0"/>
    </w:pPr>
  </w:style>
  <w:style w:type="paragraph" w:styleId="ListContinue3">
    <w:name w:val="List Continue 3"/>
    <w:basedOn w:val="List3"/>
    <w:rsid w:val="00A95437"/>
    <w:pPr>
      <w:ind w:left="1021" w:firstLine="0"/>
    </w:pPr>
  </w:style>
  <w:style w:type="paragraph" w:styleId="ListContinue4">
    <w:name w:val="List Continue 4"/>
    <w:basedOn w:val="List4"/>
    <w:rsid w:val="00A95437"/>
    <w:pPr>
      <w:ind w:firstLine="0"/>
    </w:pPr>
  </w:style>
  <w:style w:type="paragraph" w:styleId="ListContinue5">
    <w:name w:val="List Continue 5"/>
    <w:basedOn w:val="List5"/>
    <w:rsid w:val="00A95437"/>
    <w:pPr>
      <w:ind w:firstLine="0"/>
    </w:pPr>
  </w:style>
  <w:style w:type="paragraph" w:styleId="ListNumber3">
    <w:name w:val="List Number 3"/>
    <w:basedOn w:val="List3"/>
    <w:rsid w:val="00A95437"/>
    <w:pPr>
      <w:numPr>
        <w:numId w:val="5"/>
      </w:numPr>
    </w:pPr>
  </w:style>
  <w:style w:type="paragraph" w:styleId="ListNumber4">
    <w:name w:val="List Number 4"/>
    <w:basedOn w:val="List4"/>
    <w:rsid w:val="00A95437"/>
    <w:pPr>
      <w:numPr>
        <w:numId w:val="6"/>
      </w:numPr>
    </w:pPr>
  </w:style>
  <w:style w:type="paragraph" w:styleId="ListNumber5">
    <w:name w:val="List Number 5"/>
    <w:basedOn w:val="List5"/>
    <w:rsid w:val="00A95437"/>
    <w:pPr>
      <w:numPr>
        <w:numId w:val="7"/>
      </w:numPr>
    </w:pPr>
  </w:style>
  <w:style w:type="paragraph" w:styleId="BlockText">
    <w:name w:val="Block Text"/>
    <w:basedOn w:val="Normal"/>
    <w:rsid w:val="00A95437"/>
    <w:pPr>
      <w:spacing w:after="120"/>
      <w:ind w:left="1440" w:right="1440"/>
    </w:pPr>
  </w:style>
  <w:style w:type="character" w:customStyle="1" w:styleId="Subscript">
    <w:name w:val="Subscript"/>
    <w:basedOn w:val="DefaultParagraphFont"/>
    <w:rsid w:val="00A95437"/>
    <w:rPr>
      <w:sz w:val="16"/>
      <w:vertAlign w:val="subscript"/>
    </w:rPr>
  </w:style>
  <w:style w:type="character" w:customStyle="1" w:styleId="Superscript">
    <w:name w:val="Superscript"/>
    <w:basedOn w:val="DefaultParagraphFont"/>
    <w:rsid w:val="00A95437"/>
    <w:rPr>
      <w:sz w:val="16"/>
      <w:vertAlign w:val="superscript"/>
    </w:rPr>
  </w:style>
  <w:style w:type="character" w:customStyle="1" w:styleId="Symbols">
    <w:name w:val="Symbols"/>
    <w:basedOn w:val="DefaultParagraphFont"/>
    <w:rsid w:val="00A95437"/>
    <w:rPr>
      <w:rFonts w:ascii="Symbol" w:hAnsi="Symbol"/>
    </w:rPr>
  </w:style>
  <w:style w:type="character" w:customStyle="1" w:styleId="MenuOptions">
    <w:name w:val="Menu Options"/>
    <w:basedOn w:val="DefaultParagraphFont"/>
    <w:rsid w:val="00A95437"/>
    <w:rPr>
      <w:rFonts w:ascii="Arial Narrow" w:hAnsi="Arial Narrow"/>
      <w:smallCaps/>
    </w:rPr>
  </w:style>
  <w:style w:type="character" w:customStyle="1" w:styleId="Buttons">
    <w:name w:val="Buttons"/>
    <w:basedOn w:val="DefaultParagraphFont"/>
    <w:rsid w:val="00A95437"/>
    <w:rPr>
      <w:b/>
    </w:rPr>
  </w:style>
  <w:style w:type="character" w:customStyle="1" w:styleId="Underlined">
    <w:name w:val="Underlined"/>
    <w:basedOn w:val="DefaultParagraphFont"/>
    <w:rsid w:val="00A95437"/>
    <w:rPr>
      <w:u w:val="single"/>
    </w:rPr>
  </w:style>
  <w:style w:type="paragraph" w:customStyle="1" w:styleId="TableBodyTextRight">
    <w:name w:val="Table Body Text Right"/>
    <w:basedOn w:val="TableBodyText"/>
    <w:rsid w:val="00A95437"/>
    <w:pPr>
      <w:widowControl w:val="0"/>
      <w:autoSpaceDE w:val="0"/>
      <w:autoSpaceDN w:val="0"/>
      <w:adjustRightInd w:val="0"/>
      <w:jc w:val="right"/>
    </w:pPr>
    <w:rPr>
      <w:rFonts w:cs="Arial"/>
      <w:szCs w:val="18"/>
    </w:rPr>
  </w:style>
  <w:style w:type="paragraph" w:customStyle="1" w:styleId="CopyrightText">
    <w:name w:val="Copyright Text"/>
    <w:basedOn w:val="BodyText"/>
    <w:rsid w:val="00A95437"/>
    <w:rPr>
      <w:sz w:val="18"/>
    </w:rPr>
  </w:style>
  <w:style w:type="paragraph" w:customStyle="1" w:styleId="BodySmallRight">
    <w:name w:val="Body Small Right"/>
    <w:basedOn w:val="BodyTextRight"/>
    <w:rsid w:val="00A95437"/>
    <w:rPr>
      <w:sz w:val="18"/>
      <w:szCs w:val="18"/>
    </w:rPr>
  </w:style>
  <w:style w:type="paragraph" w:customStyle="1" w:styleId="MarginEdition">
    <w:name w:val="Margin Edition"/>
    <w:basedOn w:val="MarginNote"/>
    <w:rsid w:val="00A95437"/>
    <w:pPr>
      <w:spacing w:before="0" w:after="0"/>
    </w:pPr>
    <w:rPr>
      <w:rFonts w:ascii="Times New Roman" w:hAnsi="Times New Roman"/>
      <w:color w:val="999999"/>
    </w:rPr>
  </w:style>
  <w:style w:type="paragraph" w:customStyle="1" w:styleId="Spacer">
    <w:name w:val="Spacer"/>
    <w:basedOn w:val="Normal"/>
    <w:rsid w:val="00A95437"/>
    <w:rPr>
      <w:sz w:val="2"/>
      <w:szCs w:val="2"/>
    </w:rPr>
  </w:style>
  <w:style w:type="character" w:customStyle="1" w:styleId="Small">
    <w:name w:val="Small"/>
    <w:basedOn w:val="DefaultParagraphFont"/>
    <w:rsid w:val="00A95437"/>
    <w:rPr>
      <w:sz w:val="16"/>
    </w:rPr>
  </w:style>
  <w:style w:type="paragraph" w:customStyle="1" w:styleId="WideTable">
    <w:name w:val="Wide Table"/>
    <w:basedOn w:val="Normal"/>
    <w:rsid w:val="00A95437"/>
    <w:pPr>
      <w:ind w:left="-1418"/>
    </w:pPr>
    <w:rPr>
      <w:sz w:val="2"/>
      <w:szCs w:val="2"/>
    </w:rPr>
  </w:style>
  <w:style w:type="character" w:styleId="PageNumber">
    <w:name w:val="page number"/>
    <w:basedOn w:val="DefaultParagraphFont"/>
    <w:rsid w:val="00A95437"/>
  </w:style>
  <w:style w:type="paragraph" w:styleId="Quote">
    <w:name w:val="Quote"/>
    <w:basedOn w:val="Heading1"/>
    <w:link w:val="QuoteChar"/>
    <w:qFormat/>
    <w:rsid w:val="00A95437"/>
    <w:rPr>
      <w:b w:val="0"/>
      <w:sz w:val="72"/>
      <w:szCs w:val="72"/>
      <w:lang w:val="en-NZ"/>
    </w:rPr>
  </w:style>
  <w:style w:type="character" w:customStyle="1" w:styleId="QuoteChar">
    <w:name w:val="Quote Char"/>
    <w:basedOn w:val="DefaultParagraphFont"/>
    <w:link w:val="Quote"/>
    <w:rsid w:val="00A95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437"/>
    <w:pPr>
      <w:pageBreakBefore/>
    </w:pPr>
  </w:style>
  <w:style w:type="paragraph" w:customStyle="1" w:styleId="Border">
    <w:name w:val="Border"/>
    <w:basedOn w:val="Normal"/>
    <w:qFormat/>
    <w:rsid w:val="00A95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437"/>
    <w:rPr>
      <w:b/>
      <w:bCs/>
      <w:i/>
      <w:iCs/>
      <w:color w:val="auto"/>
    </w:rPr>
  </w:style>
  <w:style w:type="paragraph" w:styleId="IntenseQuote">
    <w:name w:val="Intense Quote"/>
    <w:basedOn w:val="Normal"/>
    <w:next w:val="Normal"/>
    <w:link w:val="IntenseQuoteChar"/>
    <w:uiPriority w:val="30"/>
    <w:qFormat/>
    <w:rsid w:val="00A95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4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5437"/>
    <w:rPr>
      <w:smallCaps/>
      <w:color w:val="auto"/>
      <w:u w:val="single"/>
    </w:rPr>
  </w:style>
  <w:style w:type="character" w:styleId="IntenseReference">
    <w:name w:val="Intense Reference"/>
    <w:basedOn w:val="DefaultParagraphFont"/>
    <w:uiPriority w:val="32"/>
    <w:qFormat/>
    <w:rsid w:val="00A95437"/>
    <w:rPr>
      <w:b/>
      <w:bCs/>
      <w:smallCaps/>
      <w:color w:val="auto"/>
      <w:spacing w:val="5"/>
      <w:u w:val="single"/>
    </w:rPr>
  </w:style>
  <w:style w:type="paragraph" w:customStyle="1" w:styleId="2ColumnHeading">
    <w:name w:val="2Column Heading"/>
    <w:basedOn w:val="BodyText"/>
    <w:qFormat/>
    <w:rsid w:val="00A95437"/>
    <w:pPr>
      <w:spacing w:after="60"/>
      <w:ind w:left="-2268"/>
    </w:pPr>
    <w:rPr>
      <w:b/>
    </w:rPr>
  </w:style>
  <w:style w:type="paragraph" w:customStyle="1" w:styleId="Heading1TOC">
    <w:name w:val="Heading1 TOC"/>
    <w:basedOn w:val="Normal"/>
    <w:qFormat/>
    <w:rsid w:val="00A95437"/>
    <w:pPr>
      <w:spacing w:before="240" w:after="120"/>
    </w:pPr>
    <w:rPr>
      <w:rFonts w:ascii="Times New Roman" w:hAnsi="Times New Roman"/>
      <w:b/>
      <w:sz w:val="32"/>
    </w:rPr>
  </w:style>
  <w:style w:type="paragraph" w:customStyle="1" w:styleId="Heading2TOC">
    <w:name w:val="Heading2 TOC"/>
    <w:basedOn w:val="Normal"/>
    <w:qFormat/>
    <w:rsid w:val="00A95437"/>
    <w:pPr>
      <w:spacing w:before="240" w:after="60"/>
    </w:pPr>
    <w:rPr>
      <w:rFonts w:ascii="Times New Roman" w:hAnsi="Times New Roman"/>
      <w:b/>
      <w:sz w:val="28"/>
    </w:rPr>
  </w:style>
  <w:style w:type="character" w:customStyle="1" w:styleId="Underline">
    <w:name w:val="Underline"/>
    <w:basedOn w:val="DefaultParagraphFont"/>
    <w:qFormat/>
    <w:rsid w:val="00A95437"/>
    <w:rPr>
      <w:u w:val="single"/>
    </w:rPr>
  </w:style>
  <w:style w:type="paragraph" w:styleId="BalloonText">
    <w:name w:val="Balloon Text"/>
    <w:basedOn w:val="Normal"/>
    <w:link w:val="BalloonTextChar"/>
    <w:rsid w:val="00A95437"/>
    <w:rPr>
      <w:rFonts w:ascii="Tahoma" w:hAnsi="Tahoma" w:cs="Tahoma"/>
      <w:sz w:val="16"/>
      <w:szCs w:val="16"/>
    </w:rPr>
  </w:style>
  <w:style w:type="character" w:customStyle="1" w:styleId="BalloonTextChar">
    <w:name w:val="Balloon Text Char"/>
    <w:basedOn w:val="DefaultParagraphFont"/>
    <w:link w:val="BalloonText"/>
    <w:rsid w:val="00A954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54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4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2236</Words>
  <Characters>14876</Characters>
  <Application>Microsoft Office Word</Application>
  <DocSecurity>0</DocSecurity>
  <Lines>539</Lines>
  <Paragraphs>279</Paragraphs>
  <ScaleCrop>false</ScaleCrop>
  <Company>Author-it Software Corporation Ltd.</Company>
  <LinksUpToDate>false</LinksUpToDate>
  <CharactersWithSpaces>17060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SFIAQUA509B Develop stock production plan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2012-05-26T08:32:00Z</dcterms:created>
  <dcterms:modified xsi:type="dcterms:W3CDTF">2012-05-26T08:32:00Z</dcterms:modified>
</cp:coreProperties>
</file>