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EC9" w:rsidP="00FE3EC9">
      <w:pPr>
        <w:pStyle w:val="Title"/>
      </w:pPr>
      <w:bookmarkStart w:id="0" w:name="_GoBack"/>
      <w:bookmarkEnd w:id="0"/>
      <w:r>
        <w:fldChar w:fldCharType="begin"/>
      </w:r>
      <w:r>
        <w:instrText xml:space="preserve"> TITLE   \* MERGEFORMAT </w:instrText>
      </w:r>
      <w:r>
        <w:fldChar w:fldCharType="separate"/>
      </w:r>
      <w:r>
        <w:t>SFIAQUA508C Plan and design stock culture or holding systems and structures</w:t>
      </w:r>
      <w:r>
        <w:fldChar w:fldCharType="end"/>
      </w:r>
    </w:p>
    <w:p w:rsidR="00FE3EC9" w:rsidP="00FE3EC9">
      <w:pPr>
        <w:pStyle w:val="Version"/>
        <w:sectPr w:rsidSect="00A24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74E" w:rsidP="00A2474E">
      <w:pPr>
        <w:pStyle w:val="SuperHeading"/>
      </w:pPr>
      <w:r w:rsidRPr="00A2474E">
        <w:t>SFIAQUA508C Plan and design stock culture or holding systems and structures</w:t>
      </w:r>
    </w:p>
    <w:p w:rsidR="00000000" w:rsidRPr="00A2474E" w:rsidP="00A2474E">
      <w:pPr>
        <w:pStyle w:val="Heading1"/>
      </w:pPr>
      <w:bookmarkStart w:id="1" w:name="O_331457"/>
      <w:bookmarkEnd w:id="1"/>
      <w:r w:rsidRPr="00A2474E">
        <w:t>Modification History</w:t>
      </w:r>
    </w:p>
    <w:p w:rsidR="00000000" w:rsidRPr="00A2474E" w:rsidP="00A2474E">
      <w:pPr>
        <w:pStyle w:val="BodyText"/>
      </w:pPr>
      <w:r w:rsidRPr="00A2474E">
        <w:t>Not Applicable</w:t>
      </w:r>
    </w:p>
    <w:p w:rsidR="00000000" w:rsidRPr="00A2474E" w:rsidP="00A2474E">
      <w:pPr>
        <w:pStyle w:val="AllowPageBreak"/>
      </w:pPr>
    </w:p>
    <w:p w:rsidR="00000000" w:rsidRPr="00A2474E" w:rsidP="00A2474E">
      <w:pPr>
        <w:pStyle w:val="Heading1"/>
      </w:pPr>
      <w:bookmarkStart w:id="2" w:name="O_331453"/>
      <w:bookmarkEnd w:id="2"/>
      <w:r w:rsidRPr="00A2474E">
        <w:t>Unit Descriptor</w:t>
      </w:r>
    </w:p>
    <w:tbl>
      <w:tblPr>
        <w:tblW w:w="0" w:type="auto"/>
        <w:tblLayout w:type="fixed"/>
        <w:tblCellMar>
          <w:left w:w="62" w:type="dxa"/>
          <w:right w:w="62" w:type="dxa"/>
        </w:tblCellMar>
        <w:tblLook w:val="0000"/>
      </w:tblPr>
      <w:tblGrid>
        <w:gridCol w:w="2669"/>
        <w:gridCol w:w="5853"/>
      </w:tblGrid>
      <w:tr w:rsidTr="00FE3EC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 xml:space="preserve">Unit </w:t>
            </w:r>
            <w:r w:rsidRPr="00A2474E">
              <w:rPr>
                <w:rStyle w:val="SpecialBold"/>
              </w:rPr>
              <w:t>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 xml:space="preserve">This unit of competency involves designing stock culture or holding structures and systems for aquacultural enterprises and facilities. </w:t>
            </w:r>
          </w:p>
          <w:p w:rsidR="00000000" w:rsidRPr="00A2474E" w:rsidP="00A2474E">
            <w:pPr>
              <w:pStyle w:val="BodyText"/>
            </w:pPr>
            <w:r w:rsidRPr="00A2474E">
              <w:t>No licensing, legislative, regulatory or certification requirements apply to this unit at the time of public</w:t>
            </w:r>
            <w:r w:rsidRPr="00A2474E">
              <w:t>ation.</w:t>
            </w:r>
          </w:p>
        </w:tc>
      </w:tr>
    </w:tbl>
    <w:p w:rsidR="00FE3EC9" w:rsidP="00A2474E">
      <w:pPr>
        <w:pStyle w:val="BodyText"/>
      </w:pPr>
    </w:p>
    <w:p w:rsidR="00FE3EC9" w:rsidP="00A2474E">
      <w:pPr>
        <w:pStyle w:val="BodyText"/>
      </w:pPr>
    </w:p>
    <w:p w:rsidR="00000000" w:rsidRPr="00A2474E" w:rsidP="00A2474E">
      <w:pPr>
        <w:pStyle w:val="Heading1"/>
      </w:pPr>
      <w:bookmarkStart w:id="3" w:name="O_331466"/>
      <w:bookmarkEnd w:id="3"/>
      <w:r w:rsidRPr="00A2474E">
        <w:t>Application of the Unit</w:t>
      </w:r>
    </w:p>
    <w:tbl>
      <w:tblPr>
        <w:tblW w:w="0" w:type="auto"/>
        <w:tblLayout w:type="fixed"/>
        <w:tblCellMar>
          <w:left w:w="62" w:type="dxa"/>
          <w:right w:w="62" w:type="dxa"/>
        </w:tblCellMar>
        <w:tblLook w:val="0000"/>
      </w:tblPr>
      <w:tblGrid>
        <w:gridCol w:w="2734"/>
        <w:gridCol w:w="5788"/>
      </w:tblGrid>
      <w:tr w:rsidTr="00FE3EC9">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 xml:space="preserve">This unit has application to stock culture and holding structures and systems. They may be manually operated systems and monitoring, or fully </w:t>
            </w:r>
            <w:r w:rsidRPr="00A2474E">
              <w:t>automated systems with computer control and monitoring. Standards of uniformity and efficiency may vary from system to system.</w:t>
            </w:r>
          </w:p>
          <w:p w:rsidR="00000000" w:rsidRPr="00A2474E" w:rsidP="00A2474E">
            <w:pPr>
              <w:pStyle w:val="BodyText"/>
            </w:pPr>
            <w:r w:rsidRPr="00A2474E">
              <w:t>All enterprise or workplace procedures and activities are carried out according to relevant government regulations, licensing and</w:t>
            </w:r>
            <w:r w:rsidRPr="00A2474E">
              <w:t xml:space="preserve"> other compliance requirements, including occupational health and safety (OHS) guidelines and ecologically sustainable development (ESD) principles. </w:t>
            </w:r>
          </w:p>
          <w:p w:rsidR="00000000" w:rsidRPr="00A2474E" w:rsidP="00A2474E">
            <w:pPr>
              <w:pStyle w:val="BodyText"/>
            </w:pPr>
            <w:r w:rsidRPr="00A2474E">
              <w:t>Equipment operation, maintenance, repairs and calibrations are undertaken in a safe manner that conforms t</w:t>
            </w:r>
            <w:r w:rsidRPr="00A2474E">
              <w:t>o manufacturer instructions. Appropriate personal protective equipment (PPE) is selected, checked, used and maintained.</w:t>
            </w:r>
          </w:p>
        </w:tc>
      </w:tr>
    </w:tbl>
    <w:p w:rsidR="00FE3EC9" w:rsidP="00A2474E">
      <w:pPr>
        <w:pStyle w:val="BodyText"/>
      </w:pPr>
    </w:p>
    <w:p w:rsidR="00FE3EC9" w:rsidP="00A2474E">
      <w:pPr>
        <w:pStyle w:val="BodyText"/>
      </w:pPr>
    </w:p>
    <w:p w:rsidR="00000000" w:rsidRPr="00A2474E" w:rsidP="00A2474E">
      <w:pPr>
        <w:pStyle w:val="Heading1"/>
      </w:pPr>
      <w:bookmarkStart w:id="4" w:name="O_331458"/>
      <w:bookmarkEnd w:id="4"/>
      <w:r w:rsidRPr="00A2474E">
        <w:t>Licensing/Regulatory Information</w:t>
      </w:r>
    </w:p>
    <w:p w:rsidR="00000000" w:rsidRPr="00A2474E" w:rsidP="00A2474E">
      <w:pPr>
        <w:pStyle w:val="BodyText"/>
      </w:pPr>
      <w:r w:rsidRPr="00A2474E">
        <w:t>Refer to Unit Descriptor</w:t>
      </w:r>
    </w:p>
    <w:p w:rsidR="00000000" w:rsidRPr="00A2474E" w:rsidP="00A2474E">
      <w:pPr>
        <w:pStyle w:val="AllowPageBreak"/>
      </w:pPr>
    </w:p>
    <w:p w:rsidR="00000000" w:rsidRPr="00A2474E" w:rsidP="00A2474E">
      <w:pPr>
        <w:pStyle w:val="Heading1"/>
      </w:pPr>
      <w:bookmarkStart w:id="5" w:name="O_331456"/>
      <w:bookmarkEnd w:id="5"/>
      <w:r w:rsidRPr="00A2474E">
        <w:t>Pre-Requisites</w:t>
      </w:r>
    </w:p>
    <w:tbl>
      <w:tblPr>
        <w:tblW w:w="0" w:type="auto"/>
        <w:tblLayout w:type="fixed"/>
        <w:tblCellMar>
          <w:left w:w="62" w:type="dxa"/>
          <w:right w:w="62" w:type="dxa"/>
        </w:tblCellMar>
        <w:tblLook w:val="0000"/>
      </w:tblPr>
      <w:tblGrid>
        <w:gridCol w:w="2775"/>
        <w:gridCol w:w="1295"/>
        <w:gridCol w:w="4452"/>
      </w:tblGrid>
      <w:tr w:rsidTr="00FE3E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p>
        </w:tc>
      </w:tr>
      <w:tr w:rsidTr="00FE3E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p>
        </w:tc>
      </w:tr>
      <w:tr w:rsidTr="00FE3E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p>
        </w:tc>
      </w:tr>
    </w:tbl>
    <w:p w:rsidR="00FE3EC9" w:rsidP="00A2474E">
      <w:pPr>
        <w:pStyle w:val="BodyText"/>
      </w:pPr>
    </w:p>
    <w:p w:rsidR="00FE3EC9" w:rsidP="00A2474E">
      <w:pPr>
        <w:pStyle w:val="BodyText"/>
      </w:pPr>
    </w:p>
    <w:p w:rsidR="00000000" w:rsidRPr="00A2474E" w:rsidP="00A2474E">
      <w:pPr>
        <w:pStyle w:val="Heading1"/>
      </w:pPr>
      <w:bookmarkStart w:id="6" w:name="O_331461"/>
      <w:bookmarkEnd w:id="6"/>
      <w:r w:rsidRPr="00A2474E">
        <w:t>Employability Skills Information</w:t>
      </w:r>
    </w:p>
    <w:tbl>
      <w:tblPr>
        <w:tblW w:w="0" w:type="auto"/>
        <w:tblLayout w:type="fixed"/>
        <w:tblCellMar>
          <w:left w:w="62" w:type="dxa"/>
          <w:right w:w="62" w:type="dxa"/>
        </w:tblCellMar>
        <w:tblLook w:val="0000"/>
      </w:tblPr>
      <w:tblGrid>
        <w:gridCol w:w="2802"/>
        <w:gridCol w:w="5720"/>
      </w:tblGrid>
      <w:tr w:rsidTr="00FE3E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 xml:space="preserve">This unit contains employability skills.  </w:t>
            </w:r>
          </w:p>
        </w:tc>
      </w:tr>
    </w:tbl>
    <w:p w:rsidR="00FE3EC9" w:rsidP="00A2474E">
      <w:pPr>
        <w:pStyle w:val="BodyText"/>
      </w:pPr>
    </w:p>
    <w:p w:rsidR="00FE3EC9" w:rsidP="00A2474E">
      <w:pPr>
        <w:pStyle w:val="BodyText"/>
      </w:pPr>
    </w:p>
    <w:p w:rsidR="00000000" w:rsidRPr="00A2474E" w:rsidP="00A2474E">
      <w:pPr>
        <w:pStyle w:val="Heading1"/>
      </w:pPr>
      <w:bookmarkStart w:id="7" w:name="O_331462"/>
      <w:bookmarkEnd w:id="7"/>
      <w:r w:rsidRPr="00A2474E">
        <w:t>Elements and Performance Criteria Pre-Content</w:t>
      </w:r>
    </w:p>
    <w:tbl>
      <w:tblPr>
        <w:tblW w:w="0" w:type="auto"/>
        <w:tblLayout w:type="fixed"/>
        <w:tblCellMar>
          <w:left w:w="62" w:type="dxa"/>
          <w:right w:w="62" w:type="dxa"/>
        </w:tblCellMar>
        <w:tblLook w:val="0000"/>
      </w:tblPr>
      <w:tblGrid>
        <w:gridCol w:w="2555"/>
        <w:gridCol w:w="5967"/>
      </w:tblGrid>
      <w:tr w:rsidTr="00FE3EC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Performance criteria describe the performance needed to demonstrate achievement of the element. Where bold italicised text is used, further information is detailed in the required skills and knowledge section and the range statement. Assessment of performa</w:t>
            </w:r>
            <w:r w:rsidRPr="00A2474E">
              <w:t>nce is to be consistent with the evidence guide.</w:t>
            </w:r>
          </w:p>
        </w:tc>
      </w:tr>
    </w:tbl>
    <w:p w:rsidR="00000000" w:rsidRPr="00A2474E" w:rsidP="00A2474E">
      <w:pPr>
        <w:pStyle w:val="BodyText"/>
      </w:pPr>
    </w:p>
    <w:p w:rsidR="00000000" w:rsidRPr="00A2474E" w:rsidP="00A2474E">
      <w:pPr>
        <w:pStyle w:val="AllowPageBreak"/>
      </w:pPr>
    </w:p>
    <w:p w:rsidR="00000000" w:rsidRPr="00A2474E" w:rsidP="00A2474E">
      <w:pPr>
        <w:pStyle w:val="Heading1"/>
      </w:pPr>
      <w:bookmarkStart w:id="8" w:name="O_331463"/>
      <w:bookmarkEnd w:id="8"/>
      <w:r w:rsidRPr="00A2474E">
        <w:t>Elements and Performance Criteria</w:t>
      </w:r>
    </w:p>
    <w:tbl>
      <w:tblPr>
        <w:tblW w:w="0" w:type="auto"/>
        <w:tblLayout w:type="fixed"/>
        <w:tblCellMar>
          <w:left w:w="62" w:type="dxa"/>
          <w:right w:w="62" w:type="dxa"/>
        </w:tblCellMar>
        <w:tblLook w:val="0000"/>
      </w:tblPr>
      <w:tblGrid>
        <w:gridCol w:w="2555"/>
        <w:gridCol w:w="5967"/>
      </w:tblGrid>
      <w:tr w:rsidTr="00FE3EC9">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PERFORMANCE CRITERIA</w:t>
            </w:r>
          </w:p>
        </w:tc>
      </w:tr>
      <w:tr w:rsidTr="00FE3EC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List"/>
              <w:rPr>
                <w:lang w:val="en-NZ"/>
              </w:rPr>
            </w:pPr>
            <w:r w:rsidRPr="00A2474E">
              <w:t>1.</w:t>
            </w:r>
            <w:r w:rsidRPr="00A2474E">
              <w:tab/>
              <w:t>Determine appropriate location or orientation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2"/>
            </w:pPr>
            <w:r w:rsidRPr="00A2474E">
              <w:t>1.1.</w:t>
            </w:r>
            <w:r w:rsidRPr="00A2474E">
              <w:tab/>
            </w:r>
            <w:r w:rsidRPr="00A2474E">
              <w:t>Type of culture or holding structure or system is determined to ensure appropriate environment is provided for cultured or held stock.</w:t>
            </w:r>
          </w:p>
          <w:p w:rsidR="00000000" w:rsidRPr="00A2474E" w:rsidP="00A2474E">
            <w:pPr>
              <w:pStyle w:val="List2"/>
            </w:pPr>
            <w:r w:rsidRPr="00A2474E">
              <w:t>1.2.</w:t>
            </w:r>
            <w:r w:rsidRPr="00A2474E">
              <w:tab/>
              <w:t>Numbers of structures are determined to ensure stock is available in sufficient quantity at harvest.</w:t>
            </w:r>
          </w:p>
          <w:p w:rsidR="00000000" w:rsidRPr="00A2474E" w:rsidP="00A2474E">
            <w:pPr>
              <w:pStyle w:val="List2"/>
            </w:pPr>
            <w:r w:rsidRPr="00A2474E">
              <w:t>1.3.</w:t>
            </w:r>
            <w:r w:rsidRPr="00A2474E">
              <w:tab/>
              <w:t xml:space="preserve">Water use </w:t>
            </w:r>
            <w:r w:rsidRPr="00A2474E">
              <w:t>and culture or holding structure or system are designed, located or orientated to make the best use of water resources.</w:t>
            </w:r>
          </w:p>
          <w:p w:rsidR="00000000" w:rsidRPr="00A2474E" w:rsidP="00A2474E">
            <w:pPr>
              <w:pStyle w:val="List2"/>
            </w:pPr>
            <w:r w:rsidRPr="00A2474E">
              <w:t>1.4.</w:t>
            </w:r>
            <w:r w:rsidRPr="00A2474E">
              <w:tab/>
              <w:t>Mechanisation or automation of process or activity, including the use of specialised contract services, is researched and introduce</w:t>
            </w:r>
            <w:r w:rsidRPr="00A2474E">
              <w:t>d.</w:t>
            </w:r>
          </w:p>
          <w:p w:rsidR="00000000" w:rsidRPr="00A2474E" w:rsidP="00A2474E">
            <w:pPr>
              <w:pStyle w:val="List2"/>
            </w:pPr>
            <w:r w:rsidRPr="00A2474E">
              <w:t>1.5.</w:t>
            </w:r>
            <w:r w:rsidRPr="00A2474E">
              <w:tab/>
              <w:t>Design calculations and decisions are documented and construction specifications define the work required to make suitable culture or holding structures available.</w:t>
            </w:r>
          </w:p>
          <w:p w:rsidR="00000000" w:rsidP="00A2474E">
            <w:pPr>
              <w:pStyle w:val="List2"/>
              <w:rPr>
                <w:lang w:val="en-NZ"/>
              </w:rPr>
            </w:pPr>
            <w:r w:rsidRPr="00A2474E">
              <w:t>1.6.</w:t>
            </w:r>
            <w:r w:rsidRPr="00A2474E">
              <w:tab/>
              <w:t>Environmentally sensitive areas are identified and protected according to local</w:t>
            </w:r>
            <w:r w:rsidRPr="00A2474E">
              <w:t>, state, territory and national legislation and land degradation issues identified.</w:t>
            </w:r>
          </w:p>
        </w:tc>
      </w:tr>
      <w:tr w:rsidTr="00FE3EC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List"/>
              <w:rPr>
                <w:lang w:val="en-NZ"/>
              </w:rPr>
            </w:pPr>
            <w:r w:rsidRPr="00A2474E">
              <w:t>2.</w:t>
            </w:r>
            <w:r w:rsidRPr="00A2474E">
              <w:tab/>
              <w:t>Design culture or holding structures and systems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2"/>
            </w:pPr>
            <w:r w:rsidRPr="00A2474E">
              <w:t>2.1.</w:t>
            </w:r>
            <w:r w:rsidRPr="00A2474E">
              <w:tab/>
            </w:r>
            <w:r w:rsidRPr="00A2474E">
              <w:t>Individual culture or holding structures are designed to provide optimal conditions for the cultured or held stock and to be combined into reliable, functional, serviceable and flexible systems for the intended operations.</w:t>
            </w:r>
          </w:p>
          <w:p w:rsidR="00000000" w:rsidRPr="00A2474E" w:rsidP="00A2474E">
            <w:pPr>
              <w:pStyle w:val="List2"/>
            </w:pPr>
            <w:r w:rsidRPr="00A2474E">
              <w:t>2.2.</w:t>
            </w:r>
            <w:r w:rsidRPr="00A2474E">
              <w:tab/>
              <w:t xml:space="preserve">All </w:t>
            </w:r>
            <w:r w:rsidRPr="00A2474E">
              <w:rPr>
                <w:rStyle w:val="BoldandItalics"/>
              </w:rPr>
              <w:t>production inputs and cu</w:t>
            </w:r>
            <w:r w:rsidRPr="00A2474E">
              <w:rPr>
                <w:rStyle w:val="BoldandItalics"/>
              </w:rPr>
              <w:t>lture or holding activities</w:t>
            </w:r>
            <w:r w:rsidRPr="00A2474E">
              <w:t xml:space="preserve"> are considered in the design of the systems. </w:t>
            </w:r>
          </w:p>
          <w:p w:rsidR="00000000" w:rsidRPr="00A2474E" w:rsidP="00A2474E">
            <w:pPr>
              <w:pStyle w:val="List2"/>
            </w:pPr>
            <w:r w:rsidRPr="00A2474E">
              <w:t>2.3.</w:t>
            </w:r>
            <w:r w:rsidRPr="00A2474E">
              <w:tab/>
            </w:r>
            <w:r w:rsidRPr="00A2474E">
              <w:rPr>
                <w:rStyle w:val="BoldandItalics"/>
              </w:rPr>
              <w:t>Construction materials</w:t>
            </w:r>
            <w:r w:rsidRPr="00A2474E">
              <w:t xml:space="preserve"> are selected to suit the design specifications and design calculations and decisions are documented. </w:t>
            </w:r>
          </w:p>
          <w:p w:rsidR="00000000" w:rsidRPr="00A2474E" w:rsidP="00A2474E">
            <w:pPr>
              <w:pStyle w:val="List2"/>
            </w:pPr>
            <w:r w:rsidRPr="00A2474E">
              <w:t>2.4.</w:t>
            </w:r>
            <w:r w:rsidRPr="00A2474E">
              <w:tab/>
              <w:t>Relationship between capital and operational co</w:t>
            </w:r>
            <w:r w:rsidRPr="00A2474E">
              <w:t>sts is optimised, including a comparison of energy sources.</w:t>
            </w:r>
          </w:p>
          <w:p w:rsidR="00000000" w:rsidRPr="00A2474E" w:rsidP="00A2474E">
            <w:pPr>
              <w:pStyle w:val="List2"/>
            </w:pPr>
            <w:r w:rsidRPr="00A2474E">
              <w:t>2.5.</w:t>
            </w:r>
            <w:r w:rsidRPr="00A2474E">
              <w:tab/>
              <w:t>Power supply design specifications are checked with power authorities.</w:t>
            </w:r>
          </w:p>
          <w:p w:rsidR="00000000" w:rsidRPr="00A2474E" w:rsidP="00A2474E">
            <w:pPr>
              <w:pStyle w:val="List2"/>
            </w:pPr>
            <w:r w:rsidRPr="00A2474E">
              <w:t>2.6.</w:t>
            </w:r>
            <w:r w:rsidRPr="00A2474E">
              <w:tab/>
              <w:t>Structures, valves, accessories and performance indicators are selected and integrated into functional systems that</w:t>
            </w:r>
            <w:r w:rsidRPr="00A2474E">
              <w:t xml:space="preserve"> can be monitored and maintained.</w:t>
            </w:r>
          </w:p>
          <w:p w:rsidR="00000000" w:rsidP="00A2474E">
            <w:pPr>
              <w:pStyle w:val="List2"/>
              <w:rPr>
                <w:lang w:val="en-NZ"/>
              </w:rPr>
            </w:pPr>
            <w:r w:rsidRPr="00A2474E">
              <w:t>2.7.</w:t>
            </w:r>
            <w:r w:rsidRPr="00A2474E">
              <w:tab/>
              <w:t>Construction specifications define work required to achieve the required standards of uniformity and efficiency of culture or holding operations according to industry standards.</w:t>
            </w:r>
          </w:p>
        </w:tc>
      </w:tr>
      <w:tr w:rsidTr="00FE3EC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List"/>
              <w:rPr>
                <w:lang w:val="en-NZ"/>
              </w:rPr>
            </w:pPr>
            <w:r w:rsidRPr="00A2474E">
              <w:t>3.</w:t>
            </w:r>
            <w:r w:rsidRPr="00A2474E">
              <w:tab/>
              <w:t>Determine capital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2"/>
            </w:pPr>
            <w:r w:rsidRPr="00A2474E">
              <w:t>3.</w:t>
            </w:r>
            <w:r w:rsidRPr="00A2474E">
              <w:t>1.</w:t>
            </w:r>
            <w:r w:rsidRPr="00A2474E">
              <w:tab/>
              <w:t xml:space="preserve">Design calculations and </w:t>
            </w:r>
            <w:r w:rsidRPr="00A2474E">
              <w:rPr>
                <w:rStyle w:val="BoldandItalics"/>
              </w:rPr>
              <w:t>decisions</w:t>
            </w:r>
            <w:r w:rsidRPr="00A2474E">
              <w:t xml:space="preserve"> are documented and relevant information is communicated clearly through plans, specifications and manuals. </w:t>
            </w:r>
          </w:p>
          <w:p w:rsidR="00000000" w:rsidRPr="00A2474E" w:rsidP="00A2474E">
            <w:pPr>
              <w:pStyle w:val="List2"/>
            </w:pPr>
            <w:r w:rsidRPr="00A2474E">
              <w:t>3.2.</w:t>
            </w:r>
            <w:r w:rsidRPr="00A2474E">
              <w:tab/>
              <w:t>Design output is checked by a competent designer against enterprise objectives.</w:t>
            </w:r>
          </w:p>
          <w:p w:rsidR="00000000" w:rsidRPr="00A2474E" w:rsidP="00A2474E">
            <w:pPr>
              <w:pStyle w:val="List2"/>
            </w:pPr>
            <w:r w:rsidRPr="00A2474E">
              <w:t>3.3.</w:t>
            </w:r>
            <w:r w:rsidRPr="00A2474E">
              <w:tab/>
              <w:t>Materials requirement</w:t>
            </w:r>
            <w:r w:rsidRPr="00A2474E">
              <w:t>s are determined and documented from plans and specifications.</w:t>
            </w:r>
          </w:p>
          <w:p w:rsidR="00000000" w:rsidRPr="00A2474E" w:rsidP="00A2474E">
            <w:pPr>
              <w:pStyle w:val="List2"/>
            </w:pPr>
            <w:r w:rsidRPr="00A2474E">
              <w:t>3.4.</w:t>
            </w:r>
            <w:r w:rsidRPr="00A2474E">
              <w:tab/>
              <w:t>Labour requirements are estimated, based upon documented work schedule with reasonable allowance for variances in work schedules.</w:t>
            </w:r>
          </w:p>
          <w:p w:rsidR="00000000" w:rsidRPr="00A2474E" w:rsidP="00A2474E">
            <w:pPr>
              <w:pStyle w:val="List2"/>
            </w:pPr>
            <w:r w:rsidRPr="00A2474E">
              <w:t>3.5.</w:t>
            </w:r>
            <w:r w:rsidRPr="00A2474E">
              <w:tab/>
              <w:t>External labour and hire equipment contracts are nego</w:t>
            </w:r>
            <w:r w:rsidRPr="00A2474E">
              <w:t>tiated and confirmed with management.</w:t>
            </w:r>
          </w:p>
          <w:p w:rsidR="00000000" w:rsidP="00A2474E">
            <w:pPr>
              <w:pStyle w:val="List2"/>
              <w:rPr>
                <w:lang w:val="en-NZ"/>
              </w:rPr>
            </w:pPr>
            <w:r w:rsidRPr="00A2474E">
              <w:t>3.6.</w:t>
            </w:r>
            <w:r w:rsidRPr="00A2474E">
              <w:tab/>
              <w:t>Costing attributed to each component is based upon quoted information from suppliers or sound analysis of individual elements.</w:t>
            </w:r>
          </w:p>
        </w:tc>
      </w:tr>
      <w:tr w:rsidTr="00FE3EC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List"/>
              <w:rPr>
                <w:lang w:val="en-NZ"/>
              </w:rPr>
            </w:pPr>
            <w:r w:rsidRPr="00A2474E">
              <w:t>4.</w:t>
            </w:r>
            <w:r w:rsidRPr="00A2474E">
              <w:tab/>
              <w:t>Determine operating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2"/>
            </w:pPr>
            <w:r w:rsidRPr="00A2474E">
              <w:t>4.1.</w:t>
            </w:r>
            <w:r w:rsidRPr="00A2474E">
              <w:tab/>
              <w:t>Operating expense budget confirms all expe</w:t>
            </w:r>
            <w:r w:rsidRPr="00A2474E">
              <w:t>nses are applied to the completed stock culture or holding system.</w:t>
            </w:r>
          </w:p>
        </w:tc>
      </w:tr>
    </w:tbl>
    <w:p w:rsidR="00FE3EC9" w:rsidP="00A2474E">
      <w:pPr>
        <w:pStyle w:val="BodyText"/>
      </w:pPr>
    </w:p>
    <w:p w:rsidR="00FE3EC9" w:rsidP="00A2474E">
      <w:pPr>
        <w:pStyle w:val="BodyText"/>
      </w:pPr>
    </w:p>
    <w:p w:rsidR="00000000" w:rsidRPr="00A2474E" w:rsidP="00A2474E">
      <w:pPr>
        <w:pStyle w:val="Heading1"/>
      </w:pPr>
      <w:bookmarkStart w:id="9" w:name="O_331454"/>
      <w:bookmarkEnd w:id="9"/>
      <w:r w:rsidRPr="00A2474E">
        <w:t>Required Skills and Knowledge</w:t>
      </w:r>
    </w:p>
    <w:tbl>
      <w:tblPr>
        <w:tblW w:w="0" w:type="auto"/>
        <w:tblLayout w:type="fixed"/>
        <w:tblCellMar>
          <w:left w:w="62" w:type="dxa"/>
          <w:right w:w="62" w:type="dxa"/>
        </w:tblCellMar>
        <w:tblLook w:val="0000"/>
      </w:tblPr>
      <w:tblGrid>
        <w:gridCol w:w="8522"/>
      </w:tblGrid>
      <w:tr w:rsidTr="00FE3E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REQUIRED SKILLS AND KNOWLEDGE</w:t>
            </w:r>
          </w:p>
        </w:tc>
      </w:tr>
      <w:tr w:rsidTr="00FE3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t>This section describes the skills and knowledge required for this unit.</w:t>
            </w:r>
          </w:p>
        </w:tc>
      </w:tr>
      <w:tr w:rsidTr="00FE3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Required skills</w:t>
            </w:r>
          </w:p>
        </w:tc>
      </w:tr>
      <w:tr w:rsidTr="00FE3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applying analytical processes to identify labour and cost savings, and improved efficiencies</w:t>
            </w:r>
          </w:p>
          <w:p w:rsidR="00000000" w:rsidRPr="00A2474E" w:rsidP="00A2474E">
            <w:pPr>
              <w:pStyle w:val="ListBullet"/>
            </w:pPr>
            <w:r w:rsidRPr="00A2474E">
              <w:t>communicating with contractors, suppliers and management</w:t>
            </w:r>
          </w:p>
          <w:p w:rsidR="00000000" w:rsidRPr="00A2474E" w:rsidP="00A2474E">
            <w:pPr>
              <w:pStyle w:val="ListBullet"/>
            </w:pPr>
            <w:r w:rsidRPr="00A2474E">
              <w:t>defining culture systems</w:t>
            </w:r>
          </w:p>
          <w:p w:rsidR="00000000" w:rsidRPr="00A2474E" w:rsidP="00A2474E">
            <w:pPr>
              <w:pStyle w:val="ListBullet"/>
            </w:pPr>
            <w:r w:rsidRPr="00A2474E">
              <w:t>designing a culture or holding structure and integrating that into a culture or h</w:t>
            </w:r>
            <w:r w:rsidRPr="00A2474E">
              <w:t>olding system</w:t>
            </w:r>
          </w:p>
          <w:p w:rsidR="00000000" w:rsidRPr="00A2474E" w:rsidP="00A2474E">
            <w:pPr>
              <w:pStyle w:val="ListBullet"/>
            </w:pPr>
            <w:r w:rsidRPr="00A2474E">
              <w:t>determining capital expense budget and operating expense budget</w:t>
            </w:r>
          </w:p>
          <w:p w:rsidR="00000000" w:rsidRPr="00A2474E" w:rsidP="00A2474E">
            <w:pPr>
              <w:pStyle w:val="ListBullet"/>
            </w:pPr>
            <w:r w:rsidRPr="00A2474E">
              <w:t>determining design requirements</w:t>
            </w:r>
          </w:p>
          <w:p w:rsidR="00000000" w:rsidRPr="00A2474E" w:rsidP="00A2474E">
            <w:pPr>
              <w:pStyle w:val="ListBullet"/>
            </w:pPr>
            <w:r w:rsidRPr="00A2474E">
              <w:t>negotiating contracts for labour and equipment hire</w:t>
            </w:r>
          </w:p>
          <w:p w:rsidR="00000000" w:rsidRPr="00A2474E" w:rsidP="00A2474E">
            <w:pPr>
              <w:pStyle w:val="ListBullet"/>
            </w:pPr>
            <w:r w:rsidRPr="00A2474E">
              <w:t>organising costing, labour, contractors, suppliers, materials and equipment</w:t>
            </w:r>
          </w:p>
          <w:p w:rsidR="00000000" w:rsidRPr="00A2474E" w:rsidP="00A2474E">
            <w:pPr>
              <w:pStyle w:val="ListBullet"/>
            </w:pPr>
            <w:r w:rsidRPr="00A2474E">
              <w:t>researching mechan</w:t>
            </w:r>
            <w:r w:rsidRPr="00A2474E">
              <w:t>ical and automation options.</w:t>
            </w:r>
          </w:p>
          <w:p w:rsidR="00000000" w:rsidRPr="00A2474E" w:rsidP="00A2474E">
            <w:pPr>
              <w:pStyle w:val="BodyText"/>
            </w:pPr>
          </w:p>
          <w:p w:rsidR="00000000" w:rsidRPr="00A2474E" w:rsidP="00A2474E">
            <w:pPr>
              <w:pStyle w:val="BodyText"/>
            </w:pPr>
            <w:r w:rsidRPr="00A2474E">
              <w:rPr>
                <w:rStyle w:val="SpecialBold"/>
              </w:rPr>
              <w:t>Literacy skills used for</w:t>
            </w:r>
            <w:r w:rsidRPr="00A2474E">
              <w:t xml:space="preserve">: </w:t>
            </w:r>
          </w:p>
          <w:p w:rsidR="00000000" w:rsidRPr="00A2474E" w:rsidP="00A2474E">
            <w:pPr>
              <w:pStyle w:val="ListBullet"/>
            </w:pPr>
            <w:r w:rsidRPr="00A2474E">
              <w:t>documenting design and specifications</w:t>
            </w:r>
          </w:p>
          <w:p w:rsidR="00000000" w:rsidRPr="00A2474E" w:rsidP="00A2474E">
            <w:pPr>
              <w:pStyle w:val="ListBullet"/>
            </w:pPr>
            <w:r w:rsidRPr="00A2474E">
              <w:t>interpreting technical literature and design specifications</w:t>
            </w:r>
          </w:p>
          <w:p w:rsidR="00000000" w:rsidRPr="00A2474E" w:rsidP="00A2474E">
            <w:pPr>
              <w:pStyle w:val="ListBullet"/>
            </w:pPr>
            <w:r w:rsidRPr="00A2474E">
              <w:t>maintaining records</w:t>
            </w:r>
          </w:p>
          <w:p w:rsidR="00000000" w:rsidRPr="00A2474E" w:rsidP="00A2474E">
            <w:pPr>
              <w:pStyle w:val="ListBullet"/>
            </w:pPr>
            <w:r w:rsidRPr="00A2474E">
              <w:t>reading equipment operator manuals</w:t>
            </w:r>
          </w:p>
          <w:p w:rsidR="00000000" w:rsidRPr="00A2474E" w:rsidP="00A2474E">
            <w:pPr>
              <w:pStyle w:val="ListBullet"/>
            </w:pPr>
            <w:r w:rsidRPr="00A2474E">
              <w:t>writing reports.</w:t>
            </w:r>
          </w:p>
          <w:p w:rsidR="00000000" w:rsidRPr="00A2474E" w:rsidP="00A2474E">
            <w:pPr>
              <w:pStyle w:val="BodyText"/>
            </w:pPr>
          </w:p>
          <w:p w:rsidR="00000000" w:rsidRPr="00A2474E" w:rsidP="00A2474E">
            <w:pPr>
              <w:pStyle w:val="BodyText"/>
            </w:pPr>
            <w:r w:rsidRPr="00A2474E">
              <w:rPr>
                <w:rStyle w:val="SpecialBold"/>
              </w:rPr>
              <w:t>Numeracy skills used for</w:t>
            </w:r>
            <w:r w:rsidRPr="00A2474E">
              <w:t xml:space="preserve">: </w:t>
            </w:r>
          </w:p>
          <w:p w:rsidR="00000000" w:rsidRPr="00A2474E" w:rsidP="00A2474E">
            <w:pPr>
              <w:pStyle w:val="ListBullet"/>
            </w:pPr>
            <w:r w:rsidRPr="00A2474E">
              <w:t>applying formulae to determine flows, pump efficiency, dissolved oxygen and water requirements, and volume and surface area</w:t>
            </w:r>
          </w:p>
          <w:p w:rsidR="00000000" w:rsidRPr="00A2474E" w:rsidP="00A2474E">
            <w:pPr>
              <w:pStyle w:val="ListBullet"/>
            </w:pPr>
            <w:r w:rsidRPr="00A2474E">
              <w:t>budgeting and reviewing costings</w:t>
            </w:r>
          </w:p>
          <w:p w:rsidR="00000000" w:rsidP="00A2474E">
            <w:pPr>
              <w:pStyle w:val="ListBullet"/>
              <w:rPr>
                <w:lang w:val="en-NZ"/>
              </w:rPr>
            </w:pPr>
            <w:r w:rsidRPr="00A2474E">
              <w:t>comparing energy sources.</w:t>
            </w:r>
          </w:p>
        </w:tc>
      </w:tr>
      <w:tr w:rsidTr="00FE3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Required knowledge</w:t>
            </w:r>
          </w:p>
        </w:tc>
      </w:tr>
      <w:tr w:rsidTr="00FE3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automatic control and monitoring systems</w:t>
            </w:r>
          </w:p>
          <w:p w:rsidR="00000000" w:rsidRPr="00A2474E" w:rsidP="00A2474E">
            <w:pPr>
              <w:pStyle w:val="ListBullet"/>
            </w:pPr>
            <w:r w:rsidRPr="00A2474E">
              <w:t xml:space="preserve">biological </w:t>
            </w:r>
            <w:r w:rsidRPr="00A2474E">
              <w:t>requirements of cultured of held stock</w:t>
            </w:r>
          </w:p>
          <w:p w:rsidR="00000000" w:rsidRPr="00A2474E" w:rsidP="00A2474E">
            <w:pPr>
              <w:pStyle w:val="ListBullet"/>
            </w:pPr>
            <w:r w:rsidRPr="00A2474E">
              <w:t>budgeting, waste management and environmental issues</w:t>
            </w:r>
          </w:p>
          <w:p w:rsidR="00000000" w:rsidRPr="00A2474E" w:rsidP="00A2474E">
            <w:pPr>
              <w:pStyle w:val="ListBullet"/>
            </w:pPr>
            <w:r w:rsidRPr="00A2474E">
              <w:t>contract development and management</w:t>
            </w:r>
          </w:p>
          <w:p w:rsidR="00000000" w:rsidRPr="00A2474E" w:rsidP="00A2474E">
            <w:pPr>
              <w:pStyle w:val="ListBullet"/>
            </w:pPr>
            <w:r w:rsidRPr="00A2474E">
              <w:t>design processes</w:t>
            </w:r>
          </w:p>
          <w:p w:rsidR="00000000" w:rsidRPr="00A2474E" w:rsidP="00A2474E">
            <w:pPr>
              <w:pStyle w:val="ListBullet"/>
            </w:pPr>
            <w:r w:rsidRPr="00A2474E">
              <w:t>government regulations</w:t>
            </w:r>
          </w:p>
          <w:p w:rsidR="00000000" w:rsidRPr="00A2474E" w:rsidP="00A2474E">
            <w:pPr>
              <w:pStyle w:val="ListBullet"/>
            </w:pPr>
            <w:r w:rsidRPr="00A2474E">
              <w:t>latest culture technology</w:t>
            </w:r>
          </w:p>
          <w:p w:rsidR="00000000" w:rsidRPr="00A2474E" w:rsidP="00A2474E">
            <w:pPr>
              <w:pStyle w:val="ListBullet"/>
            </w:pPr>
            <w:r w:rsidRPr="00A2474E">
              <w:t>mechanisation or automation of process or activity</w:t>
            </w:r>
          </w:p>
          <w:p w:rsidR="00000000" w:rsidRPr="00A2474E" w:rsidP="00A2474E">
            <w:pPr>
              <w:pStyle w:val="ListBullet"/>
            </w:pPr>
            <w:r w:rsidRPr="00A2474E">
              <w:t>use of specialised contract services.</w:t>
            </w:r>
          </w:p>
        </w:tc>
      </w:tr>
    </w:tbl>
    <w:p w:rsidR="00FE3EC9" w:rsidP="00A2474E">
      <w:pPr>
        <w:pStyle w:val="BodyText"/>
      </w:pPr>
    </w:p>
    <w:p w:rsidR="00FE3EC9" w:rsidP="00A2474E">
      <w:pPr>
        <w:pStyle w:val="BodyText"/>
      </w:pPr>
    </w:p>
    <w:p w:rsidR="00000000" w:rsidRPr="00A2474E" w:rsidP="00A2474E">
      <w:pPr>
        <w:pStyle w:val="AllowPageBreak"/>
      </w:pPr>
    </w:p>
    <w:p w:rsidR="00000000" w:rsidRPr="00A2474E" w:rsidP="00A2474E">
      <w:pPr>
        <w:pStyle w:val="Heading1"/>
      </w:pPr>
      <w:bookmarkStart w:id="10" w:name="O_331460"/>
      <w:bookmarkEnd w:id="10"/>
      <w:r w:rsidRPr="00A2474E">
        <w:t>Evidence Guide</w:t>
      </w:r>
    </w:p>
    <w:tbl>
      <w:tblPr>
        <w:tblW w:w="9570" w:type="dxa"/>
        <w:tblLayout w:type="fixed"/>
        <w:tblCellMar>
          <w:left w:w="62" w:type="dxa"/>
          <w:right w:w="62" w:type="dxa"/>
        </w:tblCellMar>
        <w:tblLook w:val="0000"/>
      </w:tblPr>
      <w:tblGrid>
        <w:gridCol w:w="3908"/>
        <w:gridCol w:w="5662"/>
      </w:tblGrid>
      <w:tr w:rsidTr="00FE3E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EVIDENCE GUIDE</w:t>
            </w:r>
          </w:p>
        </w:tc>
      </w:tr>
      <w:tr w:rsidTr="00FE3E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t xml:space="preserve">The evidence guide provides advice on assessment and must be read in conjunction with the performance criteria, required skills and knowledge, </w:t>
            </w:r>
            <w:r w:rsidRPr="00A2474E">
              <w:t>range statement and the Assessment Guidelines for the Training Package.</w:t>
            </w:r>
          </w:p>
        </w:tc>
      </w:tr>
      <w:tr w:rsidTr="00FE3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p>
        </w:tc>
      </w:tr>
      <w:tr w:rsidTr="00FE3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 xml:space="preserve">Assessment must confirm the ability to: </w:t>
            </w:r>
          </w:p>
          <w:p w:rsidR="00000000" w:rsidRPr="00A2474E" w:rsidP="00A2474E">
            <w:pPr>
              <w:pStyle w:val="ListBullet"/>
            </w:pPr>
            <w:r w:rsidRPr="00A2474E">
              <w:t xml:space="preserve">design basic systems </w:t>
            </w:r>
          </w:p>
          <w:p w:rsidR="00000000" w:rsidRPr="00A2474E" w:rsidP="00A2474E">
            <w:pPr>
              <w:pStyle w:val="ListBullet"/>
            </w:pPr>
            <w:r w:rsidRPr="00A2474E">
              <w:t>assess impact of designed system on:</w:t>
            </w:r>
          </w:p>
          <w:p w:rsidR="00000000" w:rsidRPr="00A2474E" w:rsidP="00A2474E">
            <w:pPr>
              <w:pStyle w:val="ListBullet2"/>
            </w:pPr>
            <w:r w:rsidRPr="00A2474E">
              <w:t>cost reduction and efficiency</w:t>
            </w:r>
          </w:p>
          <w:p w:rsidR="00000000" w:rsidRPr="00A2474E" w:rsidP="00A2474E">
            <w:pPr>
              <w:pStyle w:val="ListBullet2"/>
            </w:pPr>
            <w:r w:rsidRPr="00A2474E">
              <w:t>labour</w:t>
            </w:r>
          </w:p>
          <w:p w:rsidR="00000000" w:rsidRPr="00A2474E" w:rsidP="00A2474E">
            <w:pPr>
              <w:pStyle w:val="ListBullet2"/>
            </w:pPr>
            <w:r w:rsidRPr="00A2474E">
              <w:t>OHS</w:t>
            </w:r>
          </w:p>
          <w:p w:rsidR="00000000" w:rsidRPr="00A2474E" w:rsidP="00A2474E">
            <w:pPr>
              <w:pStyle w:val="ListBullet2"/>
            </w:pPr>
            <w:r w:rsidRPr="00A2474E">
              <w:t>stock.</w:t>
            </w:r>
          </w:p>
          <w:p w:rsidR="00000000" w:rsidRPr="00A2474E" w:rsidP="00A2474E">
            <w:pPr>
              <w:pStyle w:val="BodyText"/>
            </w:pPr>
          </w:p>
          <w:p w:rsidR="00000000" w:rsidRPr="00A2474E" w:rsidP="00A2474E">
            <w:pPr>
              <w:pStyle w:val="BodyText"/>
            </w:pPr>
            <w:r w:rsidRPr="00A2474E">
              <w:t xml:space="preserve">Assessment must confirm knowledge of: </w:t>
            </w:r>
          </w:p>
          <w:p w:rsidR="00000000" w:rsidRPr="00A2474E" w:rsidP="00A2474E">
            <w:pPr>
              <w:pStyle w:val="ListBullet"/>
            </w:pPr>
            <w:r w:rsidRPr="00A2474E">
              <w:t>aquaculture engineering</w:t>
            </w:r>
          </w:p>
          <w:p w:rsidR="00000000" w:rsidRPr="00A2474E" w:rsidP="00A2474E">
            <w:pPr>
              <w:pStyle w:val="ListBullet"/>
            </w:pPr>
            <w:r w:rsidRPr="00A2474E">
              <w:t>aquatic organism physiology</w:t>
            </w:r>
          </w:p>
          <w:p w:rsidR="00000000" w:rsidRPr="00A2474E" w:rsidP="00A2474E">
            <w:pPr>
              <w:pStyle w:val="ListBullet"/>
            </w:pPr>
            <w:r w:rsidRPr="00A2474E">
              <w:t>functions of stock culture or holding structure components</w:t>
            </w:r>
          </w:p>
          <w:p w:rsidR="00000000" w:rsidP="00A2474E">
            <w:pPr>
              <w:pStyle w:val="ListBullet"/>
              <w:rPr>
                <w:lang w:val="en-NZ"/>
              </w:rPr>
            </w:pPr>
            <w:r w:rsidRPr="00A2474E">
              <w:t>stock, biological and production cycles.</w:t>
            </w:r>
          </w:p>
        </w:tc>
      </w:tr>
      <w:tr w:rsidTr="00FE3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 xml:space="preserve">Assessment is to be conducted at the workplace or in a simulated work environment. It should involve planning and designing one or more culture structures typically </w:t>
            </w:r>
            <w:r w:rsidRPr="00A2474E">
              <w:t xml:space="preserve">used in the region. </w:t>
            </w:r>
          </w:p>
          <w:p w:rsidR="00000000" w:rsidRPr="00A2474E" w:rsidP="00A2474E">
            <w:pPr>
              <w:pStyle w:val="BodyText"/>
            </w:pPr>
          </w:p>
          <w:p w:rsidR="00000000" w:rsidRPr="00A2474E" w:rsidP="00A2474E">
            <w:pPr>
              <w:pStyle w:val="BodyText"/>
            </w:pPr>
            <w:r w:rsidRPr="00A2474E">
              <w:t xml:space="preserve">Resources may include: </w:t>
            </w:r>
          </w:p>
          <w:p w:rsidR="00000000" w:rsidP="00A2474E">
            <w:pPr>
              <w:pStyle w:val="ListBullet"/>
              <w:rPr>
                <w:lang w:val="en-NZ"/>
              </w:rPr>
            </w:pPr>
            <w:r w:rsidRPr="00A2474E">
              <w:t>farm or hatchery components.</w:t>
            </w:r>
          </w:p>
        </w:tc>
      </w:tr>
      <w:tr w:rsidTr="00FE3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 xml:space="preserve">The following assessment methods are suggested: </w:t>
            </w:r>
          </w:p>
          <w:p w:rsidR="00000000" w:rsidRPr="00A2474E" w:rsidP="00A2474E">
            <w:pPr>
              <w:pStyle w:val="ListBullet"/>
            </w:pPr>
            <w:r w:rsidRPr="00A2474E">
              <w:t>case studies</w:t>
            </w:r>
          </w:p>
          <w:p w:rsidR="00000000" w:rsidRPr="00A2474E" w:rsidP="00A2474E">
            <w:pPr>
              <w:pStyle w:val="ListBullet"/>
            </w:pPr>
            <w:r w:rsidRPr="00A2474E">
              <w:t>demonstration</w:t>
            </w:r>
          </w:p>
          <w:p w:rsidR="00000000" w:rsidRPr="00A2474E" w:rsidP="00A2474E">
            <w:pPr>
              <w:pStyle w:val="ListBullet"/>
            </w:pPr>
            <w:r w:rsidRPr="00A2474E">
              <w:t>practical exercises</w:t>
            </w:r>
          </w:p>
          <w:p w:rsidR="00000000" w:rsidRPr="00A2474E" w:rsidP="00A2474E">
            <w:pPr>
              <w:pStyle w:val="ListBullet"/>
            </w:pPr>
            <w:r w:rsidRPr="00A2474E">
              <w:t>project (work or scenario based)</w:t>
            </w:r>
          </w:p>
          <w:p w:rsidR="00000000" w:rsidP="00A2474E">
            <w:pPr>
              <w:pStyle w:val="ListBullet"/>
              <w:rPr>
                <w:lang w:val="en-NZ"/>
              </w:rPr>
            </w:pPr>
            <w:r w:rsidRPr="00A2474E">
              <w:t>written or oral short-answer q</w:t>
            </w:r>
            <w:r w:rsidRPr="00A2474E">
              <w:t>uestions.</w:t>
            </w:r>
          </w:p>
        </w:tc>
      </w:tr>
      <w:tr w:rsidTr="00FE3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This unit may be assessed holistically with other units within a qualification.</w:t>
            </w:r>
          </w:p>
        </w:tc>
      </w:tr>
    </w:tbl>
    <w:p w:rsidR="00FE3EC9" w:rsidP="00A2474E">
      <w:pPr>
        <w:pStyle w:val="BodyText"/>
      </w:pPr>
    </w:p>
    <w:p w:rsidR="00FE3EC9" w:rsidP="00A2474E">
      <w:pPr>
        <w:pStyle w:val="BodyText"/>
      </w:pPr>
    </w:p>
    <w:p w:rsidR="00000000" w:rsidRPr="00A2474E" w:rsidP="00A2474E">
      <w:pPr>
        <w:pStyle w:val="Heading1"/>
      </w:pPr>
      <w:bookmarkStart w:id="11" w:name="O_331455"/>
      <w:bookmarkEnd w:id="11"/>
      <w:r w:rsidRPr="00A2474E">
        <w:t>Range Statement</w:t>
      </w:r>
    </w:p>
    <w:tbl>
      <w:tblPr>
        <w:tblW w:w="0" w:type="auto"/>
        <w:tblLayout w:type="fixed"/>
        <w:tblCellMar>
          <w:left w:w="62" w:type="dxa"/>
          <w:right w:w="62" w:type="dxa"/>
        </w:tblCellMar>
        <w:tblLook w:val="0000"/>
      </w:tblPr>
      <w:tblGrid>
        <w:gridCol w:w="3440"/>
        <w:gridCol w:w="5082"/>
      </w:tblGrid>
      <w:tr w:rsidTr="00FE3E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RANGE STATEMENT</w:t>
            </w:r>
          </w:p>
        </w:tc>
      </w:tr>
      <w:tr w:rsidTr="00FE3E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t>The range statement relates to the unit of competency as a whole. It allows for different work environments and situations that may affect performance. Bold italicised wording, if used in the performance criteria, is detailed below. Essential operating con</w:t>
            </w:r>
            <w:r w:rsidRPr="00A2474E">
              <w:t>ditions that may be present with training and assessment (depending on the work situation, needs of the candidate, accessibility of the item, and local industry and regional contexts) may also be included.</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Relevant government regulations</w:t>
            </w:r>
            <w:r w:rsidRPr="00A2474E">
              <w:t xml:space="preserve">, </w:t>
            </w:r>
            <w:r w:rsidRPr="00A2474E">
              <w:rPr>
                <w:rStyle w:val="BoldandItalics"/>
              </w:rPr>
              <w:t>licensing and other compliance requirements</w:t>
            </w:r>
            <w:r w:rsidRPr="00A2474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business or workplace operations, policies and practices:</w:t>
            </w:r>
          </w:p>
          <w:p w:rsidR="00000000" w:rsidRPr="00A2474E" w:rsidP="00A2474E">
            <w:pPr>
              <w:pStyle w:val="ListBullet2"/>
            </w:pPr>
            <w:r w:rsidRPr="00A2474E">
              <w:t xml:space="preserve">commercial law, including fair trading and trade practices </w:t>
            </w:r>
          </w:p>
          <w:p w:rsidR="00000000" w:rsidRPr="00A2474E" w:rsidP="00A2474E">
            <w:pPr>
              <w:pStyle w:val="ListBullet2"/>
            </w:pPr>
            <w:r w:rsidRPr="00A2474E">
              <w:t>consumer law</w:t>
            </w:r>
          </w:p>
          <w:p w:rsidR="00000000" w:rsidRPr="00A2474E" w:rsidP="00A2474E">
            <w:pPr>
              <w:pStyle w:val="ListBullet2"/>
            </w:pPr>
            <w:r w:rsidRPr="00A2474E">
              <w:t>corporate law, including registration, licensing and financial repo</w:t>
            </w:r>
            <w:r w:rsidRPr="00A2474E">
              <w:t xml:space="preserve">rting </w:t>
            </w:r>
          </w:p>
          <w:p w:rsidR="00000000" w:rsidRPr="00A2474E" w:rsidP="00A2474E">
            <w:pPr>
              <w:pStyle w:val="ListBullet2"/>
            </w:pPr>
            <w:r w:rsidRPr="00A2474E">
              <w:t>disability policies and practices</w:t>
            </w:r>
          </w:p>
          <w:p w:rsidR="00000000" w:rsidRPr="00A2474E" w:rsidP="00A2474E">
            <w:pPr>
              <w:pStyle w:val="ListBullet2"/>
            </w:pPr>
            <w:r w:rsidRPr="00A2474E">
              <w:t xml:space="preserve">equal opportunity, anti-discrimination and sexual harassment </w:t>
            </w:r>
          </w:p>
          <w:p w:rsidR="00000000" w:rsidRPr="00A2474E" w:rsidP="00A2474E">
            <w:pPr>
              <w:pStyle w:val="ListBullet2"/>
            </w:pPr>
            <w:r w:rsidRPr="00A2474E">
              <w:t>industrial relations and awards, individual employment contracts and share of catch agreements</w:t>
            </w:r>
          </w:p>
          <w:p w:rsidR="00000000" w:rsidRPr="00A2474E" w:rsidP="00A2474E">
            <w:pPr>
              <w:pStyle w:val="ListBullet2"/>
            </w:pPr>
            <w:r w:rsidRPr="00A2474E">
              <w:t>jurisdictional variations</w:t>
            </w:r>
          </w:p>
          <w:p w:rsidR="00000000" w:rsidRPr="00A2474E" w:rsidP="00A2474E">
            <w:pPr>
              <w:pStyle w:val="ListBullet2"/>
            </w:pPr>
            <w:r w:rsidRPr="00A2474E">
              <w:t>superannuation</w:t>
            </w:r>
          </w:p>
          <w:p w:rsidR="00000000" w:rsidRPr="00A2474E" w:rsidP="00A2474E">
            <w:pPr>
              <w:pStyle w:val="ListBullet2"/>
            </w:pPr>
            <w:r w:rsidRPr="00A2474E">
              <w:t>taxation</w:t>
            </w:r>
          </w:p>
          <w:p w:rsidR="00000000" w:rsidRPr="00A2474E" w:rsidP="00A2474E">
            <w:pPr>
              <w:pStyle w:val="ListBullet2"/>
            </w:pPr>
            <w:r w:rsidRPr="00A2474E">
              <w:t xml:space="preserve">trade practices </w:t>
            </w:r>
          </w:p>
          <w:p w:rsidR="00000000" w:rsidRPr="00A2474E" w:rsidP="00A2474E">
            <w:pPr>
              <w:pStyle w:val="ListBullet2"/>
            </w:pPr>
            <w:r w:rsidRPr="00A2474E">
              <w:t>warnings and dismissals</w:t>
            </w:r>
          </w:p>
          <w:p w:rsidR="00000000" w:rsidRPr="00A2474E" w:rsidP="00A2474E">
            <w:pPr>
              <w:pStyle w:val="ListBullet2"/>
            </w:pPr>
            <w:r w:rsidRPr="00A2474E">
              <w:t>worker's compensation</w:t>
            </w:r>
          </w:p>
          <w:p w:rsidR="00000000" w:rsidRPr="00A2474E" w:rsidP="00A2474E">
            <w:pPr>
              <w:pStyle w:val="ListBullet"/>
            </w:pPr>
            <w:r w:rsidRPr="00A2474E">
              <w:t>ESD principles, environmental hazard identification, risk assessment and control</w:t>
            </w:r>
          </w:p>
          <w:p w:rsidR="00000000" w:rsidRPr="00A2474E" w:rsidP="00A2474E">
            <w:pPr>
              <w:pStyle w:val="ListBullet"/>
            </w:pPr>
            <w:r w:rsidRPr="00A2474E">
              <w:t>fisheries or aquaculture regulations, permits, licences, quotas, catch restrictions and other compliance require</w:t>
            </w:r>
            <w:r w:rsidRPr="00A2474E">
              <w:t>ments, including:</w:t>
            </w:r>
          </w:p>
          <w:p w:rsidR="00000000" w:rsidRPr="00A2474E" w:rsidP="00A2474E">
            <w:pPr>
              <w:pStyle w:val="ListBullet2"/>
            </w:pPr>
            <w:r w:rsidRPr="00A2474E">
              <w:t>Australian Exclusive Economic Zone</w:t>
            </w:r>
          </w:p>
          <w:p w:rsidR="00000000" w:rsidRPr="00A2474E" w:rsidP="00A2474E">
            <w:pPr>
              <w:pStyle w:val="ListBullet2"/>
            </w:pPr>
            <w:r w:rsidRPr="00A2474E">
              <w:t>international treaties and agreements</w:t>
            </w:r>
          </w:p>
          <w:p w:rsidR="00000000" w:rsidRPr="00A2474E" w:rsidP="00A2474E">
            <w:pPr>
              <w:pStyle w:val="ListBullet"/>
            </w:pPr>
            <w:r w:rsidRPr="00A2474E">
              <w:t>food safety, Hazard Analysis Critical Control Point (HACCP), hygiene and temperature control along chain of custody</w:t>
            </w:r>
          </w:p>
          <w:p w:rsidR="00000000" w:rsidRPr="00A2474E" w:rsidP="00A2474E">
            <w:pPr>
              <w:pStyle w:val="ListBullet"/>
            </w:pPr>
            <w:r w:rsidRPr="00A2474E">
              <w:t>imports quarantine and inspection, and importing</w:t>
            </w:r>
            <w:r w:rsidRPr="00A2474E">
              <w:t xml:space="preserve"> approved arrangements for Australian Quarantine Inspection Service (AQIS), Australian Customs Service (ACS) and Biosecurity Australia (BA)</w:t>
            </w:r>
          </w:p>
          <w:p w:rsidR="00000000" w:rsidRPr="00A2474E" w:rsidP="00A2474E">
            <w:pPr>
              <w:pStyle w:val="ListBullet"/>
            </w:pPr>
            <w:r w:rsidRPr="00A2474E">
              <w:t>Indigenous native title, land claims and cultural activities, including fishing by traditional methods</w:t>
            </w:r>
          </w:p>
          <w:p w:rsidR="00000000" w:rsidRPr="00A2474E" w:rsidP="00A2474E">
            <w:pPr>
              <w:pStyle w:val="ListBullet"/>
            </w:pPr>
            <w:r w:rsidRPr="00A2474E">
              <w:t xml:space="preserve">maritime and </w:t>
            </w:r>
            <w:r w:rsidRPr="00A2474E">
              <w:t>occupational diving operations:</w:t>
            </w:r>
          </w:p>
          <w:p w:rsidR="00000000" w:rsidRPr="00A2474E" w:rsidP="00A2474E">
            <w:pPr>
              <w:pStyle w:val="ListBullet2"/>
            </w:pPr>
            <w:r w:rsidRPr="00A2474E">
              <w:t>foreign and Australian legislation applying to quarantine and customs</w:t>
            </w:r>
          </w:p>
          <w:p w:rsidR="00000000" w:rsidRPr="00A2474E" w:rsidP="00A2474E">
            <w:pPr>
              <w:pStyle w:val="ListBullet2"/>
            </w:pPr>
            <w:r w:rsidRPr="00A2474E">
              <w:t>International Convention for the Safety of Life at Sea (SOLAS)</w:t>
            </w:r>
          </w:p>
          <w:p w:rsidR="00000000" w:rsidRPr="00A2474E" w:rsidP="00A2474E">
            <w:pPr>
              <w:pStyle w:val="ListBullet2"/>
            </w:pPr>
            <w:r w:rsidRPr="00A2474E">
              <w:t>International Convention on Standards of Training, Certification and Watchkeeping for Seaf</w:t>
            </w:r>
            <w:r w:rsidRPr="00A2474E">
              <w:t xml:space="preserve">arers (STCW 1978) </w:t>
            </w:r>
          </w:p>
          <w:p w:rsidR="00000000" w:rsidRPr="00A2474E" w:rsidP="00A2474E">
            <w:pPr>
              <w:pStyle w:val="ListBullet2"/>
            </w:pPr>
            <w:r w:rsidRPr="00A2474E">
              <w:t>Marine Emergency Response Search and Rescue (MERSAR)</w:t>
            </w:r>
          </w:p>
          <w:p w:rsidR="00000000" w:rsidRPr="00A2474E" w:rsidP="00A2474E">
            <w:pPr>
              <w:pStyle w:val="ListBullet2"/>
            </w:pPr>
            <w:r w:rsidRPr="00A2474E">
              <w:t>National Standards for Commercial Vessels</w:t>
            </w:r>
          </w:p>
          <w:p w:rsidR="00000000" w:rsidRPr="00A2474E" w:rsidP="00A2474E">
            <w:pPr>
              <w:pStyle w:val="ListBullet2"/>
            </w:pPr>
            <w:r w:rsidRPr="00A2474E">
              <w:t>pollution prevention - International Convention for the Prevention of Pollution from Ships (MARPOL 73/78)</w:t>
            </w:r>
          </w:p>
          <w:p w:rsidR="00000000" w:rsidRPr="00A2474E" w:rsidP="00A2474E">
            <w:pPr>
              <w:pStyle w:val="ListBullet2"/>
            </w:pPr>
            <w:r w:rsidRPr="00A2474E">
              <w:t xml:space="preserve">Uniform Shipping Laws (USL) Code </w:t>
            </w:r>
          </w:p>
          <w:p w:rsidR="00000000" w:rsidRPr="00A2474E" w:rsidP="00A2474E">
            <w:pPr>
              <w:pStyle w:val="ListBullet2"/>
            </w:pPr>
            <w:r w:rsidRPr="00A2474E">
              <w:t>use of vessels, right of way and other marine orders, bunkering and refuelling</w:t>
            </w:r>
          </w:p>
          <w:p w:rsidR="00000000" w:rsidRPr="00A2474E" w:rsidP="00A2474E">
            <w:pPr>
              <w:pStyle w:val="ListBullet"/>
            </w:pPr>
            <w:r w:rsidRPr="00A2474E">
              <w:t>land, buildings and vehicles:</w:t>
            </w:r>
          </w:p>
          <w:p w:rsidR="00000000" w:rsidRPr="00A2474E" w:rsidP="00A2474E">
            <w:pPr>
              <w:pStyle w:val="ListBullet2"/>
            </w:pPr>
            <w:r w:rsidRPr="00A2474E">
              <w:t>buildings and structures design and appearance, constructions and additions</w:t>
            </w:r>
          </w:p>
          <w:p w:rsidR="00000000" w:rsidRPr="00A2474E" w:rsidP="00A2474E">
            <w:pPr>
              <w:pStyle w:val="ListBullet2"/>
            </w:pPr>
            <w:r w:rsidRPr="00A2474E">
              <w:t xml:space="preserve">poaching, trespass and theft </w:t>
            </w:r>
          </w:p>
          <w:p w:rsidR="00000000" w:rsidRPr="00A2474E" w:rsidP="00A2474E">
            <w:pPr>
              <w:pStyle w:val="ListBullet2"/>
            </w:pPr>
            <w:r w:rsidRPr="00A2474E">
              <w:t>road laws for use of motor vehicles, bik</w:t>
            </w:r>
            <w:r w:rsidRPr="00A2474E">
              <w:t>es, trucks and other transport equipment</w:t>
            </w:r>
          </w:p>
          <w:p w:rsidR="00000000" w:rsidRPr="00A2474E" w:rsidP="00A2474E">
            <w:pPr>
              <w:pStyle w:val="ListBullet2"/>
            </w:pPr>
            <w:r w:rsidRPr="00A2474E">
              <w:t xml:space="preserve">soil and water management </w:t>
            </w:r>
          </w:p>
          <w:p w:rsidR="00000000" w:rsidRPr="00A2474E" w:rsidP="00A2474E">
            <w:pPr>
              <w:pStyle w:val="ListBullet2"/>
            </w:pPr>
            <w:r w:rsidRPr="00A2474E">
              <w:t>use of chemicals and biological agents</w:t>
            </w:r>
          </w:p>
          <w:p w:rsidR="00000000" w:rsidRPr="00A2474E" w:rsidP="00A2474E">
            <w:pPr>
              <w:pStyle w:val="ListBullet2"/>
            </w:pPr>
            <w:r w:rsidRPr="00A2474E">
              <w:t>use of firearms and powerheads</w:t>
            </w:r>
          </w:p>
          <w:p w:rsidR="00000000" w:rsidRPr="00A2474E" w:rsidP="00A2474E">
            <w:pPr>
              <w:pStyle w:val="ListBullet2"/>
            </w:pPr>
            <w:r w:rsidRPr="00A2474E">
              <w:t>use of utilities, including water, natural gas, electricity and sewage</w:t>
            </w:r>
          </w:p>
          <w:p w:rsidR="00000000" w:rsidRPr="00A2474E" w:rsidP="00A2474E">
            <w:pPr>
              <w:pStyle w:val="ListBullet2"/>
            </w:pPr>
            <w:r w:rsidRPr="00A2474E">
              <w:t>water or land lease, tenure or ownership and us</w:t>
            </w:r>
            <w:r w:rsidRPr="00A2474E">
              <w:t xml:space="preserve">e </w:t>
            </w:r>
          </w:p>
          <w:p w:rsidR="00000000" w:rsidRPr="00A2474E" w:rsidP="00A2474E">
            <w:pPr>
              <w:pStyle w:val="ListBullet"/>
            </w:pPr>
            <w:r w:rsidRPr="00A2474E">
              <w:t>OHS hazard identification, risk assessment and control</w:t>
            </w:r>
          </w:p>
          <w:p w:rsidR="00000000" w:rsidRPr="00A2474E" w:rsidP="00A2474E">
            <w:pPr>
              <w:pStyle w:val="ListBullet"/>
            </w:pPr>
            <w:r w:rsidRPr="00A2474E">
              <w:t>product quality assurance:</w:t>
            </w:r>
          </w:p>
          <w:p w:rsidR="00000000" w:rsidRPr="00A2474E" w:rsidP="00A2474E">
            <w:pPr>
              <w:pStyle w:val="ListBullet2"/>
            </w:pPr>
            <w:r w:rsidRPr="00A2474E">
              <w:t>correct naming and labelling (e.g. country of origin, Australian Fish Names Standard and eco-labelling)</w:t>
            </w:r>
          </w:p>
          <w:p w:rsidR="00000000" w:rsidRPr="00A2474E" w:rsidP="00A2474E">
            <w:pPr>
              <w:pStyle w:val="ListBullet2"/>
            </w:pPr>
            <w:r w:rsidRPr="00A2474E">
              <w:t>correct quantities, sizes and other customer requirements</w:t>
            </w:r>
          </w:p>
          <w:p w:rsidR="00000000" w:rsidP="00A2474E">
            <w:pPr>
              <w:pStyle w:val="ListBullet2"/>
              <w:rPr>
                <w:lang w:val="en-NZ"/>
              </w:rPr>
            </w:pPr>
            <w:r w:rsidRPr="00A2474E">
              <w:t>third-pa</w:t>
            </w:r>
            <w:r w:rsidRPr="00A2474E">
              <w:t>rty certification (e.g. Australian Grown and ISO 14001:2004 Environmental management systems).</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OHS guidelines</w:t>
            </w:r>
            <w:r w:rsidRPr="00A2474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appropriate workplace provision of first aid kits and fire extinguishers</w:t>
            </w:r>
          </w:p>
          <w:p w:rsidR="00000000" w:rsidRPr="00A2474E" w:rsidP="00A2474E">
            <w:pPr>
              <w:pStyle w:val="ListBullet"/>
            </w:pPr>
            <w:r w:rsidRPr="00A2474E">
              <w:t>clean, uncluttered, hygienic workplace</w:t>
            </w:r>
          </w:p>
          <w:p w:rsidR="00000000" w:rsidRPr="00A2474E" w:rsidP="00A2474E">
            <w:pPr>
              <w:pStyle w:val="ListBullet"/>
            </w:pPr>
            <w:r w:rsidRPr="00A2474E">
              <w:t>codes of practice, regulations and/or guidance notes which may apply in a jurisdiction or industry sector</w:t>
            </w:r>
          </w:p>
          <w:p w:rsidR="00000000" w:rsidRPr="00A2474E" w:rsidP="00A2474E">
            <w:pPr>
              <w:pStyle w:val="ListBullet"/>
            </w:pPr>
            <w:r w:rsidRPr="00A2474E">
              <w:t>enterprise-specific OHS procedures, policies or standards</w:t>
            </w:r>
          </w:p>
          <w:p w:rsidR="00000000" w:rsidRPr="00A2474E" w:rsidP="00A2474E">
            <w:pPr>
              <w:pStyle w:val="ListBullet"/>
            </w:pPr>
            <w:r w:rsidRPr="00A2474E">
              <w:t>hazard and risk assessment of workplace, maintenance activities and control measures</w:t>
            </w:r>
          </w:p>
          <w:p w:rsidR="00000000" w:rsidRPr="00A2474E" w:rsidP="00A2474E">
            <w:pPr>
              <w:pStyle w:val="ListBullet"/>
            </w:pPr>
            <w:r w:rsidRPr="00A2474E">
              <w:t>inducti</w:t>
            </w:r>
            <w:r w:rsidRPr="00A2474E">
              <w:t xml:space="preserve">on or training of staff, contractors and visitors in relevant OHS procedures and/or requirements to allow them to carry out their duties in a safe manner </w:t>
            </w:r>
          </w:p>
          <w:p w:rsidR="00000000" w:rsidRPr="00A2474E" w:rsidP="00A2474E">
            <w:pPr>
              <w:pStyle w:val="ListBullet"/>
            </w:pPr>
            <w:r w:rsidRPr="00A2474E">
              <w:t>OHS training register</w:t>
            </w:r>
          </w:p>
          <w:p w:rsidR="00000000" w:rsidRPr="00A2474E" w:rsidP="00A2474E">
            <w:pPr>
              <w:pStyle w:val="ListBullet"/>
            </w:pPr>
            <w:r w:rsidRPr="00A2474E">
              <w:t xml:space="preserve">safe lifting, carrying and handling techniques, including manual handling, and </w:t>
            </w:r>
            <w:r w:rsidRPr="00A2474E">
              <w:t>the handling and storage of hazardous substances</w:t>
            </w:r>
          </w:p>
          <w:p w:rsidR="00000000" w:rsidRPr="00A2474E" w:rsidP="00A2474E">
            <w:pPr>
              <w:pStyle w:val="ListBullet"/>
            </w:pPr>
            <w:r w:rsidRPr="00A2474E">
              <w:t>safe systems and procedures for outdoor work, including protection from solar radiation, fall protection, confined space entry and the protection of people in the workplace</w:t>
            </w:r>
          </w:p>
          <w:p w:rsidR="00000000" w:rsidRPr="00A2474E" w:rsidP="00A2474E">
            <w:pPr>
              <w:pStyle w:val="ListBullet"/>
            </w:pPr>
            <w:r w:rsidRPr="00A2474E">
              <w:t>systems and procedures for the saf</w:t>
            </w:r>
            <w:r w:rsidRPr="00A2474E">
              <w:t>e maintenance of property, machinery and equipment, including hydraulics and exposed moving parts</w:t>
            </w:r>
          </w:p>
          <w:p w:rsidR="00000000" w:rsidP="00A2474E">
            <w:pPr>
              <w:pStyle w:val="ListBullet"/>
              <w:rPr>
                <w:lang w:val="en-NZ"/>
              </w:rPr>
            </w:pPr>
            <w:r w:rsidRPr="00A2474E">
              <w:t>the appropriate use, maintenance and storage of PPE.</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ESD principles</w:t>
            </w:r>
            <w:r w:rsidRPr="00A2474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controlling use and recycling of water, and managing water quality and quant</w:t>
            </w:r>
            <w:r w:rsidRPr="00A2474E">
              <w:t>ity</w:t>
            </w:r>
          </w:p>
          <w:p w:rsidR="00000000" w:rsidRPr="00A2474E" w:rsidP="00A2474E">
            <w:pPr>
              <w:pStyle w:val="ListBullet"/>
            </w:pPr>
            <w:r w:rsidRPr="00A2474E">
              <w:t>increasing use of renewable, recyclable and recoverable resources</w:t>
            </w:r>
          </w:p>
          <w:p w:rsidR="00000000" w:rsidRPr="00A2474E" w:rsidP="00A2474E">
            <w:pPr>
              <w:pStyle w:val="ListBullet"/>
            </w:pPr>
            <w:r w:rsidRPr="00A2474E">
              <w:t>managing environmental hazard identification, risk assessment and control</w:t>
            </w:r>
          </w:p>
          <w:p w:rsidR="00000000" w:rsidRPr="00A2474E" w:rsidP="00A2474E">
            <w:pPr>
              <w:pStyle w:val="ListBullet"/>
            </w:pPr>
            <w:r w:rsidRPr="00A2474E">
              <w:t>managing imported products quarantine and inspection, facility biosecurity, translocation of livestock and genet</w:t>
            </w:r>
            <w:r w:rsidRPr="00A2474E">
              <w:t>ic material, and health certification</w:t>
            </w:r>
          </w:p>
          <w:p w:rsidR="00000000" w:rsidRPr="00A2474E" w:rsidP="00A2474E">
            <w:pPr>
              <w:pStyle w:val="ListBullet"/>
            </w:pPr>
            <w:r w:rsidRPr="00A2474E">
              <w:t>managing stock health and welfare, especially for handling, holding, transport and slaughter</w:t>
            </w:r>
          </w:p>
          <w:p w:rsidR="00000000" w:rsidRPr="00A2474E" w:rsidP="00A2474E">
            <w:pPr>
              <w:pStyle w:val="ListBullet"/>
            </w:pPr>
            <w:r w:rsidRPr="00A2474E">
              <w:t>managing sustainable fisheries or broodstock/seedstock collection requirements, such as size limits, quotas, season restrictions, population dynamics, fishing impacts, reducing by-catch, fisheries management strategies and maintaining biodiversity</w:t>
            </w:r>
          </w:p>
          <w:p w:rsidR="00000000" w:rsidRPr="00A2474E" w:rsidP="00A2474E">
            <w:pPr>
              <w:pStyle w:val="ListBullet"/>
            </w:pPr>
            <w:r w:rsidRPr="00A2474E">
              <w:t>managing</w:t>
            </w:r>
            <w:r w:rsidRPr="00A2474E">
              <w:t xml:space="preserve">, controlling and treating effluents, chemical residues, contaminants, wastes and pollution </w:t>
            </w:r>
          </w:p>
          <w:p w:rsidR="00000000" w:rsidRPr="00A2474E" w:rsidP="00A2474E">
            <w:pPr>
              <w:pStyle w:val="ListBullet"/>
            </w:pPr>
            <w:r w:rsidRPr="00A2474E">
              <w:t>minimising noise, dust, light or odour emissions</w:t>
            </w:r>
          </w:p>
          <w:p w:rsidR="00000000" w:rsidRPr="00A2474E" w:rsidP="00A2474E">
            <w:pPr>
              <w:pStyle w:val="ListBullet"/>
            </w:pPr>
            <w:r w:rsidRPr="00A2474E">
              <w:t>planning environmental and resource efficiency improvements</w:t>
            </w:r>
          </w:p>
          <w:p w:rsidR="00000000" w:rsidRPr="00A2474E" w:rsidP="00A2474E">
            <w:pPr>
              <w:pStyle w:val="ListBullet"/>
            </w:pPr>
            <w:r w:rsidRPr="00A2474E">
              <w:t>preventing genetically modified and live cultured or h</w:t>
            </w:r>
            <w:r w:rsidRPr="00A2474E">
              <w:t>eld organisms from escaping into environment</w:t>
            </w:r>
          </w:p>
          <w:p w:rsidR="00000000" w:rsidRPr="00A2474E" w:rsidP="00A2474E">
            <w:pPr>
              <w:pStyle w:val="ListBullet"/>
            </w:pPr>
            <w:r w:rsidRPr="00A2474E">
              <w:t>protecting native and protected flora and fauna, marine or land parks or areas, adhering to the Convention on International Trade in Endangered Species of Wild Flora and Fauna (CITES), the Ramsar Convention, Wor</w:t>
            </w:r>
            <w:r w:rsidRPr="00A2474E">
              <w:t>ld Heritage and other international treaties for which Australia is a signatory</w:t>
            </w:r>
          </w:p>
          <w:p w:rsidR="00000000" w:rsidRPr="00A2474E" w:rsidP="00A2474E">
            <w:pPr>
              <w:pStyle w:val="ListBullet"/>
            </w:pPr>
            <w:r w:rsidRPr="00A2474E">
              <w:t>reducing emissions of greenhouse gases</w:t>
            </w:r>
          </w:p>
          <w:p w:rsidR="00000000" w:rsidRPr="00A2474E" w:rsidP="00A2474E">
            <w:pPr>
              <w:pStyle w:val="ListBullet"/>
            </w:pPr>
            <w:r w:rsidRPr="00A2474E">
              <w:t>reducing use of non-renewable resources</w:t>
            </w:r>
          </w:p>
          <w:p w:rsidR="00000000" w:rsidRPr="00A2474E" w:rsidP="00A2474E">
            <w:pPr>
              <w:pStyle w:val="ListBullet"/>
            </w:pPr>
            <w:r w:rsidRPr="00A2474E">
              <w:t>reducing disturbances to soils, erosion and surface water flows from machinery use and other acti</w:t>
            </w:r>
            <w:r w:rsidRPr="00A2474E">
              <w:t>vities</w:t>
            </w:r>
          </w:p>
          <w:p w:rsidR="00000000" w:rsidP="00A2474E">
            <w:pPr>
              <w:pStyle w:val="ListBullet"/>
              <w:rPr>
                <w:lang w:val="en-NZ"/>
              </w:rPr>
            </w:pPr>
            <w:r w:rsidRPr="00A2474E">
              <w:t>reducing energy use and introducing alternative energy sources.</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PPE</w:t>
            </w:r>
            <w:r w:rsidRPr="00A2474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buoyancy vest or personal floatation device (PFD)</w:t>
            </w:r>
          </w:p>
          <w:p w:rsidR="00000000" w:rsidRPr="00A2474E" w:rsidP="00A2474E">
            <w:pPr>
              <w:pStyle w:val="ListBullet"/>
            </w:pPr>
            <w:r w:rsidRPr="00A2474E">
              <w:t>gloves, mitts or gauntlets, and protective hand and arm covering</w:t>
            </w:r>
          </w:p>
          <w:p w:rsidR="00000000" w:rsidRPr="00A2474E" w:rsidP="00A2474E">
            <w:pPr>
              <w:pStyle w:val="ListBullet"/>
            </w:pPr>
            <w:r w:rsidRPr="00A2474E">
              <w:t xml:space="preserve">hard hat or protective head covering </w:t>
            </w:r>
          </w:p>
          <w:p w:rsidR="00000000" w:rsidRPr="00A2474E" w:rsidP="00A2474E">
            <w:pPr>
              <w:pStyle w:val="ListBullet"/>
            </w:pPr>
            <w:r w:rsidRPr="00A2474E">
              <w:t>hearing protec</w:t>
            </w:r>
            <w:r w:rsidRPr="00A2474E">
              <w:t>tion (e.g. ear plugs and ear muffs)</w:t>
            </w:r>
          </w:p>
          <w:p w:rsidR="00000000" w:rsidRPr="00A2474E" w:rsidP="00A2474E">
            <w:pPr>
              <w:pStyle w:val="ListBullet"/>
            </w:pPr>
            <w:r w:rsidRPr="00A2474E">
              <w:t>insulated protective clothing for freezers or chillers and refrigeration units</w:t>
            </w:r>
          </w:p>
          <w:p w:rsidR="00000000" w:rsidRPr="00A2474E" w:rsidP="00A2474E">
            <w:pPr>
              <w:pStyle w:val="ListBullet"/>
            </w:pPr>
            <w:r w:rsidRPr="00A2474E">
              <w:t>non-slip and waterproof boots (gumboots) or other safety footwear</w:t>
            </w:r>
          </w:p>
          <w:p w:rsidR="00000000" w:rsidRPr="00A2474E" w:rsidP="00A2474E">
            <w:pPr>
              <w:pStyle w:val="ListBullet"/>
            </w:pPr>
            <w:r w:rsidRPr="00A2474E">
              <w:t>personal locator beacon or Emergency Position Indicating Radio Beacon (EPIR</w:t>
            </w:r>
            <w:r w:rsidRPr="00A2474E">
              <w:t>B)</w:t>
            </w:r>
          </w:p>
          <w:p w:rsidR="00000000" w:rsidRPr="00A2474E" w:rsidP="00A2474E">
            <w:pPr>
              <w:pStyle w:val="ListBullet"/>
            </w:pPr>
            <w:r w:rsidRPr="00A2474E">
              <w:t>protective eyewear, glasses and face mask</w:t>
            </w:r>
          </w:p>
          <w:p w:rsidR="00000000" w:rsidRPr="00A2474E" w:rsidP="00A2474E">
            <w:pPr>
              <w:pStyle w:val="ListBullet"/>
            </w:pPr>
            <w:r w:rsidRPr="00A2474E">
              <w:t>protective hair, beard and boot covers</w:t>
            </w:r>
          </w:p>
          <w:p w:rsidR="00000000" w:rsidRPr="00A2474E" w:rsidP="00A2474E">
            <w:pPr>
              <w:pStyle w:val="ListBullet"/>
            </w:pPr>
            <w:r w:rsidRPr="00A2474E">
              <w:t xml:space="preserve">protective outdoor clothing for tropical conditions </w:t>
            </w:r>
          </w:p>
          <w:p w:rsidR="00000000" w:rsidRPr="00A2474E" w:rsidP="00A2474E">
            <w:pPr>
              <w:pStyle w:val="ListBullet"/>
            </w:pPr>
            <w:r w:rsidRPr="00A2474E">
              <w:t>respirator or face mask</w:t>
            </w:r>
          </w:p>
          <w:p w:rsidR="00000000" w:rsidRPr="00A2474E" w:rsidP="00A2474E">
            <w:pPr>
              <w:pStyle w:val="ListBullet"/>
            </w:pPr>
            <w:r w:rsidRPr="00A2474E">
              <w:t>safety harness</w:t>
            </w:r>
          </w:p>
          <w:p w:rsidR="00000000" w:rsidRPr="00A2474E" w:rsidP="00A2474E">
            <w:pPr>
              <w:pStyle w:val="ListBullet"/>
            </w:pPr>
            <w:r w:rsidRPr="00A2474E">
              <w:t>sun protection (e.g. sun hat, sunscreen and sunglasses)</w:t>
            </w:r>
          </w:p>
          <w:p w:rsidR="00000000" w:rsidRPr="00A2474E" w:rsidP="00A2474E">
            <w:pPr>
              <w:pStyle w:val="ListBullet"/>
            </w:pPr>
            <w:r w:rsidRPr="00A2474E">
              <w:t>uniforms, overalls or protective clothing (e.g. mesh and waterproof aprons)</w:t>
            </w:r>
          </w:p>
          <w:p w:rsidR="00000000" w:rsidP="00A2474E">
            <w:pPr>
              <w:pStyle w:val="ListBullet"/>
              <w:rPr>
                <w:lang w:val="en-NZ"/>
              </w:rPr>
            </w:pPr>
            <w:r w:rsidRPr="00A2474E">
              <w:t>waterproof clothing (e.g. wet weather gear and waders).</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Culture or holding structure or system</w:t>
            </w:r>
            <w:r w:rsidRPr="00A2474E">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blowers, aerators, paddlewheels and aspirators</w:t>
            </w:r>
          </w:p>
          <w:p w:rsidR="00000000" w:rsidRPr="00A2474E" w:rsidP="00A2474E">
            <w:pPr>
              <w:pStyle w:val="ListBullet"/>
            </w:pPr>
            <w:r w:rsidRPr="00A2474E">
              <w:t>cages, pontoons, enclos</w:t>
            </w:r>
            <w:r w:rsidRPr="00A2474E">
              <w:t>ures and pens, including associated moorings, anchors, floats and markers</w:t>
            </w:r>
          </w:p>
          <w:p w:rsidR="00000000" w:rsidRPr="00A2474E" w:rsidP="00A2474E">
            <w:pPr>
              <w:pStyle w:val="ListBullet"/>
            </w:pPr>
            <w:r w:rsidRPr="00A2474E">
              <w:t>dams, ponds and pools</w:t>
            </w:r>
          </w:p>
          <w:p w:rsidR="00000000" w:rsidRPr="00A2474E" w:rsidP="00A2474E">
            <w:pPr>
              <w:pStyle w:val="ListBullet"/>
            </w:pPr>
            <w:r w:rsidRPr="00A2474E">
              <w:t>display tanks, aquaria and aquascapes</w:t>
            </w:r>
          </w:p>
          <w:p w:rsidR="00000000" w:rsidRPr="00A2474E" w:rsidP="00A2474E">
            <w:pPr>
              <w:pStyle w:val="ListBullet"/>
            </w:pPr>
            <w:r w:rsidRPr="00A2474E">
              <w:t>greenhouses, hothouses and igloos</w:t>
            </w:r>
          </w:p>
          <w:p w:rsidR="00000000" w:rsidRPr="00A2474E" w:rsidP="00A2474E">
            <w:pPr>
              <w:pStyle w:val="ListBullet"/>
            </w:pPr>
            <w:r w:rsidRPr="00A2474E">
              <w:t>grow out facilities, hatcheries and nurseries</w:t>
            </w:r>
          </w:p>
          <w:p w:rsidR="00000000" w:rsidRPr="00A2474E" w:rsidP="00A2474E">
            <w:pPr>
              <w:pStyle w:val="ListBullet"/>
            </w:pPr>
            <w:r w:rsidRPr="00A2474E">
              <w:t>harvesting swimways, canals or channels</w:t>
            </w:r>
          </w:p>
          <w:p w:rsidR="00000000" w:rsidRPr="00A2474E" w:rsidP="00A2474E">
            <w:pPr>
              <w:pStyle w:val="ListBullet"/>
            </w:pPr>
            <w:r w:rsidRPr="00A2474E">
              <w:t>li</w:t>
            </w:r>
            <w:r w:rsidRPr="00A2474E">
              <w:t>ve holding tanks, bins, cages and pens</w:t>
            </w:r>
          </w:p>
          <w:p w:rsidR="00000000" w:rsidRPr="00A2474E" w:rsidP="00A2474E">
            <w:pPr>
              <w:pStyle w:val="ListBullet"/>
            </w:pPr>
            <w:r w:rsidRPr="00A2474E">
              <w:t>longlines, posts, racks and rails, rafts, fences, socks, trays, sticks, baskets, modules, barrels, bags and panels</w:t>
            </w:r>
          </w:p>
          <w:p w:rsidR="00000000" w:rsidRPr="00A2474E" w:rsidP="00A2474E">
            <w:pPr>
              <w:pStyle w:val="ListBullet"/>
            </w:pPr>
            <w:r w:rsidRPr="00A2474E">
              <w:t xml:space="preserve">open, flow-through, closed and semi-closed systems </w:t>
            </w:r>
          </w:p>
          <w:p w:rsidR="00000000" w:rsidRPr="00A2474E" w:rsidP="00A2474E">
            <w:pPr>
              <w:pStyle w:val="ListBullet"/>
            </w:pPr>
            <w:r w:rsidRPr="00A2474E">
              <w:t>pest, predator and disease control structures</w:t>
            </w:r>
          </w:p>
          <w:p w:rsidR="00000000" w:rsidRPr="00A2474E" w:rsidP="00A2474E">
            <w:pPr>
              <w:pStyle w:val="ListBullet"/>
            </w:pPr>
            <w:r w:rsidRPr="00A2474E">
              <w:t>purging or depurating systems</w:t>
            </w:r>
          </w:p>
          <w:p w:rsidR="00000000" w:rsidRPr="00A2474E" w:rsidP="00A2474E">
            <w:pPr>
              <w:pStyle w:val="ListBullet"/>
            </w:pPr>
            <w:r w:rsidRPr="00A2474E">
              <w:t>tanks, raceways and recirculating systems</w:t>
            </w:r>
          </w:p>
          <w:p w:rsidR="00000000" w:rsidP="00A2474E">
            <w:pPr>
              <w:pStyle w:val="ListBullet"/>
              <w:rPr>
                <w:lang w:val="en-NZ"/>
              </w:rPr>
            </w:pPr>
            <w:r w:rsidRPr="00A2474E">
              <w:t>water supply and disposal or effluent systems, including pumps, pipes, canals, channels, settlement ponds and storage dams.</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Production inputs and culture or holding activities</w:t>
            </w:r>
            <w:r w:rsidRPr="00A2474E">
              <w:t xml:space="preserve"> may inc</w:t>
            </w:r>
            <w:r w:rsidRPr="00A2474E">
              <w:t>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chemicals and treatments</w:t>
            </w:r>
          </w:p>
          <w:p w:rsidR="00000000" w:rsidRPr="00A2474E" w:rsidP="00A2474E">
            <w:pPr>
              <w:pStyle w:val="ListBullet"/>
            </w:pPr>
            <w:r w:rsidRPr="00A2474E">
              <w:t>food and nutriments</w:t>
            </w:r>
          </w:p>
          <w:p w:rsidR="00000000" w:rsidRPr="00A2474E" w:rsidP="00A2474E">
            <w:pPr>
              <w:pStyle w:val="ListBullet"/>
            </w:pPr>
            <w:r w:rsidRPr="00A2474E">
              <w:t>handling</w:t>
            </w:r>
          </w:p>
          <w:p w:rsidR="00000000" w:rsidRPr="00A2474E" w:rsidP="00A2474E">
            <w:pPr>
              <w:pStyle w:val="ListBullet"/>
            </w:pPr>
            <w:r w:rsidRPr="00A2474E">
              <w:t>harvesting</w:t>
            </w:r>
          </w:p>
          <w:p w:rsidR="00000000" w:rsidRPr="00A2474E" w:rsidP="00A2474E">
            <w:pPr>
              <w:pStyle w:val="ListBullet"/>
            </w:pPr>
            <w:r w:rsidRPr="00A2474E">
              <w:t>pest, predator and disease control</w:t>
            </w:r>
          </w:p>
          <w:p w:rsidR="00000000" w:rsidRPr="00A2474E" w:rsidP="00A2474E">
            <w:pPr>
              <w:pStyle w:val="ListBullet"/>
            </w:pPr>
            <w:r w:rsidRPr="00A2474E">
              <w:t>post-harvest</w:t>
            </w:r>
          </w:p>
          <w:p w:rsidR="00000000" w:rsidRPr="00A2474E" w:rsidP="00A2474E">
            <w:pPr>
              <w:pStyle w:val="ListBullet"/>
            </w:pPr>
            <w:r w:rsidRPr="00A2474E">
              <w:t>stocking</w:t>
            </w:r>
          </w:p>
          <w:p w:rsidR="00000000" w:rsidRPr="00A2474E" w:rsidP="00A2474E">
            <w:pPr>
              <w:pStyle w:val="ListBullet"/>
            </w:pPr>
            <w:r w:rsidRPr="00A2474E">
              <w:t>transport</w:t>
            </w:r>
          </w:p>
          <w:p w:rsidR="00000000" w:rsidP="00A2474E">
            <w:pPr>
              <w:pStyle w:val="ListBullet"/>
              <w:rPr>
                <w:lang w:val="en-NZ"/>
              </w:rPr>
            </w:pPr>
            <w:r w:rsidRPr="00A2474E">
              <w:t>water supply and disposal.</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BoldandItalics"/>
              </w:rPr>
              <w:t>Construction materials</w:t>
            </w:r>
            <w:r w:rsidRPr="00A2474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brick</w:t>
            </w:r>
          </w:p>
          <w:p w:rsidR="00000000" w:rsidRPr="00A2474E" w:rsidP="00A2474E">
            <w:pPr>
              <w:pStyle w:val="ListBullet"/>
            </w:pPr>
            <w:r w:rsidRPr="00A2474E">
              <w:t>concrete</w:t>
            </w:r>
          </w:p>
          <w:p w:rsidR="00000000" w:rsidRPr="00A2474E" w:rsidP="00A2474E">
            <w:pPr>
              <w:pStyle w:val="ListBullet"/>
            </w:pPr>
            <w:r w:rsidRPr="00A2474E">
              <w:t>earth</w:t>
            </w:r>
          </w:p>
          <w:p w:rsidR="00000000" w:rsidRPr="00A2474E" w:rsidP="00A2474E">
            <w:pPr>
              <w:pStyle w:val="ListBullet"/>
            </w:pPr>
            <w:r w:rsidRPr="00A2474E">
              <w:t>fibreglass</w:t>
            </w:r>
          </w:p>
          <w:p w:rsidR="00000000" w:rsidRPr="00A2474E" w:rsidP="00A2474E">
            <w:pPr>
              <w:pStyle w:val="ListBullet"/>
            </w:pPr>
            <w:r w:rsidRPr="00A2474E">
              <w:t>glass</w:t>
            </w:r>
          </w:p>
          <w:p w:rsidR="00000000" w:rsidRPr="00A2474E" w:rsidP="00A2474E">
            <w:pPr>
              <w:pStyle w:val="ListBullet"/>
            </w:pPr>
            <w:r w:rsidRPr="00A2474E">
              <w:t>nylon</w:t>
            </w:r>
          </w:p>
          <w:p w:rsidR="00000000" w:rsidRPr="00A2474E" w:rsidP="00A2474E">
            <w:pPr>
              <w:pStyle w:val="ListBullet"/>
            </w:pPr>
            <w:r w:rsidRPr="00A2474E">
              <w:t>PVC, polyethylene and other plastics</w:t>
            </w:r>
          </w:p>
          <w:p w:rsidR="00000000" w:rsidRPr="00A2474E" w:rsidP="00A2474E">
            <w:pPr>
              <w:pStyle w:val="ListBullet"/>
            </w:pPr>
            <w:r w:rsidRPr="00A2474E">
              <w:t>stainless steel and treated metals</w:t>
            </w:r>
          </w:p>
          <w:p w:rsidR="00000000" w:rsidP="00A2474E">
            <w:pPr>
              <w:pStyle w:val="ListBullet"/>
              <w:rPr>
                <w:lang w:val="en-NZ"/>
              </w:rPr>
            </w:pPr>
            <w:r w:rsidRPr="00A2474E">
              <w:t>wood.</w:t>
            </w:r>
          </w:p>
        </w:tc>
      </w:tr>
      <w:tr w:rsidTr="00FE3E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t xml:space="preserve">(Design) </w:t>
            </w:r>
            <w:r w:rsidRPr="00A2474E">
              <w:rPr>
                <w:rStyle w:val="BoldandItalics"/>
              </w:rPr>
              <w:t>decisions</w:t>
            </w:r>
            <w:r w:rsidRPr="00A2474E">
              <w:t xml:space="preserve"> may be influenced by:</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ListBullet"/>
            </w:pPr>
            <w:r w:rsidRPr="00A2474E">
              <w:t>budget</w:t>
            </w:r>
          </w:p>
          <w:p w:rsidR="00000000" w:rsidRPr="00A2474E" w:rsidP="00A2474E">
            <w:pPr>
              <w:pStyle w:val="ListBullet"/>
            </w:pPr>
            <w:r w:rsidRPr="00A2474E">
              <w:t>environmental constraints</w:t>
            </w:r>
          </w:p>
          <w:p w:rsidR="00000000" w:rsidRPr="00A2474E" w:rsidP="00A2474E">
            <w:pPr>
              <w:pStyle w:val="ListBullet"/>
            </w:pPr>
            <w:r w:rsidRPr="00A2474E">
              <w:t>owner preferences</w:t>
            </w:r>
          </w:p>
          <w:p w:rsidR="00000000" w:rsidRPr="00A2474E" w:rsidP="00A2474E">
            <w:pPr>
              <w:pStyle w:val="ListBullet"/>
            </w:pPr>
            <w:r w:rsidRPr="00A2474E">
              <w:t>product availability</w:t>
            </w:r>
          </w:p>
          <w:p w:rsidR="00000000" w:rsidRPr="00A2474E" w:rsidP="00A2474E">
            <w:pPr>
              <w:pStyle w:val="ListBullet"/>
            </w:pPr>
            <w:r w:rsidRPr="00A2474E">
              <w:t>quoting procedures.</w:t>
            </w:r>
          </w:p>
        </w:tc>
      </w:tr>
    </w:tbl>
    <w:p w:rsidR="00FE3EC9" w:rsidP="00A2474E">
      <w:pPr>
        <w:pStyle w:val="BodyText"/>
      </w:pPr>
    </w:p>
    <w:p w:rsidR="00FE3EC9" w:rsidP="00A2474E">
      <w:pPr>
        <w:pStyle w:val="BodyText"/>
      </w:pPr>
    </w:p>
    <w:p w:rsidR="00000000" w:rsidRPr="00A2474E" w:rsidP="00A2474E">
      <w:pPr>
        <w:pStyle w:val="Heading1"/>
      </w:pPr>
      <w:bookmarkStart w:id="12" w:name="O_331452"/>
      <w:bookmarkEnd w:id="12"/>
      <w:r w:rsidRPr="00A2474E">
        <w:t>Unit Sector(s)</w:t>
      </w:r>
    </w:p>
    <w:tbl>
      <w:tblPr>
        <w:tblW w:w="0" w:type="auto"/>
        <w:tblLayout w:type="fixed"/>
        <w:tblCellMar>
          <w:left w:w="62" w:type="dxa"/>
          <w:right w:w="62" w:type="dxa"/>
        </w:tblCellMar>
        <w:tblLook w:val="0000"/>
      </w:tblPr>
      <w:tblGrid>
        <w:gridCol w:w="2602"/>
        <w:gridCol w:w="5920"/>
      </w:tblGrid>
      <w:tr w:rsidTr="00FE3EC9">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r w:rsidRPr="00A2474E">
              <w:t>Aquaculture operations</w:t>
            </w:r>
          </w:p>
        </w:tc>
      </w:tr>
    </w:tbl>
    <w:p w:rsidR="00FE3EC9" w:rsidP="00A2474E">
      <w:pPr>
        <w:pStyle w:val="BodyText"/>
      </w:pPr>
    </w:p>
    <w:p w:rsidR="00FE3EC9" w:rsidP="00A2474E">
      <w:pPr>
        <w:pStyle w:val="BodyText"/>
      </w:pPr>
    </w:p>
    <w:p w:rsidR="00000000" w:rsidRPr="00A2474E" w:rsidP="00A2474E">
      <w:pPr>
        <w:pStyle w:val="Heading1"/>
      </w:pPr>
      <w:bookmarkStart w:id="13" w:name="O_331464"/>
      <w:bookmarkEnd w:id="13"/>
      <w:r w:rsidRPr="00A2474E">
        <w:t>Co-requisite units</w:t>
      </w:r>
    </w:p>
    <w:tbl>
      <w:tblPr>
        <w:tblW w:w="0" w:type="auto"/>
        <w:tblLayout w:type="fixed"/>
        <w:tblCellMar>
          <w:left w:w="62" w:type="dxa"/>
          <w:right w:w="62" w:type="dxa"/>
        </w:tblCellMar>
        <w:tblLook w:val="0000"/>
      </w:tblPr>
      <w:tblGrid>
        <w:gridCol w:w="2641"/>
        <w:gridCol w:w="1322"/>
        <w:gridCol w:w="4559"/>
      </w:tblGrid>
      <w:tr w:rsidTr="00FE3E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p>
        </w:tc>
      </w:tr>
      <w:tr w:rsidTr="00FE3E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p>
        </w:tc>
      </w:tr>
      <w:tr w:rsidTr="00FE3E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p>
        </w:tc>
      </w:tr>
    </w:tbl>
    <w:p w:rsidR="00FE3EC9" w:rsidP="00A2474E">
      <w:pPr>
        <w:pStyle w:val="BodyText"/>
      </w:pPr>
    </w:p>
    <w:p w:rsidR="00FE3EC9" w:rsidP="00A2474E">
      <w:pPr>
        <w:pStyle w:val="BodyText"/>
      </w:pPr>
    </w:p>
    <w:p w:rsidR="00000000" w:rsidRPr="00A2474E" w:rsidP="00A2474E">
      <w:pPr>
        <w:pStyle w:val="Heading1"/>
      </w:pPr>
      <w:bookmarkStart w:id="14" w:name="O_331465"/>
      <w:bookmarkEnd w:id="14"/>
      <w:r w:rsidRPr="00A2474E">
        <w:t>Competency field</w:t>
      </w:r>
    </w:p>
    <w:tbl>
      <w:tblPr>
        <w:tblW w:w="0" w:type="auto"/>
        <w:tblLayout w:type="fixed"/>
        <w:tblCellMar>
          <w:left w:w="62" w:type="dxa"/>
          <w:right w:w="62" w:type="dxa"/>
        </w:tblCellMar>
        <w:tblLook w:val="0000"/>
      </w:tblPr>
      <w:tblGrid>
        <w:gridCol w:w="2784"/>
        <w:gridCol w:w="5738"/>
      </w:tblGrid>
      <w:tr w:rsidTr="00FE3E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4E">
            <w:pPr>
              <w:pStyle w:val="BodyText"/>
              <w:rPr>
                <w:lang w:val="en-NZ"/>
              </w:rPr>
            </w:pPr>
            <w:r w:rsidRPr="00A247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4E" w:rsidP="00A2474E">
            <w:pPr>
              <w:pStyle w:val="BodyText"/>
            </w:pPr>
          </w:p>
        </w:tc>
      </w:tr>
    </w:tbl>
    <w:p w:rsidR="00FE3EC9" w:rsidP="00A2474E">
      <w:pPr>
        <w:pStyle w:val="BodyText"/>
      </w:pPr>
    </w:p>
    <w:p w:rsidR="00FE3EC9" w:rsidP="00A2474E">
      <w:pPr>
        <w:pStyle w:val="BodyText"/>
      </w:pPr>
    </w:p>
    <w:p w:rsidR="00000000" w:rsidRPr="00A2474E" w:rsidP="00A2474E"/>
    <w:sectPr w:rsidSect="00A24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EC9" w:rsidP="00FE3E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C9" w:rsidP="00A247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E3EC9" w:rsidP="00A24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3EC9" w:rsidP="00A24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E" w:rsidRPr="00FE3EC9" w:rsidP="00FE3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C9" w:rsidRPr="002D2AF8" w:rsidP="00A2474E">
    <w:pPr>
      <w:pStyle w:val="Header"/>
      <w:framePr w:wrap="around"/>
    </w:pPr>
    <w:r>
      <w:fldChar w:fldCharType="begin"/>
    </w:r>
    <w:r>
      <w:instrText xml:space="preserve"> TITLE   \* MERGEFORMAT </w:instrText>
    </w:r>
    <w:r>
      <w:fldChar w:fldCharType="separate"/>
    </w:r>
    <w:r>
      <w:t>SFIAQUA508C Plan and design stock culture or holding systems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E3EC9" w:rsidP="00A24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61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9CE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2B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74E"/>
    <w:pPr>
      <w:spacing w:before="360" w:after="60"/>
      <w:outlineLvl w:val="0"/>
    </w:pPr>
    <w:rPr>
      <w:sz w:val="32"/>
    </w:rPr>
  </w:style>
  <w:style w:type="paragraph" w:styleId="Heading2">
    <w:name w:val="heading 2"/>
    <w:basedOn w:val="HeadingBase"/>
    <w:next w:val="BodyText"/>
    <w:link w:val="Heading2Char"/>
    <w:qFormat/>
    <w:rsid w:val="00A2474E"/>
    <w:pPr>
      <w:keepLines/>
      <w:spacing w:before="240" w:after="120"/>
      <w:outlineLvl w:val="1"/>
    </w:pPr>
    <w:rPr>
      <w:sz w:val="28"/>
      <w:szCs w:val="40"/>
    </w:rPr>
  </w:style>
  <w:style w:type="paragraph" w:styleId="Heading3">
    <w:name w:val="heading 3"/>
    <w:basedOn w:val="HeadingBase"/>
    <w:next w:val="BodyText"/>
    <w:link w:val="Heading3Char"/>
    <w:qFormat/>
    <w:rsid w:val="00A2474E"/>
    <w:pPr>
      <w:spacing w:before="180" w:after="120"/>
      <w:outlineLvl w:val="2"/>
    </w:pPr>
    <w:rPr>
      <w:spacing w:val="-10"/>
      <w:kern w:val="32"/>
    </w:rPr>
  </w:style>
  <w:style w:type="paragraph" w:styleId="Heading4">
    <w:name w:val="heading 4"/>
    <w:basedOn w:val="HeadingBase"/>
    <w:next w:val="BodyText"/>
    <w:link w:val="Heading4Char"/>
    <w:qFormat/>
    <w:rsid w:val="00A2474E"/>
    <w:pPr>
      <w:spacing w:before="160" w:after="120"/>
      <w:outlineLvl w:val="3"/>
    </w:pPr>
    <w:rPr>
      <w:sz w:val="22"/>
    </w:rPr>
  </w:style>
  <w:style w:type="paragraph" w:styleId="Heading5">
    <w:name w:val="heading 5"/>
    <w:basedOn w:val="HeadingBase"/>
    <w:next w:val="Normal"/>
    <w:link w:val="Heading5Char"/>
    <w:qFormat/>
    <w:rsid w:val="00A2474E"/>
    <w:pPr>
      <w:spacing w:before="80"/>
      <w:outlineLvl w:val="4"/>
    </w:pPr>
    <w:rPr>
      <w:color w:val="918585"/>
      <w:sz w:val="20"/>
    </w:rPr>
  </w:style>
  <w:style w:type="paragraph" w:styleId="Heading6">
    <w:name w:val="heading 6"/>
    <w:basedOn w:val="HeadingBase"/>
    <w:next w:val="Normal"/>
    <w:link w:val="Heading6Char"/>
    <w:qFormat/>
    <w:rsid w:val="00A2474E"/>
    <w:pPr>
      <w:spacing w:before="60"/>
      <w:outlineLvl w:val="5"/>
    </w:pPr>
    <w:rPr>
      <w:color w:val="918585"/>
      <w:sz w:val="20"/>
    </w:rPr>
  </w:style>
  <w:style w:type="paragraph" w:styleId="Heading7">
    <w:name w:val="heading 7"/>
    <w:basedOn w:val="Normal"/>
    <w:next w:val="Normal"/>
    <w:link w:val="Heading7Char"/>
    <w:qFormat/>
    <w:rsid w:val="00A2474E"/>
    <w:pPr>
      <w:ind w:left="720"/>
      <w:outlineLvl w:val="6"/>
    </w:pPr>
    <w:rPr>
      <w:i/>
    </w:rPr>
  </w:style>
  <w:style w:type="paragraph" w:styleId="Heading8">
    <w:name w:val="heading 8"/>
    <w:basedOn w:val="Normal"/>
    <w:next w:val="Normal"/>
    <w:link w:val="Heading8Char"/>
    <w:qFormat/>
    <w:rsid w:val="00A2474E"/>
    <w:pPr>
      <w:ind w:left="720"/>
      <w:outlineLvl w:val="7"/>
    </w:pPr>
    <w:rPr>
      <w:i/>
    </w:rPr>
  </w:style>
  <w:style w:type="paragraph" w:styleId="Heading9">
    <w:name w:val="heading 9"/>
    <w:basedOn w:val="Normal"/>
    <w:next w:val="Normal"/>
    <w:link w:val="Heading9Char"/>
    <w:qFormat/>
    <w:rsid w:val="00A2474E"/>
    <w:pPr>
      <w:ind w:left="720"/>
      <w:outlineLvl w:val="8"/>
    </w:pPr>
    <w:rPr>
      <w:i/>
    </w:rPr>
  </w:style>
  <w:style w:type="character" w:default="1" w:styleId="DefaultParagraphFont">
    <w:name w:val="Default Paragraph Font"/>
    <w:uiPriority w:val="1"/>
    <w:unhideWhenUsed/>
    <w:rsid w:val="00A24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74E"/>
  </w:style>
  <w:style w:type="character" w:customStyle="1" w:styleId="Heading1Char">
    <w:name w:val="Heading 1 Char"/>
    <w:basedOn w:val="DefaultParagraphFont"/>
    <w:link w:val="Heading1"/>
    <w:rsid w:val="00A2474E"/>
    <w:rPr>
      <w:rFonts w:ascii="Times New Roman" w:eastAsia="Times New Roman" w:hAnsi="Times New Roman" w:cs="Times New Roman"/>
      <w:b/>
      <w:sz w:val="32"/>
      <w:szCs w:val="20"/>
      <w:lang w:eastAsia="en-US"/>
    </w:rPr>
  </w:style>
  <w:style w:type="paragraph" w:styleId="BodyText">
    <w:name w:val="Body Text"/>
    <w:basedOn w:val="Normal"/>
    <w:link w:val="BodyTextChar"/>
    <w:rsid w:val="00A24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74E"/>
    <w:rPr>
      <w:rFonts w:ascii="Times New Roman" w:eastAsia="Times New Roman" w:hAnsi="Times New Roman" w:cs="Times New Roman"/>
      <w:sz w:val="24"/>
      <w:lang w:eastAsia="en-US"/>
    </w:rPr>
  </w:style>
  <w:style w:type="paragraph" w:styleId="Footer">
    <w:name w:val="footer"/>
    <w:basedOn w:val="Normal"/>
    <w:link w:val="FooterChar"/>
    <w:rsid w:val="00A24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74E"/>
    <w:rPr>
      <w:rFonts w:ascii="Times New Roman" w:eastAsia="Times New Roman" w:hAnsi="Times New Roman" w:cs="Times New Roman"/>
      <w:sz w:val="16"/>
      <w:lang w:eastAsia="en-US"/>
    </w:rPr>
  </w:style>
  <w:style w:type="paragraph" w:styleId="List">
    <w:name w:val="List"/>
    <w:basedOn w:val="BodyText"/>
    <w:next w:val="BodyText"/>
    <w:rsid w:val="00A2474E"/>
    <w:pPr>
      <w:tabs>
        <w:tab w:val="left" w:pos="340"/>
      </w:tabs>
      <w:spacing w:before="60" w:after="60"/>
      <w:ind w:left="340" w:hanging="340"/>
    </w:pPr>
  </w:style>
  <w:style w:type="paragraph" w:styleId="ListBullet">
    <w:name w:val="List Bullet"/>
    <w:basedOn w:val="List"/>
    <w:rsid w:val="00A2474E"/>
    <w:pPr>
      <w:numPr>
        <w:numId w:val="13"/>
      </w:numPr>
      <w:tabs>
        <w:tab w:val="clear" w:pos="340"/>
      </w:tabs>
      <w:spacing w:before="40" w:after="40"/>
    </w:pPr>
  </w:style>
  <w:style w:type="character" w:customStyle="1" w:styleId="SpecialBold">
    <w:name w:val="Special Bold"/>
    <w:basedOn w:val="DefaultParagraphFont"/>
    <w:rsid w:val="00A2474E"/>
    <w:rPr>
      <w:b/>
      <w:spacing w:val="0"/>
    </w:rPr>
  </w:style>
  <w:style w:type="paragraph" w:styleId="ListBullet2">
    <w:name w:val="List Bullet 2"/>
    <w:basedOn w:val="List2"/>
    <w:rsid w:val="00A2474E"/>
    <w:pPr>
      <w:numPr>
        <w:numId w:val="14"/>
      </w:numPr>
      <w:tabs>
        <w:tab w:val="clear" w:pos="680"/>
      </w:tabs>
    </w:pPr>
  </w:style>
  <w:style w:type="paragraph" w:customStyle="1" w:styleId="SuperHeading">
    <w:name w:val="SuperHeading"/>
    <w:basedOn w:val="Normal"/>
    <w:rsid w:val="00A2474E"/>
    <w:pPr>
      <w:spacing w:before="240" w:after="120"/>
      <w:outlineLvl w:val="0"/>
    </w:pPr>
    <w:rPr>
      <w:rFonts w:ascii="Times New Roman" w:hAnsi="Times New Roman"/>
      <w:b/>
      <w:sz w:val="28"/>
    </w:rPr>
  </w:style>
  <w:style w:type="paragraph" w:customStyle="1" w:styleId="AllowPageBreak">
    <w:name w:val="AllowPageBreak"/>
    <w:rsid w:val="00A247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474E"/>
    <w:pPr>
      <w:tabs>
        <w:tab w:val="left" w:pos="680"/>
      </w:tabs>
      <w:spacing w:before="60" w:after="60"/>
      <w:ind w:left="680" w:hanging="340"/>
    </w:pPr>
  </w:style>
  <w:style w:type="character" w:customStyle="1" w:styleId="BoldandItalics">
    <w:name w:val="Bold and Italics"/>
    <w:qFormat/>
    <w:rsid w:val="00A2474E"/>
    <w:rPr>
      <w:b/>
      <w:i/>
      <w:u w:val="none"/>
    </w:rPr>
  </w:style>
  <w:style w:type="character" w:customStyle="1" w:styleId="Heading2Char">
    <w:name w:val="Heading 2 Char"/>
    <w:basedOn w:val="DefaultParagraphFont"/>
    <w:link w:val="Heading2"/>
    <w:rsid w:val="00A24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74E"/>
    <w:rPr>
      <w:rFonts w:ascii="Courier New" w:eastAsia="Times New Roman" w:hAnsi="Courier New" w:cs="Times New Roman"/>
      <w:i/>
      <w:szCs w:val="20"/>
      <w:lang w:eastAsia="en-US"/>
    </w:rPr>
  </w:style>
  <w:style w:type="paragraph" w:customStyle="1" w:styleId="HeadingBase">
    <w:name w:val="Heading Base"/>
    <w:rsid w:val="00A24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74E"/>
    <w:pPr>
      <w:tabs>
        <w:tab w:val="right" w:leader="dot" w:pos="9072"/>
      </w:tabs>
      <w:ind w:left="567"/>
    </w:pPr>
    <w:rPr>
      <w:szCs w:val="22"/>
    </w:rPr>
  </w:style>
  <w:style w:type="paragraph" w:customStyle="1" w:styleId="TOCBase">
    <w:name w:val="TOC Base"/>
    <w:rsid w:val="00A24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74E"/>
    <w:pPr>
      <w:tabs>
        <w:tab w:val="right" w:leader="dot" w:pos="9072"/>
      </w:tabs>
      <w:spacing w:before="40" w:after="40"/>
      <w:ind w:left="284"/>
    </w:pPr>
    <w:rPr>
      <w:rFonts w:ascii="Times New Roman" w:hAnsi="Times New Roman"/>
    </w:rPr>
  </w:style>
  <w:style w:type="paragraph" w:styleId="TOC1">
    <w:name w:val="toc 1"/>
    <w:basedOn w:val="TOCBase"/>
    <w:next w:val="Normal"/>
    <w:rsid w:val="00A24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474E"/>
    <w:pPr>
      <w:spacing w:before="5040"/>
      <w:jc w:val="center"/>
    </w:pPr>
    <w:rPr>
      <w:sz w:val="48"/>
      <w:szCs w:val="72"/>
      <w:lang w:val="en-US"/>
    </w:rPr>
  </w:style>
  <w:style w:type="character" w:customStyle="1" w:styleId="TitleChar">
    <w:name w:val="Title Char"/>
    <w:basedOn w:val="DefaultParagraphFont"/>
    <w:link w:val="Title"/>
    <w:rsid w:val="00A24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74E"/>
    <w:pPr>
      <w:tabs>
        <w:tab w:val="left" w:pos="3600"/>
        <w:tab w:val="left" w:pos="3958"/>
      </w:tabs>
    </w:pPr>
  </w:style>
  <w:style w:type="paragraph" w:customStyle="1" w:styleId="Note">
    <w:name w:val="Note"/>
    <w:basedOn w:val="BodyText"/>
    <w:rsid w:val="00A24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74E"/>
    <w:pPr>
      <w:framePr w:wrap="auto" w:hAnchor="text" w:y="6049"/>
    </w:pPr>
    <w:rPr>
      <w:color w:val="000000"/>
      <w:sz w:val="40"/>
    </w:rPr>
  </w:style>
  <w:style w:type="paragraph" w:customStyle="1" w:styleId="TOCTitle">
    <w:name w:val="TOCTitle"/>
    <w:basedOn w:val="Heading1"/>
    <w:rsid w:val="00A2474E"/>
    <w:pPr>
      <w:spacing w:after="240"/>
      <w:jc w:val="center"/>
      <w:outlineLvl w:val="9"/>
    </w:pPr>
    <w:rPr>
      <w:caps/>
    </w:rPr>
  </w:style>
  <w:style w:type="paragraph" w:customStyle="1" w:styleId="Version">
    <w:name w:val="Version"/>
    <w:rsid w:val="00A24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74E"/>
    <w:pPr>
      <w:keepNext w:val="0"/>
      <w:tabs>
        <w:tab w:val="right" w:pos="4176"/>
      </w:tabs>
      <w:ind w:left="198" w:hanging="198"/>
    </w:pPr>
    <w:rPr>
      <w:rFonts w:ascii="Garamond" w:hAnsi="Garamond"/>
    </w:rPr>
  </w:style>
  <w:style w:type="paragraph" w:styleId="IndexHeading">
    <w:name w:val="index heading"/>
    <w:basedOn w:val="Normal"/>
    <w:next w:val="Index1"/>
    <w:semiHidden/>
    <w:rsid w:val="00A2474E"/>
    <w:pPr>
      <w:spacing w:before="120" w:after="120"/>
    </w:pPr>
    <w:rPr>
      <w:rFonts w:ascii="Arial" w:hAnsi="Arial"/>
      <w:b/>
      <w:color w:val="918585"/>
      <w:sz w:val="24"/>
    </w:rPr>
  </w:style>
  <w:style w:type="paragraph" w:styleId="Header">
    <w:name w:val="header"/>
    <w:basedOn w:val="Normal"/>
    <w:link w:val="HeaderChar"/>
    <w:rsid w:val="00A24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74E"/>
    <w:rPr>
      <w:rFonts w:ascii="Times New Roman" w:eastAsia="Times New Roman" w:hAnsi="Times New Roman" w:cs="Times New Roman"/>
      <w:sz w:val="16"/>
      <w:szCs w:val="20"/>
      <w:lang w:val="en-GB" w:eastAsia="en-US"/>
    </w:rPr>
  </w:style>
  <w:style w:type="paragraph" w:customStyle="1" w:styleId="Chapter">
    <w:name w:val="Chapter"/>
    <w:basedOn w:val="Normal"/>
    <w:rsid w:val="00A2474E"/>
    <w:pPr>
      <w:spacing w:before="240"/>
    </w:pPr>
    <w:rPr>
      <w:rFonts w:ascii="Times New Roman" w:hAnsi="Times New Roman"/>
      <w:smallCaps/>
      <w:spacing w:val="80"/>
      <w:sz w:val="28"/>
    </w:rPr>
  </w:style>
  <w:style w:type="paragraph" w:customStyle="1" w:styleId="InChapter">
    <w:name w:val="InChapter"/>
    <w:basedOn w:val="Heading3"/>
    <w:rsid w:val="00A2474E"/>
    <w:pPr>
      <w:spacing w:after="240"/>
      <w:outlineLvl w:val="9"/>
    </w:pPr>
    <w:rPr>
      <w:noProof/>
    </w:rPr>
  </w:style>
  <w:style w:type="paragraph" w:styleId="Index2">
    <w:name w:val="index 2"/>
    <w:basedOn w:val="Normal"/>
    <w:next w:val="Normal"/>
    <w:semiHidden/>
    <w:rsid w:val="00A2474E"/>
    <w:pPr>
      <w:tabs>
        <w:tab w:val="right" w:pos="4176"/>
      </w:tabs>
      <w:ind w:left="568" w:hanging="284"/>
    </w:pPr>
    <w:rPr>
      <w:rFonts w:ascii="Garamond" w:hAnsi="Garamond"/>
    </w:rPr>
  </w:style>
  <w:style w:type="paragraph" w:customStyle="1" w:styleId="Byline">
    <w:name w:val="Byline"/>
    <w:rsid w:val="00A24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74E"/>
    <w:pPr>
      <w:tabs>
        <w:tab w:val="clear" w:pos="3600"/>
        <w:tab w:val="clear" w:pos="3958"/>
      </w:tabs>
      <w:jc w:val="right"/>
    </w:pPr>
  </w:style>
  <w:style w:type="character" w:styleId="Emphasis">
    <w:name w:val="Emphasis"/>
    <w:basedOn w:val="DefaultParagraphFont"/>
    <w:qFormat/>
    <w:rsid w:val="00A2474E"/>
    <w:rPr>
      <w:i/>
    </w:rPr>
  </w:style>
  <w:style w:type="paragraph" w:styleId="Caption">
    <w:name w:val="caption"/>
    <w:basedOn w:val="BodyText"/>
    <w:next w:val="Normal"/>
    <w:qFormat/>
    <w:rsid w:val="00A2474E"/>
    <w:pPr>
      <w:framePr w:w="2268" w:hSpace="181" w:vSpace="181" w:wrap="around" w:vAnchor="text" w:hAnchor="page" w:x="1135" w:y="285" w:anchorLock="1"/>
    </w:pPr>
    <w:rPr>
      <w:i/>
    </w:rPr>
  </w:style>
  <w:style w:type="paragraph" w:customStyle="1" w:styleId="MiniTOCTitle">
    <w:name w:val="MiniTOCTitle"/>
    <w:basedOn w:val="Heading4"/>
    <w:rsid w:val="00A2474E"/>
    <w:pPr>
      <w:spacing w:before="240"/>
      <w:outlineLvl w:val="9"/>
    </w:pPr>
    <w:rPr>
      <w:noProof/>
      <w:sz w:val="24"/>
    </w:rPr>
  </w:style>
  <w:style w:type="paragraph" w:customStyle="1" w:styleId="MiniTOCItem">
    <w:name w:val="MiniTOCItem"/>
    <w:basedOn w:val="ListBullet"/>
    <w:rsid w:val="00A2474E"/>
    <w:pPr>
      <w:numPr>
        <w:numId w:val="0"/>
      </w:numPr>
      <w:tabs>
        <w:tab w:val="right" w:leader="dot" w:pos="6521"/>
      </w:tabs>
      <w:spacing w:before="0" w:after="0"/>
    </w:pPr>
  </w:style>
  <w:style w:type="paragraph" w:customStyle="1" w:styleId="TOFTitle">
    <w:name w:val="TOFTitle"/>
    <w:basedOn w:val="TOCTitle"/>
    <w:rsid w:val="00A2474E"/>
  </w:style>
  <w:style w:type="paragraph" w:styleId="TableofFigures">
    <w:name w:val="table of figures"/>
    <w:basedOn w:val="Normal"/>
    <w:next w:val="Normal"/>
    <w:semiHidden/>
    <w:rsid w:val="00A2474E"/>
    <w:pPr>
      <w:tabs>
        <w:tab w:val="right" w:leader="dot" w:pos="9072"/>
      </w:tabs>
      <w:ind w:left="970" w:hanging="403"/>
    </w:pPr>
    <w:rPr>
      <w:rFonts w:ascii="Times New Roman" w:hAnsi="Times New Roman"/>
      <w:b/>
    </w:rPr>
  </w:style>
  <w:style w:type="paragraph" w:styleId="ListNumber">
    <w:name w:val="List Number"/>
    <w:basedOn w:val="List"/>
    <w:rsid w:val="00A2474E"/>
    <w:pPr>
      <w:numPr>
        <w:numId w:val="11"/>
      </w:numPr>
    </w:pPr>
  </w:style>
  <w:style w:type="character" w:customStyle="1" w:styleId="WingdingSymbols">
    <w:name w:val="Wingding Symbols"/>
    <w:rsid w:val="00A2474E"/>
    <w:rPr>
      <w:rFonts w:ascii="Wingdings" w:hAnsi="Wingdings"/>
    </w:rPr>
  </w:style>
  <w:style w:type="paragraph" w:customStyle="1" w:styleId="TableHeading">
    <w:name w:val="Table Heading"/>
    <w:basedOn w:val="HeadingBase"/>
    <w:rsid w:val="00A2474E"/>
    <w:pPr>
      <w:keepLines/>
      <w:pBdr>
        <w:bottom w:val="single" w:sz="6" w:space="1" w:color="918585"/>
      </w:pBdr>
      <w:spacing w:before="240"/>
    </w:pPr>
  </w:style>
  <w:style w:type="character" w:customStyle="1" w:styleId="HotSpot">
    <w:name w:val="HotSpot"/>
    <w:rsid w:val="00A2474E"/>
    <w:rPr>
      <w:color w:val="0033CC"/>
      <w:u w:val="none"/>
    </w:rPr>
  </w:style>
  <w:style w:type="paragraph" w:customStyle="1" w:styleId="BodyTextRight">
    <w:name w:val="Body Text Right"/>
    <w:basedOn w:val="BodyText"/>
    <w:rsid w:val="00A2474E"/>
    <w:pPr>
      <w:spacing w:before="0" w:after="0"/>
      <w:jc w:val="right"/>
    </w:pPr>
  </w:style>
  <w:style w:type="paragraph" w:styleId="Index3">
    <w:name w:val="index 3"/>
    <w:basedOn w:val="ListNumber2"/>
    <w:next w:val="Normal"/>
    <w:semiHidden/>
    <w:rsid w:val="00A2474E"/>
    <w:pPr>
      <w:numPr>
        <w:numId w:val="0"/>
      </w:numPr>
      <w:tabs>
        <w:tab w:val="right" w:leader="dot" w:pos="4176"/>
      </w:tabs>
    </w:pPr>
  </w:style>
  <w:style w:type="paragraph" w:styleId="ListNumber2">
    <w:name w:val="List Number 2"/>
    <w:basedOn w:val="List2"/>
    <w:rsid w:val="00A2474E"/>
    <w:pPr>
      <w:numPr>
        <w:numId w:val="10"/>
      </w:numPr>
      <w:tabs>
        <w:tab w:val="clear" w:pos="1060"/>
      </w:tabs>
    </w:pPr>
  </w:style>
  <w:style w:type="paragraph" w:customStyle="1" w:styleId="MarginNote">
    <w:name w:val="Margin Note"/>
    <w:basedOn w:val="BodyText"/>
    <w:rsid w:val="00A24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74E"/>
    <w:rPr>
      <w:sz w:val="32"/>
    </w:rPr>
  </w:style>
  <w:style w:type="paragraph" w:customStyle="1" w:styleId="HeadingProcedure">
    <w:name w:val="Heading Procedure"/>
    <w:basedOn w:val="HeadingBase"/>
    <w:next w:val="Normal"/>
    <w:rsid w:val="00A2474E"/>
    <w:pPr>
      <w:tabs>
        <w:tab w:val="left" w:pos="0"/>
      </w:tabs>
      <w:spacing w:before="120" w:after="60"/>
    </w:pPr>
    <w:rPr>
      <w:i/>
      <w:color w:val="918585"/>
      <w:sz w:val="22"/>
    </w:rPr>
  </w:style>
  <w:style w:type="paragraph" w:customStyle="1" w:styleId="TableBodyText">
    <w:name w:val="Table Body Text"/>
    <w:basedOn w:val="BodyText"/>
    <w:rsid w:val="00A2474E"/>
    <w:pPr>
      <w:spacing w:before="60" w:after="60"/>
    </w:pPr>
  </w:style>
  <w:style w:type="paragraph" w:styleId="ListContinue">
    <w:name w:val="List Continue"/>
    <w:basedOn w:val="List"/>
    <w:rsid w:val="00A2474E"/>
    <w:pPr>
      <w:ind w:firstLine="0"/>
    </w:pPr>
  </w:style>
  <w:style w:type="paragraph" w:customStyle="1" w:styleId="ListNote">
    <w:name w:val="List Note"/>
    <w:basedOn w:val="List"/>
    <w:rsid w:val="00A2474E"/>
    <w:pPr>
      <w:pBdr>
        <w:top w:val="single" w:sz="6" w:space="2" w:color="918585"/>
        <w:bottom w:val="single" w:sz="6" w:space="2" w:color="918585"/>
      </w:pBdr>
      <w:tabs>
        <w:tab w:val="left" w:pos="1021"/>
      </w:tabs>
      <w:ind w:firstLine="0"/>
    </w:pPr>
  </w:style>
  <w:style w:type="paragraph" w:customStyle="1" w:styleId="Warning">
    <w:name w:val="Warning"/>
    <w:basedOn w:val="BodyText"/>
    <w:rsid w:val="00A2474E"/>
    <w:pPr>
      <w:shd w:val="clear" w:color="auto" w:fill="D9D9D9"/>
      <w:tabs>
        <w:tab w:val="left" w:pos="992"/>
      </w:tabs>
      <w:ind w:left="119" w:right="119"/>
    </w:pPr>
    <w:rPr>
      <w:sz w:val="20"/>
    </w:rPr>
  </w:style>
  <w:style w:type="paragraph" w:customStyle="1" w:styleId="MarginIcons">
    <w:name w:val="Margin Icons"/>
    <w:basedOn w:val="BodyText"/>
    <w:rsid w:val="00A24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74E"/>
    <w:rPr>
      <w:rFonts w:ascii="Courier New" w:hAnsi="Courier New"/>
    </w:rPr>
  </w:style>
  <w:style w:type="paragraph" w:customStyle="1" w:styleId="NoteBullet">
    <w:name w:val="Note Bullet"/>
    <w:basedOn w:val="Note"/>
    <w:rsid w:val="00A2474E"/>
    <w:pPr>
      <w:tabs>
        <w:tab w:val="clear" w:pos="680"/>
      </w:tabs>
      <w:spacing w:before="60" w:after="60"/>
    </w:pPr>
  </w:style>
  <w:style w:type="paragraph" w:customStyle="1" w:styleId="SubHeading2">
    <w:name w:val="SubHeading2"/>
    <w:basedOn w:val="HeadingBase"/>
    <w:rsid w:val="00A2474E"/>
    <w:pPr>
      <w:spacing w:before="240" w:after="60"/>
    </w:pPr>
    <w:rPr>
      <w:sz w:val="20"/>
    </w:rPr>
  </w:style>
  <w:style w:type="paragraph" w:customStyle="1" w:styleId="SubHeading1">
    <w:name w:val="SubHeading1"/>
    <w:basedOn w:val="HeadingBase"/>
    <w:rsid w:val="00A2474E"/>
    <w:pPr>
      <w:spacing w:before="240" w:after="60"/>
    </w:pPr>
    <w:rPr>
      <w:color w:val="918585"/>
      <w:sz w:val="22"/>
    </w:rPr>
  </w:style>
  <w:style w:type="paragraph" w:customStyle="1" w:styleId="SideHeading">
    <w:name w:val="Side Heading"/>
    <w:basedOn w:val="HeadingBase"/>
    <w:rsid w:val="00A24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74E"/>
    <w:pPr>
      <w:numPr>
        <w:numId w:val="12"/>
      </w:numPr>
    </w:pPr>
  </w:style>
  <w:style w:type="paragraph" w:styleId="PlainText">
    <w:name w:val="Plain Text"/>
    <w:basedOn w:val="Normal"/>
    <w:link w:val="PlainTextChar"/>
    <w:rsid w:val="00A2474E"/>
    <w:rPr>
      <w:sz w:val="20"/>
    </w:rPr>
  </w:style>
  <w:style w:type="character" w:customStyle="1" w:styleId="PlainTextChar">
    <w:name w:val="Plain Text Char"/>
    <w:basedOn w:val="DefaultParagraphFont"/>
    <w:link w:val="PlainText"/>
    <w:rsid w:val="00A2474E"/>
    <w:rPr>
      <w:rFonts w:ascii="Courier New" w:eastAsia="Times New Roman" w:hAnsi="Courier New" w:cs="Times New Roman"/>
      <w:sz w:val="20"/>
      <w:szCs w:val="20"/>
      <w:lang w:eastAsia="en-US"/>
    </w:rPr>
  </w:style>
  <w:style w:type="character" w:customStyle="1" w:styleId="MenuOption">
    <w:name w:val="Menu Option"/>
    <w:basedOn w:val="DefaultParagraphFont"/>
    <w:rsid w:val="00A2474E"/>
    <w:rPr>
      <w:b/>
      <w:smallCaps/>
    </w:rPr>
  </w:style>
  <w:style w:type="paragraph" w:customStyle="1" w:styleId="TableListNumber">
    <w:name w:val="Table List Number"/>
    <w:basedOn w:val="ListNumber"/>
    <w:rsid w:val="00A2474E"/>
    <w:pPr>
      <w:numPr>
        <w:numId w:val="0"/>
      </w:numPr>
    </w:pPr>
  </w:style>
  <w:style w:type="paragraph" w:styleId="TOC4">
    <w:name w:val="toc 4"/>
    <w:basedOn w:val="TOCBase"/>
    <w:next w:val="Normal"/>
    <w:semiHidden/>
    <w:rsid w:val="00A2474E"/>
    <w:pPr>
      <w:tabs>
        <w:tab w:val="right" w:leader="dot" w:pos="9071"/>
      </w:tabs>
      <w:ind w:left="1701"/>
    </w:pPr>
  </w:style>
  <w:style w:type="paragraph" w:customStyle="1" w:styleId="ListAlpha">
    <w:name w:val="List Alpha"/>
    <w:basedOn w:val="List"/>
    <w:rsid w:val="00A2474E"/>
    <w:pPr>
      <w:numPr>
        <w:numId w:val="9"/>
      </w:numPr>
    </w:pPr>
  </w:style>
  <w:style w:type="paragraph" w:customStyle="1" w:styleId="ListAlpha2">
    <w:name w:val="List Alpha 2"/>
    <w:basedOn w:val="List2"/>
    <w:rsid w:val="00A2474E"/>
    <w:pPr>
      <w:numPr>
        <w:numId w:val="8"/>
      </w:numPr>
    </w:pPr>
  </w:style>
  <w:style w:type="paragraph" w:styleId="List3">
    <w:name w:val="List 3"/>
    <w:basedOn w:val="BodyText"/>
    <w:rsid w:val="00A2474E"/>
    <w:pPr>
      <w:tabs>
        <w:tab w:val="left" w:pos="1021"/>
      </w:tabs>
      <w:spacing w:before="60" w:after="60"/>
      <w:ind w:left="1020" w:hanging="340"/>
    </w:pPr>
  </w:style>
  <w:style w:type="paragraph" w:styleId="List4">
    <w:name w:val="List 4"/>
    <w:basedOn w:val="BodyText"/>
    <w:rsid w:val="00A2474E"/>
    <w:pPr>
      <w:tabs>
        <w:tab w:val="left" w:pos="1361"/>
      </w:tabs>
      <w:spacing w:before="60" w:after="60"/>
      <w:ind w:left="1361" w:hanging="340"/>
    </w:pPr>
  </w:style>
  <w:style w:type="paragraph" w:styleId="List5">
    <w:name w:val="List 5"/>
    <w:basedOn w:val="BodyText"/>
    <w:rsid w:val="00A2474E"/>
    <w:pPr>
      <w:tabs>
        <w:tab w:val="left" w:pos="1701"/>
      </w:tabs>
      <w:spacing w:before="60" w:after="60"/>
      <w:ind w:left="1701" w:hanging="340"/>
    </w:pPr>
  </w:style>
  <w:style w:type="paragraph" w:styleId="ListBullet3">
    <w:name w:val="List Bullet 3"/>
    <w:basedOn w:val="List3"/>
    <w:rsid w:val="00A2474E"/>
    <w:pPr>
      <w:numPr>
        <w:numId w:val="15"/>
      </w:numPr>
      <w:tabs>
        <w:tab w:val="clear" w:pos="1021"/>
      </w:tabs>
      <w:ind w:left="1037" w:hanging="357"/>
    </w:pPr>
  </w:style>
  <w:style w:type="paragraph" w:styleId="ListBullet4">
    <w:name w:val="List Bullet 4"/>
    <w:basedOn w:val="List4"/>
    <w:rsid w:val="00A2474E"/>
    <w:pPr>
      <w:numPr>
        <w:numId w:val="3"/>
      </w:numPr>
    </w:pPr>
  </w:style>
  <w:style w:type="paragraph" w:styleId="ListBullet5">
    <w:name w:val="List Bullet 5"/>
    <w:basedOn w:val="List5"/>
    <w:rsid w:val="00A2474E"/>
    <w:pPr>
      <w:numPr>
        <w:numId w:val="4"/>
      </w:numPr>
    </w:pPr>
  </w:style>
  <w:style w:type="paragraph" w:styleId="ListContinue2">
    <w:name w:val="List Continue 2"/>
    <w:basedOn w:val="List2"/>
    <w:rsid w:val="00A2474E"/>
    <w:pPr>
      <w:ind w:firstLine="0"/>
    </w:pPr>
  </w:style>
  <w:style w:type="paragraph" w:styleId="ListContinue3">
    <w:name w:val="List Continue 3"/>
    <w:basedOn w:val="List3"/>
    <w:rsid w:val="00A2474E"/>
    <w:pPr>
      <w:ind w:left="1021" w:firstLine="0"/>
    </w:pPr>
  </w:style>
  <w:style w:type="paragraph" w:styleId="ListContinue4">
    <w:name w:val="List Continue 4"/>
    <w:basedOn w:val="List4"/>
    <w:rsid w:val="00A2474E"/>
    <w:pPr>
      <w:ind w:firstLine="0"/>
    </w:pPr>
  </w:style>
  <w:style w:type="paragraph" w:styleId="ListContinue5">
    <w:name w:val="List Continue 5"/>
    <w:basedOn w:val="List5"/>
    <w:rsid w:val="00A2474E"/>
    <w:pPr>
      <w:ind w:firstLine="0"/>
    </w:pPr>
  </w:style>
  <w:style w:type="paragraph" w:styleId="ListNumber3">
    <w:name w:val="List Number 3"/>
    <w:basedOn w:val="List3"/>
    <w:rsid w:val="00A2474E"/>
    <w:pPr>
      <w:numPr>
        <w:numId w:val="5"/>
      </w:numPr>
    </w:pPr>
  </w:style>
  <w:style w:type="paragraph" w:styleId="ListNumber4">
    <w:name w:val="List Number 4"/>
    <w:basedOn w:val="List4"/>
    <w:rsid w:val="00A2474E"/>
    <w:pPr>
      <w:numPr>
        <w:numId w:val="6"/>
      </w:numPr>
    </w:pPr>
  </w:style>
  <w:style w:type="paragraph" w:styleId="ListNumber5">
    <w:name w:val="List Number 5"/>
    <w:basedOn w:val="List5"/>
    <w:rsid w:val="00A2474E"/>
    <w:pPr>
      <w:numPr>
        <w:numId w:val="7"/>
      </w:numPr>
    </w:pPr>
  </w:style>
  <w:style w:type="paragraph" w:styleId="BlockText">
    <w:name w:val="Block Text"/>
    <w:basedOn w:val="Normal"/>
    <w:rsid w:val="00A2474E"/>
    <w:pPr>
      <w:spacing w:after="120"/>
      <w:ind w:left="1440" w:right="1440"/>
    </w:pPr>
  </w:style>
  <w:style w:type="character" w:customStyle="1" w:styleId="Subscript">
    <w:name w:val="Subscript"/>
    <w:basedOn w:val="DefaultParagraphFont"/>
    <w:rsid w:val="00A2474E"/>
    <w:rPr>
      <w:sz w:val="16"/>
      <w:vertAlign w:val="subscript"/>
    </w:rPr>
  </w:style>
  <w:style w:type="character" w:customStyle="1" w:styleId="Superscript">
    <w:name w:val="Superscript"/>
    <w:basedOn w:val="DefaultParagraphFont"/>
    <w:rsid w:val="00A2474E"/>
    <w:rPr>
      <w:sz w:val="16"/>
      <w:vertAlign w:val="superscript"/>
    </w:rPr>
  </w:style>
  <w:style w:type="character" w:customStyle="1" w:styleId="Symbols">
    <w:name w:val="Symbols"/>
    <w:basedOn w:val="DefaultParagraphFont"/>
    <w:rsid w:val="00A2474E"/>
    <w:rPr>
      <w:rFonts w:ascii="Symbol" w:hAnsi="Symbol"/>
    </w:rPr>
  </w:style>
  <w:style w:type="character" w:customStyle="1" w:styleId="MenuOptions">
    <w:name w:val="Menu Options"/>
    <w:basedOn w:val="DefaultParagraphFont"/>
    <w:rsid w:val="00A2474E"/>
    <w:rPr>
      <w:rFonts w:ascii="Arial Narrow" w:hAnsi="Arial Narrow"/>
      <w:smallCaps/>
    </w:rPr>
  </w:style>
  <w:style w:type="character" w:customStyle="1" w:styleId="Buttons">
    <w:name w:val="Buttons"/>
    <w:basedOn w:val="DefaultParagraphFont"/>
    <w:rsid w:val="00A2474E"/>
    <w:rPr>
      <w:b/>
    </w:rPr>
  </w:style>
  <w:style w:type="character" w:customStyle="1" w:styleId="Underlined">
    <w:name w:val="Underlined"/>
    <w:basedOn w:val="DefaultParagraphFont"/>
    <w:rsid w:val="00A2474E"/>
    <w:rPr>
      <w:u w:val="single"/>
    </w:rPr>
  </w:style>
  <w:style w:type="paragraph" w:customStyle="1" w:styleId="TableBodyTextRight">
    <w:name w:val="Table Body Text Right"/>
    <w:basedOn w:val="TableBodyText"/>
    <w:rsid w:val="00A2474E"/>
    <w:pPr>
      <w:widowControl w:val="0"/>
      <w:autoSpaceDE w:val="0"/>
      <w:autoSpaceDN w:val="0"/>
      <w:adjustRightInd w:val="0"/>
      <w:jc w:val="right"/>
    </w:pPr>
    <w:rPr>
      <w:rFonts w:cs="Arial"/>
      <w:szCs w:val="18"/>
    </w:rPr>
  </w:style>
  <w:style w:type="paragraph" w:customStyle="1" w:styleId="CopyrightText">
    <w:name w:val="Copyright Text"/>
    <w:basedOn w:val="BodyText"/>
    <w:rsid w:val="00A2474E"/>
    <w:rPr>
      <w:sz w:val="18"/>
    </w:rPr>
  </w:style>
  <w:style w:type="paragraph" w:customStyle="1" w:styleId="BodySmallRight">
    <w:name w:val="Body Small Right"/>
    <w:basedOn w:val="BodyTextRight"/>
    <w:rsid w:val="00A2474E"/>
    <w:rPr>
      <w:sz w:val="18"/>
      <w:szCs w:val="18"/>
    </w:rPr>
  </w:style>
  <w:style w:type="paragraph" w:customStyle="1" w:styleId="MarginEdition">
    <w:name w:val="Margin Edition"/>
    <w:basedOn w:val="MarginNote"/>
    <w:rsid w:val="00A2474E"/>
    <w:pPr>
      <w:spacing w:before="0" w:after="0"/>
    </w:pPr>
    <w:rPr>
      <w:rFonts w:ascii="Times New Roman" w:hAnsi="Times New Roman"/>
      <w:color w:val="999999"/>
    </w:rPr>
  </w:style>
  <w:style w:type="paragraph" w:customStyle="1" w:styleId="Spacer">
    <w:name w:val="Spacer"/>
    <w:basedOn w:val="Normal"/>
    <w:rsid w:val="00A2474E"/>
    <w:rPr>
      <w:sz w:val="2"/>
      <w:szCs w:val="2"/>
    </w:rPr>
  </w:style>
  <w:style w:type="character" w:customStyle="1" w:styleId="Small">
    <w:name w:val="Small"/>
    <w:basedOn w:val="DefaultParagraphFont"/>
    <w:rsid w:val="00A2474E"/>
    <w:rPr>
      <w:sz w:val="16"/>
    </w:rPr>
  </w:style>
  <w:style w:type="paragraph" w:customStyle="1" w:styleId="WideTable">
    <w:name w:val="Wide Table"/>
    <w:basedOn w:val="Normal"/>
    <w:rsid w:val="00A2474E"/>
    <w:pPr>
      <w:ind w:left="-1418"/>
    </w:pPr>
    <w:rPr>
      <w:sz w:val="2"/>
      <w:szCs w:val="2"/>
    </w:rPr>
  </w:style>
  <w:style w:type="character" w:styleId="PageNumber">
    <w:name w:val="page number"/>
    <w:basedOn w:val="DefaultParagraphFont"/>
    <w:rsid w:val="00A2474E"/>
  </w:style>
  <w:style w:type="paragraph" w:styleId="Quote">
    <w:name w:val="Quote"/>
    <w:basedOn w:val="Heading1"/>
    <w:link w:val="QuoteChar"/>
    <w:qFormat/>
    <w:rsid w:val="00A2474E"/>
    <w:rPr>
      <w:b w:val="0"/>
      <w:sz w:val="72"/>
      <w:szCs w:val="72"/>
      <w:lang w:val="en-NZ"/>
    </w:rPr>
  </w:style>
  <w:style w:type="character" w:customStyle="1" w:styleId="QuoteChar">
    <w:name w:val="Quote Char"/>
    <w:basedOn w:val="DefaultParagraphFont"/>
    <w:link w:val="Quote"/>
    <w:rsid w:val="00A24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74E"/>
    <w:pPr>
      <w:pageBreakBefore/>
    </w:pPr>
  </w:style>
  <w:style w:type="paragraph" w:customStyle="1" w:styleId="Border">
    <w:name w:val="Border"/>
    <w:basedOn w:val="Normal"/>
    <w:qFormat/>
    <w:rsid w:val="00A24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74E"/>
    <w:rPr>
      <w:b/>
      <w:bCs/>
      <w:i/>
      <w:iCs/>
      <w:color w:val="auto"/>
    </w:rPr>
  </w:style>
  <w:style w:type="paragraph" w:styleId="IntenseQuote">
    <w:name w:val="Intense Quote"/>
    <w:basedOn w:val="Normal"/>
    <w:next w:val="Normal"/>
    <w:link w:val="IntenseQuoteChar"/>
    <w:uiPriority w:val="30"/>
    <w:qFormat/>
    <w:rsid w:val="00A24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74E"/>
    <w:rPr>
      <w:smallCaps/>
      <w:color w:val="auto"/>
      <w:u w:val="single"/>
    </w:rPr>
  </w:style>
  <w:style w:type="character" w:styleId="IntenseReference">
    <w:name w:val="Intense Reference"/>
    <w:basedOn w:val="DefaultParagraphFont"/>
    <w:uiPriority w:val="32"/>
    <w:qFormat/>
    <w:rsid w:val="00A2474E"/>
    <w:rPr>
      <w:b/>
      <w:bCs/>
      <w:smallCaps/>
      <w:color w:val="auto"/>
      <w:spacing w:val="5"/>
      <w:u w:val="single"/>
    </w:rPr>
  </w:style>
  <w:style w:type="paragraph" w:customStyle="1" w:styleId="2ColumnHeading">
    <w:name w:val="2Column Heading"/>
    <w:basedOn w:val="BodyText"/>
    <w:qFormat/>
    <w:rsid w:val="00A2474E"/>
    <w:pPr>
      <w:spacing w:after="60"/>
      <w:ind w:left="-2268"/>
    </w:pPr>
    <w:rPr>
      <w:b/>
    </w:rPr>
  </w:style>
  <w:style w:type="paragraph" w:customStyle="1" w:styleId="Heading1TOC">
    <w:name w:val="Heading1 TOC"/>
    <w:basedOn w:val="Normal"/>
    <w:qFormat/>
    <w:rsid w:val="00A2474E"/>
    <w:pPr>
      <w:spacing w:before="240" w:after="120"/>
    </w:pPr>
    <w:rPr>
      <w:rFonts w:ascii="Times New Roman" w:hAnsi="Times New Roman"/>
      <w:b/>
      <w:sz w:val="32"/>
    </w:rPr>
  </w:style>
  <w:style w:type="paragraph" w:customStyle="1" w:styleId="Heading2TOC">
    <w:name w:val="Heading2 TOC"/>
    <w:basedOn w:val="Normal"/>
    <w:qFormat/>
    <w:rsid w:val="00A2474E"/>
    <w:pPr>
      <w:spacing w:before="240" w:after="60"/>
    </w:pPr>
    <w:rPr>
      <w:rFonts w:ascii="Times New Roman" w:hAnsi="Times New Roman"/>
      <w:b/>
      <w:sz w:val="28"/>
    </w:rPr>
  </w:style>
  <w:style w:type="character" w:customStyle="1" w:styleId="Underline">
    <w:name w:val="Underline"/>
    <w:basedOn w:val="DefaultParagraphFont"/>
    <w:qFormat/>
    <w:rsid w:val="00A2474E"/>
    <w:rPr>
      <w:u w:val="single"/>
    </w:rPr>
  </w:style>
  <w:style w:type="paragraph" w:styleId="BalloonText">
    <w:name w:val="Balloon Text"/>
    <w:basedOn w:val="Normal"/>
    <w:link w:val="BalloonTextChar"/>
    <w:rsid w:val="00A2474E"/>
    <w:rPr>
      <w:rFonts w:ascii="Tahoma" w:hAnsi="Tahoma" w:cs="Tahoma"/>
      <w:sz w:val="16"/>
      <w:szCs w:val="16"/>
    </w:rPr>
  </w:style>
  <w:style w:type="character" w:customStyle="1" w:styleId="BalloonTextChar">
    <w:name w:val="Balloon Text Char"/>
    <w:basedOn w:val="DefaultParagraphFont"/>
    <w:link w:val="BalloonText"/>
    <w:rsid w:val="00A24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74E"/>
    <w:rPr>
      <w:b/>
      <w:color w:val="660033"/>
      <w:spacing w:val="0"/>
    </w:rPr>
  </w:style>
  <w:style w:type="paragraph" w:customStyle="1" w:styleId="Nameditemlist">
    <w:name w:val="Named item list"/>
    <w:basedOn w:val="BodyText"/>
    <w:qFormat/>
    <w:rsid w:val="00A247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2073</Words>
  <Characters>13674</Characters>
  <Application>Microsoft Office Word</Application>
  <DocSecurity>0</DocSecurity>
  <Lines>491</Lines>
  <Paragraphs>253</Paragraphs>
  <ScaleCrop>false</ScaleCrop>
  <Company>Author-it Software Corporation Ltd.</Company>
  <LinksUpToDate>false</LinksUpToDate>
  <CharactersWithSpaces>15686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SFIAQUA508C Plan and design stock culture or holding systems and structures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2012-10-10T09:25:00Z</dcterms:created>
  <dcterms:modified xsi:type="dcterms:W3CDTF">2012-10-10T09:25:00Z</dcterms:modified>
</cp:coreProperties>
</file>