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1A1" w:rsidP="00EF11A1">
      <w:pPr>
        <w:pStyle w:val="Title"/>
      </w:pPr>
      <w:r>
        <w:fldChar w:fldCharType="begin"/>
      </w:r>
      <w:r>
        <w:instrText xml:space="preserve"> TITLE   \* MERGEFORMAT </w:instrText>
      </w:r>
      <w:r>
        <w:fldChar w:fldCharType="separate"/>
      </w:r>
      <w:r>
        <w:t>SFIAQUA408C Supervise harvest and post-harvest activities</w:t>
      </w:r>
      <w:r>
        <w:fldChar w:fldCharType="end"/>
      </w:r>
    </w:p>
    <w:p w:rsidR="00EF11A1" w:rsidP="00EF11A1">
      <w:pPr>
        <w:pStyle w:val="Version"/>
        <w:sectPr w:rsidSect="005E1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199" w:rsidP="005E1199">
      <w:pPr>
        <w:pStyle w:val="SuperHeading"/>
      </w:pPr>
      <w:r w:rsidRPr="005E1199">
        <w:t>SFIAQUA408C Supervise harvest and post-harvest activities</w:t>
      </w:r>
    </w:p>
    <w:p w:rsidR="00000000" w:rsidRPr="005E1199" w:rsidP="005E1199">
      <w:pPr>
        <w:pStyle w:val="Heading1"/>
      </w:pPr>
      <w:bookmarkStart w:id="1" w:name="O_273176"/>
      <w:bookmarkEnd w:id="1"/>
      <w:r w:rsidRPr="005E1199">
        <w:t>Modification History</w:t>
      </w:r>
    </w:p>
    <w:p w:rsidR="00000000" w:rsidRPr="005E1199" w:rsidP="005E1199">
      <w:pPr>
        <w:pStyle w:val="BodyText"/>
      </w:pPr>
      <w:r w:rsidRPr="005E1199">
        <w:t>Not Applicable</w:t>
      </w:r>
    </w:p>
    <w:p w:rsidR="00000000" w:rsidRPr="005E1199" w:rsidP="005E1199">
      <w:pPr>
        <w:pStyle w:val="AllowPageBreak"/>
      </w:pPr>
    </w:p>
    <w:p w:rsidR="00000000" w:rsidRPr="005E1199" w:rsidP="005E1199">
      <w:pPr>
        <w:pStyle w:val="Heading1"/>
      </w:pPr>
      <w:bookmarkStart w:id="2" w:name="O_217723"/>
      <w:bookmarkEnd w:id="2"/>
      <w:r w:rsidRPr="005E1199">
        <w:t>Unit Descriptor</w:t>
      </w:r>
    </w:p>
    <w:tbl>
      <w:tblPr>
        <w:tblW w:w="0" w:type="auto"/>
        <w:tblLayout w:type="fixed"/>
        <w:tblCellMar>
          <w:left w:w="62" w:type="dxa"/>
          <w:right w:w="62" w:type="dxa"/>
        </w:tblCellMar>
        <w:tblLook w:val="0000"/>
      </w:tblPr>
      <w:tblGrid>
        <w:gridCol w:w="2651"/>
        <w:gridCol w:w="5871"/>
      </w:tblGrid>
      <w:tr w:rsidTr="00EF11A1">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t>This unit of competency involves preparing a harvest schedule and managing the harvest and po</w:t>
            </w:r>
            <w:r w:rsidRPr="005E1199">
              <w:t xml:space="preserve">st-harvest handling activities of </w:t>
            </w:r>
            <w:r w:rsidRPr="005E1199">
              <w:rPr>
                <w:rStyle w:val="BoldandItalics"/>
              </w:rPr>
              <w:t>cultured or held stock</w:t>
            </w:r>
            <w:r w:rsidRPr="005E1199">
              <w:t xml:space="preserve">, including humane slaughter and quality assurance practices. It does not include processing activities, such as cooking, gill gutting, scaling, filleting, shucking, peeling or heading. </w:t>
            </w:r>
          </w:p>
          <w:p w:rsidR="00000000" w:rsidRPr="005E1199" w:rsidP="005E1199">
            <w:pPr>
              <w:pStyle w:val="BodyText"/>
            </w:pPr>
            <w:r w:rsidRPr="005E1199">
              <w:t>No licensing,</w:t>
            </w:r>
            <w:r w:rsidRPr="005E1199">
              <w:t xml:space="preserve"> legislative, regulatory or certification requirements apply to this unit at the time of publication.</w:t>
            </w:r>
          </w:p>
        </w:tc>
      </w:tr>
    </w:tbl>
    <w:p w:rsidR="00EF11A1" w:rsidP="005E1199">
      <w:pPr>
        <w:pStyle w:val="BodyText"/>
      </w:pPr>
    </w:p>
    <w:p w:rsidR="00EF11A1" w:rsidP="005E1199">
      <w:pPr>
        <w:pStyle w:val="BodyText"/>
      </w:pPr>
    </w:p>
    <w:p w:rsidR="00000000" w:rsidRPr="005E1199" w:rsidP="005E1199">
      <w:pPr>
        <w:pStyle w:val="Heading1"/>
      </w:pPr>
      <w:bookmarkStart w:id="3" w:name="O_217727"/>
      <w:bookmarkEnd w:id="3"/>
      <w:r w:rsidRPr="005E1199">
        <w:t>Application of the Unit</w:t>
      </w:r>
    </w:p>
    <w:tbl>
      <w:tblPr>
        <w:tblW w:w="0" w:type="auto"/>
        <w:tblLayout w:type="fixed"/>
        <w:tblCellMar>
          <w:left w:w="62" w:type="dxa"/>
          <w:right w:w="62" w:type="dxa"/>
        </w:tblCellMar>
        <w:tblLook w:val="0000"/>
      </w:tblPr>
      <w:tblGrid>
        <w:gridCol w:w="2735"/>
        <w:gridCol w:w="5787"/>
      </w:tblGrid>
      <w:tr w:rsidTr="00EF11A1">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t xml:space="preserve">This unit has application for harvest and post-harvest activities only. Processing activities such as cooking, gill-gutting, scaling, filleting, shucking, peeling or heading are not covered. </w:t>
            </w:r>
          </w:p>
          <w:p w:rsidR="00000000" w:rsidRPr="005E1199" w:rsidP="005E1199">
            <w:pPr>
              <w:pStyle w:val="BodyText"/>
            </w:pPr>
            <w:r w:rsidRPr="005E1199">
              <w:t>A person in this work role would work closely with supervisors o</w:t>
            </w:r>
            <w:r w:rsidRPr="005E1199">
              <w:t xml:space="preserve">f harvest labour and suppliers of services such as transport </w:t>
            </w:r>
          </w:p>
          <w:p w:rsidR="00000000" w:rsidRPr="005E1199" w:rsidP="005E1199">
            <w:pPr>
              <w:pStyle w:val="BodyText"/>
            </w:pPr>
            <w:r w:rsidRPr="005E1199">
              <w:t xml:space="preserve">All enterprise or workplace procedures and activities are carried out according to </w:t>
            </w:r>
            <w:r w:rsidRPr="005E1199">
              <w:rPr>
                <w:rStyle w:val="BoldandItalics"/>
              </w:rPr>
              <w:t>relevant government regulations</w:t>
            </w:r>
            <w:r w:rsidRPr="005E1199">
              <w:t xml:space="preserve">, </w:t>
            </w:r>
            <w:r w:rsidRPr="005E1199">
              <w:rPr>
                <w:rStyle w:val="BoldandItalics"/>
              </w:rPr>
              <w:t>licensing and other compliance requirements</w:t>
            </w:r>
            <w:r w:rsidRPr="005E1199">
              <w:t xml:space="preserve">, including </w:t>
            </w:r>
            <w:r w:rsidRPr="005E1199">
              <w:rPr>
                <w:rStyle w:val="BoldandItalics"/>
              </w:rPr>
              <w:t>occupational health and</w:t>
            </w:r>
            <w:r w:rsidRPr="005E1199">
              <w:rPr>
                <w:rStyle w:val="BoldandItalics"/>
              </w:rPr>
              <w:t xml:space="preserve"> safety</w:t>
            </w:r>
            <w:r w:rsidRPr="005E1199">
              <w:t xml:space="preserve"> (</w:t>
            </w:r>
            <w:r w:rsidRPr="005E1199">
              <w:rPr>
                <w:rStyle w:val="BoldandItalics"/>
              </w:rPr>
              <w:t>OHS</w:t>
            </w:r>
            <w:r w:rsidRPr="005E1199">
              <w:t xml:space="preserve">) </w:t>
            </w:r>
            <w:r w:rsidRPr="005E1199">
              <w:rPr>
                <w:rStyle w:val="BoldandItalics"/>
              </w:rPr>
              <w:t>guidelines</w:t>
            </w:r>
            <w:r w:rsidRPr="005E1199">
              <w:t xml:space="preserve">, </w:t>
            </w:r>
            <w:r w:rsidRPr="005E1199">
              <w:rPr>
                <w:rStyle w:val="BoldandItalics"/>
              </w:rPr>
              <w:t>food safety and hygiene regulations and procedures</w:t>
            </w:r>
            <w:r w:rsidRPr="005E1199">
              <w:t xml:space="preserve">, and </w:t>
            </w:r>
            <w:r w:rsidRPr="005E1199">
              <w:rPr>
                <w:rStyle w:val="BoldandItalics"/>
              </w:rPr>
              <w:t>ecologically sustainable development</w:t>
            </w:r>
            <w:r w:rsidRPr="005E1199">
              <w:t xml:space="preserve"> (</w:t>
            </w:r>
            <w:r w:rsidRPr="005E1199">
              <w:rPr>
                <w:rStyle w:val="BoldandItalics"/>
              </w:rPr>
              <w:t>ESD</w:t>
            </w:r>
            <w:r w:rsidRPr="005E1199">
              <w:t xml:space="preserve">) </w:t>
            </w:r>
            <w:r w:rsidRPr="005E1199">
              <w:rPr>
                <w:rStyle w:val="BoldandItalics"/>
              </w:rPr>
              <w:t>principles</w:t>
            </w:r>
            <w:r w:rsidRPr="005E1199">
              <w:t xml:space="preserve">. </w:t>
            </w:r>
          </w:p>
          <w:p w:rsidR="00000000" w:rsidRPr="005E1199" w:rsidP="005E1199">
            <w:pPr>
              <w:pStyle w:val="BodyText"/>
            </w:pPr>
            <w:r w:rsidRPr="005E1199">
              <w:t>Equipment operation, maintenance, repairs and calibrations are undertaken in a safe manner that conforms to manufactur</w:t>
            </w:r>
            <w:r w:rsidRPr="005E1199">
              <w:t xml:space="preserve">er instructions. Appropriate </w:t>
            </w:r>
            <w:r w:rsidRPr="005E1199">
              <w:rPr>
                <w:rStyle w:val="BoldandItalics"/>
              </w:rPr>
              <w:t>personal protective equipment</w:t>
            </w:r>
            <w:r w:rsidRPr="005E1199">
              <w:t xml:space="preserve"> (</w:t>
            </w:r>
            <w:r w:rsidRPr="005E1199">
              <w:rPr>
                <w:rStyle w:val="BoldandItalics"/>
              </w:rPr>
              <w:t>PPE</w:t>
            </w:r>
            <w:r w:rsidRPr="005E1199">
              <w:t>) is selected, checked, used and maintained.</w:t>
            </w:r>
          </w:p>
        </w:tc>
      </w:tr>
    </w:tbl>
    <w:p w:rsidR="00EF11A1" w:rsidP="005E1199">
      <w:pPr>
        <w:pStyle w:val="BodyText"/>
      </w:pPr>
    </w:p>
    <w:p w:rsidR="00EF11A1" w:rsidP="005E1199">
      <w:pPr>
        <w:pStyle w:val="BodyText"/>
      </w:pPr>
    </w:p>
    <w:p w:rsidR="00000000" w:rsidRPr="005E1199" w:rsidP="005E1199">
      <w:pPr>
        <w:pStyle w:val="Heading1"/>
      </w:pPr>
      <w:bookmarkStart w:id="4" w:name="O_281436"/>
      <w:bookmarkEnd w:id="4"/>
      <w:r w:rsidRPr="005E1199">
        <w:t>Licensing/Regulatory Information</w:t>
      </w:r>
    </w:p>
    <w:p w:rsidR="00000000" w:rsidRPr="005E1199" w:rsidP="005E1199">
      <w:pPr>
        <w:pStyle w:val="BodyText"/>
      </w:pPr>
      <w:r w:rsidRPr="005E1199">
        <w:t>Refer to Unit Descriptor</w:t>
      </w:r>
    </w:p>
    <w:p w:rsidR="00000000" w:rsidRPr="005E1199" w:rsidP="005E1199">
      <w:pPr>
        <w:pStyle w:val="AllowPageBreak"/>
      </w:pPr>
    </w:p>
    <w:p w:rsidR="00000000" w:rsidRPr="005E1199" w:rsidP="005E1199">
      <w:pPr>
        <w:pStyle w:val="Heading1"/>
      </w:pPr>
      <w:bookmarkStart w:id="5" w:name="O_217725"/>
      <w:bookmarkEnd w:id="5"/>
      <w:r w:rsidRPr="005E1199">
        <w:t>Pre-Requisites</w:t>
      </w:r>
    </w:p>
    <w:tbl>
      <w:tblPr>
        <w:tblW w:w="0" w:type="auto"/>
        <w:tblLayout w:type="fixed"/>
        <w:tblCellMar>
          <w:left w:w="62" w:type="dxa"/>
          <w:right w:w="62" w:type="dxa"/>
        </w:tblCellMar>
        <w:tblLook w:val="0000"/>
      </w:tblPr>
      <w:tblGrid>
        <w:gridCol w:w="2775"/>
        <w:gridCol w:w="1295"/>
        <w:gridCol w:w="4452"/>
      </w:tblGrid>
      <w:tr w:rsidTr="00EF11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p>
        </w:tc>
      </w:tr>
      <w:tr w:rsidTr="00EF11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p>
        </w:tc>
      </w:tr>
      <w:tr w:rsidTr="00EF11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p>
        </w:tc>
      </w:tr>
    </w:tbl>
    <w:p w:rsidR="00EF11A1" w:rsidP="005E1199">
      <w:pPr>
        <w:pStyle w:val="BodyText"/>
      </w:pPr>
    </w:p>
    <w:p w:rsidR="00EF11A1" w:rsidP="005E1199">
      <w:pPr>
        <w:pStyle w:val="BodyText"/>
      </w:pPr>
    </w:p>
    <w:p w:rsidR="00000000" w:rsidRPr="005E1199" w:rsidP="005E1199">
      <w:pPr>
        <w:pStyle w:val="Heading1"/>
      </w:pPr>
      <w:bookmarkStart w:id="6" w:name="O_217724"/>
      <w:bookmarkEnd w:id="6"/>
      <w:r w:rsidRPr="005E1199">
        <w:t>Employability Skills Information</w:t>
      </w:r>
    </w:p>
    <w:tbl>
      <w:tblPr>
        <w:tblW w:w="0" w:type="auto"/>
        <w:tblLayout w:type="fixed"/>
        <w:tblCellMar>
          <w:left w:w="62" w:type="dxa"/>
          <w:right w:w="62" w:type="dxa"/>
        </w:tblCellMar>
        <w:tblLook w:val="0000"/>
      </w:tblPr>
      <w:tblGrid>
        <w:gridCol w:w="2802"/>
        <w:gridCol w:w="5720"/>
      </w:tblGrid>
      <w:tr w:rsidTr="00EF11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t>This unit contains employability skills.</w:t>
            </w:r>
          </w:p>
        </w:tc>
      </w:tr>
    </w:tbl>
    <w:p w:rsidR="00EF11A1" w:rsidP="005E1199">
      <w:pPr>
        <w:pStyle w:val="BodyText"/>
      </w:pPr>
    </w:p>
    <w:p w:rsidR="00EF11A1" w:rsidP="005E1199">
      <w:pPr>
        <w:pStyle w:val="BodyText"/>
      </w:pPr>
    </w:p>
    <w:p w:rsidR="00000000" w:rsidRPr="005E1199" w:rsidP="005E1199">
      <w:pPr>
        <w:pStyle w:val="Heading1"/>
      </w:pPr>
      <w:bookmarkStart w:id="7" w:name="O_291222"/>
      <w:bookmarkEnd w:id="7"/>
      <w:r w:rsidRPr="005E1199">
        <w:t>Elements and Performance Criteria Pre-Content</w:t>
      </w:r>
    </w:p>
    <w:tbl>
      <w:tblPr>
        <w:tblW w:w="0" w:type="auto"/>
        <w:tblLayout w:type="fixed"/>
        <w:tblCellMar>
          <w:left w:w="62" w:type="dxa"/>
          <w:right w:w="62" w:type="dxa"/>
        </w:tblCellMar>
        <w:tblLook w:val="0000"/>
      </w:tblPr>
      <w:tblGrid>
        <w:gridCol w:w="2537"/>
        <w:gridCol w:w="5985"/>
      </w:tblGrid>
      <w:tr w:rsidTr="00EF11A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t>Performance c</w:t>
            </w:r>
            <w:r w:rsidRPr="005E1199">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5E1199">
              <w:t>consistent with the evidence guide.</w:t>
            </w:r>
          </w:p>
        </w:tc>
      </w:tr>
    </w:tbl>
    <w:p w:rsidR="00000000" w:rsidRPr="005E1199" w:rsidP="005E1199">
      <w:pPr>
        <w:pStyle w:val="BodyText"/>
      </w:pPr>
    </w:p>
    <w:p w:rsidR="00000000" w:rsidRPr="005E1199" w:rsidP="005E1199">
      <w:pPr>
        <w:pStyle w:val="AllowPageBreak"/>
      </w:pPr>
    </w:p>
    <w:p w:rsidR="00000000" w:rsidRPr="005E1199" w:rsidP="005E1199">
      <w:pPr>
        <w:pStyle w:val="Heading1"/>
      </w:pPr>
      <w:bookmarkStart w:id="8" w:name="O_237890"/>
      <w:bookmarkEnd w:id="8"/>
      <w:r w:rsidRPr="005E1199">
        <w:t>Elements and Performance Criteria</w:t>
      </w:r>
    </w:p>
    <w:tbl>
      <w:tblPr>
        <w:tblW w:w="0" w:type="auto"/>
        <w:tblLayout w:type="fixed"/>
        <w:tblCellMar>
          <w:left w:w="62" w:type="dxa"/>
          <w:right w:w="62" w:type="dxa"/>
        </w:tblCellMar>
        <w:tblLook w:val="0000"/>
      </w:tblPr>
      <w:tblGrid>
        <w:gridCol w:w="2537"/>
        <w:gridCol w:w="5985"/>
      </w:tblGrid>
      <w:tr w:rsidTr="00EF11A1">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PERFORMANCE CRITERIA</w:t>
            </w:r>
          </w:p>
        </w:tc>
      </w:tr>
      <w:tr w:rsidTr="00EF11A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List"/>
              <w:rPr>
                <w:lang w:val="en-NZ"/>
              </w:rPr>
            </w:pPr>
            <w:r w:rsidRPr="005E1199">
              <w:t>1.</w:t>
            </w:r>
            <w:r w:rsidRPr="005E1199">
              <w:tab/>
              <w:t>Prepare harvest and post-harvest schedules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2"/>
            </w:pPr>
            <w:r w:rsidRPr="005E1199">
              <w:t>1.1.</w:t>
            </w:r>
            <w:r w:rsidRPr="005E1199">
              <w:tab/>
              <w:t>Direction is sought from marketing personnel on harvest requirements.</w:t>
            </w:r>
          </w:p>
          <w:p w:rsidR="00000000" w:rsidRPr="005E1199" w:rsidP="005E1199">
            <w:pPr>
              <w:pStyle w:val="List2"/>
            </w:pPr>
            <w:r w:rsidRPr="005E1199">
              <w:t>1.2.</w:t>
            </w:r>
            <w:r w:rsidRPr="005E1199">
              <w:tab/>
            </w:r>
            <w:r w:rsidRPr="005E1199">
              <w:t xml:space="preserve">Numbers and </w:t>
            </w:r>
            <w:r w:rsidRPr="005E1199">
              <w:rPr>
                <w:rStyle w:val="BoldandItalics"/>
              </w:rPr>
              <w:t>stock quality parameters</w:t>
            </w:r>
            <w:r w:rsidRPr="005E1199">
              <w:t xml:space="preserve"> required by customer or production plan are identified. </w:t>
            </w:r>
          </w:p>
          <w:p w:rsidR="00000000" w:rsidRPr="005E1199" w:rsidP="005E1199">
            <w:pPr>
              <w:pStyle w:val="List2"/>
            </w:pPr>
            <w:r w:rsidRPr="005E1199">
              <w:t>1.3.</w:t>
            </w:r>
            <w:r w:rsidRPr="005E1199">
              <w:tab/>
            </w:r>
            <w:r w:rsidRPr="005E1199">
              <w:rPr>
                <w:rStyle w:val="BoldandItalics"/>
              </w:rPr>
              <w:t>Culture or holding</w:t>
            </w:r>
            <w:r w:rsidRPr="005E1199">
              <w:t xml:space="preserve"> </w:t>
            </w:r>
            <w:r w:rsidRPr="005E1199">
              <w:rPr>
                <w:rStyle w:val="BoldandItalics"/>
              </w:rPr>
              <w:t>structures or systems</w:t>
            </w:r>
            <w:r w:rsidRPr="005E1199">
              <w:t xml:space="preserve"> to be harvested are selected.</w:t>
            </w:r>
          </w:p>
          <w:p w:rsidR="00000000" w:rsidRPr="005E1199" w:rsidP="005E1199">
            <w:pPr>
              <w:pStyle w:val="List2"/>
            </w:pPr>
            <w:r w:rsidRPr="005E1199">
              <w:t>1.4.</w:t>
            </w:r>
            <w:r w:rsidRPr="005E1199">
              <w:tab/>
              <w:t>Timing and period of harvest are determined to meet customer or production plan r</w:t>
            </w:r>
            <w:r w:rsidRPr="005E1199">
              <w:t>equirements.</w:t>
            </w:r>
          </w:p>
          <w:p w:rsidR="00000000" w:rsidRPr="005E1199" w:rsidP="005E1199">
            <w:pPr>
              <w:pStyle w:val="List2"/>
            </w:pPr>
            <w:r w:rsidRPr="005E1199">
              <w:t>1.5.</w:t>
            </w:r>
            <w:r w:rsidRPr="005E1199">
              <w:tab/>
              <w:t>Harvest and on-farm post-harvest schedules are prepared and conveyed to team leaders.</w:t>
            </w:r>
          </w:p>
          <w:p w:rsidR="00000000" w:rsidRPr="005E1199" w:rsidP="005E1199">
            <w:pPr>
              <w:pStyle w:val="List2"/>
            </w:pPr>
            <w:r w:rsidRPr="005E1199">
              <w:t>1.6.</w:t>
            </w:r>
            <w:r w:rsidRPr="005E1199">
              <w:tab/>
              <w:t>Personnel availability, and their skills and qualifications, are confirmed and duty rosters (day/night) prepared.</w:t>
            </w:r>
          </w:p>
          <w:p w:rsidR="00000000" w:rsidRPr="005E1199" w:rsidP="005E1199">
            <w:pPr>
              <w:pStyle w:val="List2"/>
            </w:pPr>
            <w:r w:rsidRPr="005E1199">
              <w:t>1.7.</w:t>
            </w:r>
            <w:r w:rsidRPr="005E1199">
              <w:tab/>
              <w:t>Equipment and facilities are</w:t>
            </w:r>
            <w:r w:rsidRPr="005E1199">
              <w:t xml:space="preserve"> confirmed as available and serviceable.</w:t>
            </w:r>
          </w:p>
          <w:p w:rsidR="00000000" w:rsidRPr="005E1199" w:rsidP="005E1199">
            <w:pPr>
              <w:pStyle w:val="List2"/>
            </w:pPr>
            <w:r w:rsidRPr="005E1199">
              <w:t>1.8.</w:t>
            </w:r>
            <w:r w:rsidRPr="005E1199">
              <w:tab/>
              <w:t>Personnel responsible for transport, processing and marketing are briefed on arrangements.</w:t>
            </w:r>
          </w:p>
          <w:p w:rsidR="00000000" w:rsidRPr="005E1199" w:rsidP="005E1199">
            <w:pPr>
              <w:pStyle w:val="List2"/>
            </w:pPr>
            <w:r w:rsidRPr="005E1199">
              <w:t>1.9.</w:t>
            </w:r>
            <w:r w:rsidRPr="005E1199">
              <w:tab/>
              <w:t>Options for mechanisation or automation of process or activity are assessed, including the use of specialised cont</w:t>
            </w:r>
            <w:r w:rsidRPr="005E1199">
              <w:t>ract services, and recommendations made to senior personnel.</w:t>
            </w:r>
          </w:p>
          <w:p w:rsidR="00000000" w:rsidRPr="005E1199" w:rsidP="005E1199">
            <w:pPr>
              <w:pStyle w:val="List2"/>
            </w:pPr>
            <w:r w:rsidRPr="005E1199">
              <w:t>1.10.</w:t>
            </w:r>
            <w:r w:rsidRPr="005E1199">
              <w:tab/>
              <w:t>Harvest and post-harvest activities are integrated with other activities.</w:t>
            </w:r>
          </w:p>
          <w:p w:rsidR="00000000" w:rsidP="005E1199">
            <w:pPr>
              <w:pStyle w:val="List2"/>
              <w:rPr>
                <w:lang w:val="en-NZ"/>
              </w:rPr>
            </w:pPr>
            <w:r w:rsidRPr="005E1199">
              <w:t>1.11.</w:t>
            </w:r>
            <w:r w:rsidRPr="005E1199">
              <w:tab/>
              <w:t>Reporting procedures are clearly defined and staff informed.</w:t>
            </w:r>
          </w:p>
        </w:tc>
      </w:tr>
      <w:tr w:rsidTr="00EF11A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List"/>
              <w:rPr>
                <w:lang w:val="en-NZ"/>
              </w:rPr>
            </w:pPr>
            <w:r w:rsidRPr="005E1199">
              <w:t>2.</w:t>
            </w:r>
            <w:r w:rsidRPr="005E1199">
              <w:tab/>
              <w:t xml:space="preserve">Monitor progress of harvest and </w:t>
            </w:r>
            <w:r w:rsidRPr="005E1199">
              <w:rPr>
                <w:rStyle w:val="BoldandItalics"/>
              </w:rPr>
              <w:t>post</w:t>
            </w:r>
            <w:r w:rsidRPr="005E1199">
              <w:t>-</w:t>
            </w:r>
            <w:r w:rsidRPr="005E1199">
              <w:rPr>
                <w:rStyle w:val="BoldandItalics"/>
              </w:rPr>
              <w:t>harvest activities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2"/>
            </w:pPr>
            <w:r w:rsidRPr="005E1199">
              <w:t>2.1.</w:t>
            </w:r>
            <w:r w:rsidRPr="005E1199">
              <w:tab/>
              <w:t xml:space="preserve">Stock are harvested and </w:t>
            </w:r>
            <w:r w:rsidRPr="005E1199">
              <w:rPr>
                <w:rStyle w:val="BoldandItalics"/>
              </w:rPr>
              <w:t>handled</w:t>
            </w:r>
            <w:r w:rsidRPr="005E1199">
              <w:t xml:space="preserve"> with minimal stress or damage and according to the harvest schedule. </w:t>
            </w:r>
          </w:p>
          <w:p w:rsidR="00000000" w:rsidRPr="005E1199" w:rsidP="005E1199">
            <w:pPr>
              <w:pStyle w:val="List2"/>
            </w:pPr>
            <w:r w:rsidRPr="005E1199">
              <w:t>2.2.</w:t>
            </w:r>
            <w:r w:rsidRPr="005E1199">
              <w:tab/>
              <w:t>Slaughtered stock are packed and transported to processing facilities.</w:t>
            </w:r>
          </w:p>
          <w:p w:rsidR="00000000" w:rsidRPr="005E1199" w:rsidP="005E1199">
            <w:pPr>
              <w:pStyle w:val="List2"/>
            </w:pPr>
            <w:r w:rsidRPr="005E1199">
              <w:t>2.3.</w:t>
            </w:r>
            <w:r w:rsidRPr="005E1199">
              <w:tab/>
              <w:t>Stock for live transport are packed and transport</w:t>
            </w:r>
            <w:r w:rsidRPr="005E1199">
              <w:t xml:space="preserve">ed as required. </w:t>
            </w:r>
          </w:p>
          <w:p w:rsidR="00000000" w:rsidRPr="005E1199" w:rsidP="005E1199">
            <w:pPr>
              <w:pStyle w:val="List2"/>
            </w:pPr>
            <w:r w:rsidRPr="005E1199">
              <w:t>2.4.</w:t>
            </w:r>
            <w:r w:rsidRPr="005E1199">
              <w:tab/>
              <w:t>Quality assurance practices on harvested and slaughtered stock are maintained.</w:t>
            </w:r>
          </w:p>
          <w:p w:rsidR="00000000" w:rsidP="005E1199">
            <w:pPr>
              <w:pStyle w:val="List2"/>
              <w:rPr>
                <w:lang w:val="en-NZ"/>
              </w:rPr>
            </w:pPr>
            <w:r w:rsidRPr="005E1199">
              <w:t>2.5.</w:t>
            </w:r>
            <w:r w:rsidRPr="005E1199">
              <w:tab/>
              <w:t>Treatment of product during transport and arrival at destination is monitored through the transport company and customer.</w:t>
            </w:r>
          </w:p>
        </w:tc>
      </w:tr>
      <w:tr w:rsidTr="00EF11A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List"/>
              <w:rPr>
                <w:lang w:val="en-NZ"/>
              </w:rPr>
            </w:pPr>
            <w:r w:rsidRPr="005E1199">
              <w:t>3.</w:t>
            </w:r>
            <w:r w:rsidRPr="005E1199">
              <w:tab/>
              <w:t>Finalise harvest and pos</w:t>
            </w:r>
            <w:r w:rsidRPr="005E1199">
              <w:t>t-harvest activities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2"/>
            </w:pPr>
            <w:r w:rsidRPr="005E1199">
              <w:t>3.1.</w:t>
            </w:r>
            <w:r w:rsidRPr="005E1199">
              <w:tab/>
              <w:t>Clean up of work area, including repairs and storage of equipment, is supervised and condition report prepared.</w:t>
            </w:r>
          </w:p>
          <w:p w:rsidR="00000000" w:rsidRPr="005E1199" w:rsidP="005E1199">
            <w:pPr>
              <w:pStyle w:val="List2"/>
            </w:pPr>
            <w:r w:rsidRPr="005E1199">
              <w:t>3.2.</w:t>
            </w:r>
            <w:r w:rsidRPr="005E1199">
              <w:tab/>
              <w:t xml:space="preserve">Relevant harvest and post-harvest data, observations </w:t>
            </w:r>
            <w:r w:rsidRPr="005E1199">
              <w:t xml:space="preserve">or information are recorded legibly and accurately, and any </w:t>
            </w:r>
            <w:r w:rsidRPr="005E1199">
              <w:t xml:space="preserve">out of range or unusual records checked. </w:t>
            </w:r>
          </w:p>
          <w:p w:rsidR="00000000" w:rsidRPr="005E1199" w:rsidP="005E1199">
            <w:pPr>
              <w:pStyle w:val="List2"/>
            </w:pPr>
            <w:r w:rsidRPr="005E1199">
              <w:t>3.3.</w:t>
            </w:r>
            <w:r w:rsidRPr="005E1199">
              <w:tab/>
            </w:r>
            <w:r w:rsidRPr="005E1199">
              <w:rPr>
                <w:rStyle w:val="BoldandItalics"/>
              </w:rPr>
              <w:t>Production statistics</w:t>
            </w:r>
            <w:r w:rsidRPr="005E1199">
              <w:t xml:space="preserve"> are updated with harvest and post-harvest information.</w:t>
            </w:r>
          </w:p>
          <w:p w:rsidR="00000000" w:rsidRPr="005E1199" w:rsidP="005E1199">
            <w:pPr>
              <w:pStyle w:val="List2"/>
            </w:pPr>
            <w:r w:rsidRPr="005E1199">
              <w:t>3.4.</w:t>
            </w:r>
            <w:r w:rsidRPr="005E1199">
              <w:tab/>
            </w:r>
            <w:r w:rsidRPr="005E1199">
              <w:rPr>
                <w:rStyle w:val="BoldandItalics"/>
              </w:rPr>
              <w:t>Compliance</w:t>
            </w:r>
            <w:r w:rsidRPr="005E1199">
              <w:t xml:space="preserve"> and other required reports are prepared and conveyed to senior personnel advising of the effectiveness of harvest an</w:t>
            </w:r>
            <w:r w:rsidRPr="005E1199">
              <w:t>d post-harvest, and recommendations made for improvements</w:t>
            </w:r>
          </w:p>
          <w:p w:rsidR="00000000" w:rsidRPr="005E1199" w:rsidP="005E1199">
            <w:pPr>
              <w:pStyle w:val="List2"/>
            </w:pPr>
            <w:r w:rsidRPr="005E1199">
              <w:t>3.5.</w:t>
            </w:r>
            <w:r w:rsidRPr="005E1199">
              <w:tab/>
              <w:t>Staff are given feedback on their work performance.</w:t>
            </w:r>
          </w:p>
        </w:tc>
      </w:tr>
    </w:tbl>
    <w:p w:rsidR="00EF11A1" w:rsidP="005E1199">
      <w:pPr>
        <w:pStyle w:val="BodyText"/>
      </w:pPr>
    </w:p>
    <w:p w:rsidR="00EF11A1" w:rsidP="005E1199">
      <w:pPr>
        <w:pStyle w:val="BodyText"/>
      </w:pPr>
    </w:p>
    <w:p w:rsidR="00000000" w:rsidRPr="005E1199" w:rsidP="005E1199">
      <w:pPr>
        <w:pStyle w:val="Heading1"/>
      </w:pPr>
      <w:bookmarkStart w:id="9" w:name="O_261681"/>
      <w:bookmarkEnd w:id="9"/>
      <w:r w:rsidRPr="005E1199">
        <w:t>Required Skills and Knowledge</w:t>
      </w:r>
    </w:p>
    <w:tbl>
      <w:tblPr>
        <w:tblW w:w="0" w:type="auto"/>
        <w:tblLayout w:type="fixed"/>
        <w:tblCellMar>
          <w:left w:w="62" w:type="dxa"/>
          <w:right w:w="62" w:type="dxa"/>
        </w:tblCellMar>
        <w:tblLook w:val="0000"/>
      </w:tblPr>
      <w:tblGrid>
        <w:gridCol w:w="8522"/>
      </w:tblGrid>
      <w:tr w:rsidTr="00EF11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REQUIRED SKILLS AND KNOWLEDGE</w:t>
            </w:r>
          </w:p>
        </w:tc>
      </w:tr>
      <w:tr w:rsidTr="00EF1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t>This section describes the skills and knowledge required for this unit.</w:t>
            </w:r>
          </w:p>
        </w:tc>
      </w:tr>
      <w:tr w:rsidTr="00EF1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Required skills</w:t>
            </w:r>
          </w:p>
        </w:tc>
      </w:tr>
      <w:tr w:rsidTr="00EF1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briefing of staff, supervisors and suppliers of services</w:t>
            </w:r>
          </w:p>
          <w:p w:rsidR="00000000" w:rsidRPr="005E1199" w:rsidP="005E1199">
            <w:pPr>
              <w:pStyle w:val="ListBullet"/>
            </w:pPr>
            <w:r w:rsidRPr="005E1199">
              <w:t>assessing options for mechanisation or automation of process or activity, including the use of specialised contract services</w:t>
            </w:r>
          </w:p>
          <w:p w:rsidR="00000000" w:rsidRPr="005E1199" w:rsidP="005E1199">
            <w:pPr>
              <w:pStyle w:val="ListBullet"/>
            </w:pPr>
            <w:r w:rsidRPr="005E1199">
              <w:t>developing harvest schedules</w:t>
            </w:r>
          </w:p>
          <w:p w:rsidR="00000000" w:rsidRPr="005E1199" w:rsidP="005E1199">
            <w:pPr>
              <w:pStyle w:val="ListBullet"/>
            </w:pPr>
            <w:r w:rsidRPr="005E1199">
              <w:t>identifying opportunities for improvements and innovations</w:t>
            </w:r>
          </w:p>
          <w:p w:rsidR="00000000" w:rsidRPr="005E1199" w:rsidP="005E1199">
            <w:pPr>
              <w:pStyle w:val="ListBullet"/>
            </w:pPr>
            <w:r w:rsidRPr="005E1199">
              <w:t>interpreting orders or sales and production</w:t>
            </w:r>
            <w:r w:rsidRPr="005E1199">
              <w:t xml:space="preserve"> </w:t>
            </w:r>
          </w:p>
          <w:p w:rsidR="00000000" w:rsidRPr="005E1199" w:rsidP="005E1199">
            <w:pPr>
              <w:pStyle w:val="ListBullet"/>
            </w:pPr>
            <w:r w:rsidRPr="005E1199">
              <w:t>organising skills to coordinate multiple work tasks, roster workers and responsibilities</w:t>
            </w:r>
          </w:p>
          <w:p w:rsidR="00000000" w:rsidRPr="005E1199" w:rsidP="005E1199">
            <w:pPr>
              <w:pStyle w:val="ListBullet"/>
            </w:pPr>
            <w:r w:rsidRPr="005E1199">
              <w:t>planning harvest and post-harvest activities</w:t>
            </w:r>
          </w:p>
          <w:p w:rsidR="00000000" w:rsidRPr="005E1199" w:rsidP="005E1199">
            <w:pPr>
              <w:pStyle w:val="ListBullet"/>
            </w:pPr>
            <w:r w:rsidRPr="005E1199">
              <w:t>providing feedback to staff, work team leaders and suppliers of services</w:t>
            </w:r>
          </w:p>
          <w:p w:rsidR="00000000" w:rsidRPr="005E1199" w:rsidP="005E1199">
            <w:pPr>
              <w:pStyle w:val="ListBullet"/>
            </w:pPr>
            <w:r w:rsidRPr="005E1199">
              <w:t>reporting orally in writing to senior managemen</w:t>
            </w:r>
            <w:r w:rsidRPr="005E1199">
              <w:t>t on harvest and post-harvest activities.</w:t>
            </w:r>
          </w:p>
          <w:p w:rsidR="00000000" w:rsidRPr="005E1199" w:rsidP="005E1199">
            <w:pPr>
              <w:pStyle w:val="BodyText"/>
            </w:pPr>
          </w:p>
          <w:p w:rsidR="00000000" w:rsidRPr="005E1199" w:rsidP="005E1199">
            <w:pPr>
              <w:pStyle w:val="BodyText"/>
            </w:pPr>
            <w:r w:rsidRPr="005E1199">
              <w:rPr>
                <w:rStyle w:val="SpecialBold"/>
              </w:rPr>
              <w:t>Literacy skills used for</w:t>
            </w:r>
            <w:r w:rsidRPr="005E1199">
              <w:t xml:space="preserve">: </w:t>
            </w:r>
          </w:p>
          <w:p w:rsidR="00000000" w:rsidRPr="005E1199" w:rsidP="005E1199">
            <w:pPr>
              <w:pStyle w:val="ListBullet"/>
            </w:pPr>
            <w:r w:rsidRPr="005E1199">
              <w:t>filling out compliance-related forms</w:t>
            </w:r>
          </w:p>
          <w:p w:rsidR="00000000" w:rsidRPr="005E1199" w:rsidP="005E1199">
            <w:pPr>
              <w:pStyle w:val="ListBullet"/>
            </w:pPr>
            <w:r w:rsidRPr="005E1199">
              <w:t>reading market and production information, harvest and equipment reports</w:t>
            </w:r>
          </w:p>
          <w:p w:rsidR="00000000" w:rsidRPr="005E1199" w:rsidP="005E1199">
            <w:pPr>
              <w:pStyle w:val="ListBullet"/>
            </w:pPr>
            <w:r w:rsidRPr="005E1199">
              <w:t>recording harvest-related data in production records.</w:t>
            </w:r>
          </w:p>
          <w:p w:rsidR="00000000" w:rsidRPr="005E1199" w:rsidP="005E1199">
            <w:pPr>
              <w:pStyle w:val="BodyText"/>
            </w:pPr>
          </w:p>
          <w:p w:rsidR="00000000" w:rsidRPr="005E1199" w:rsidP="005E1199">
            <w:pPr>
              <w:pStyle w:val="BodyText"/>
            </w:pPr>
            <w:r w:rsidRPr="005E1199">
              <w:rPr>
                <w:rStyle w:val="SpecialBold"/>
              </w:rPr>
              <w:t>Numeracy skills used for</w:t>
            </w:r>
            <w:r w:rsidRPr="005E1199">
              <w:t xml:space="preserve">: </w:t>
            </w:r>
          </w:p>
          <w:p w:rsidR="00000000" w:rsidRPr="005E1199" w:rsidP="005E1199">
            <w:pPr>
              <w:pStyle w:val="ListBullet"/>
            </w:pPr>
            <w:r w:rsidRPr="005E1199">
              <w:t>calculating averages, loads, and quantities</w:t>
            </w:r>
          </w:p>
          <w:p w:rsidR="00000000" w:rsidP="005E1199">
            <w:pPr>
              <w:pStyle w:val="ListBullet"/>
              <w:rPr>
                <w:lang w:val="en-NZ"/>
              </w:rPr>
            </w:pPr>
            <w:r w:rsidRPr="005E1199">
              <w:t>calculating percentage survival and percentage quality parameters.</w:t>
            </w:r>
          </w:p>
        </w:tc>
      </w:tr>
      <w:tr w:rsidTr="00EF1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Required knowledge</w:t>
            </w:r>
          </w:p>
        </w:tc>
      </w:tr>
      <w:tr w:rsidTr="00EF11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appropriate harvesting and post-harvesting techniques</w:t>
            </w:r>
          </w:p>
          <w:p w:rsidR="00000000" w:rsidRPr="005E1199" w:rsidP="005E1199">
            <w:pPr>
              <w:pStyle w:val="ListBullet"/>
            </w:pPr>
            <w:r w:rsidRPr="005E1199">
              <w:t>production cycle for specific types of st</w:t>
            </w:r>
            <w:r w:rsidRPr="005E1199">
              <w:t>ock</w:t>
            </w:r>
          </w:p>
          <w:p w:rsidR="00000000" w:rsidRPr="005E1199" w:rsidP="005E1199">
            <w:pPr>
              <w:pStyle w:val="ListBullet"/>
            </w:pPr>
            <w:r w:rsidRPr="005E1199">
              <w:t>quality control procedures relevant to harvesting, grading and storage of stock</w:t>
            </w:r>
          </w:p>
          <w:p w:rsidR="00000000" w:rsidRPr="005E1199" w:rsidP="005E1199">
            <w:pPr>
              <w:pStyle w:val="ListBullet"/>
            </w:pPr>
            <w:r w:rsidRPr="005E1199">
              <w:t>quality parameters in specific types of stock</w:t>
            </w:r>
          </w:p>
          <w:p w:rsidR="00000000" w:rsidRPr="005E1199" w:rsidP="005E1199">
            <w:pPr>
              <w:pStyle w:val="ListBullet"/>
            </w:pPr>
            <w:r w:rsidRPr="005E1199">
              <w:t>requirements and welfare of stock (live).</w:t>
            </w:r>
          </w:p>
        </w:tc>
      </w:tr>
    </w:tbl>
    <w:p w:rsidR="00EF11A1" w:rsidP="005E1199">
      <w:pPr>
        <w:pStyle w:val="BodyText"/>
      </w:pPr>
    </w:p>
    <w:p w:rsidR="00EF11A1" w:rsidP="005E1199">
      <w:pPr>
        <w:pStyle w:val="BodyText"/>
      </w:pPr>
    </w:p>
    <w:p w:rsidR="00000000" w:rsidRPr="005E1199" w:rsidP="005E1199">
      <w:pPr>
        <w:pStyle w:val="AllowPageBreak"/>
      </w:pPr>
    </w:p>
    <w:p w:rsidR="00000000" w:rsidRPr="005E1199" w:rsidP="005E1199">
      <w:pPr>
        <w:pStyle w:val="Heading1"/>
      </w:pPr>
      <w:bookmarkStart w:id="10" w:name="O_245874"/>
      <w:bookmarkEnd w:id="10"/>
      <w:r w:rsidRPr="005E1199">
        <w:t>Evidence Guide</w:t>
      </w:r>
    </w:p>
    <w:tbl>
      <w:tblPr>
        <w:tblW w:w="9570" w:type="dxa"/>
        <w:tblLayout w:type="fixed"/>
        <w:tblCellMar>
          <w:left w:w="62" w:type="dxa"/>
          <w:right w:w="62" w:type="dxa"/>
        </w:tblCellMar>
        <w:tblLook w:val="0000"/>
      </w:tblPr>
      <w:tblGrid>
        <w:gridCol w:w="3908"/>
        <w:gridCol w:w="5662"/>
      </w:tblGrid>
      <w:tr w:rsidTr="00EF11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EVIDENCE GUIDE</w:t>
            </w:r>
          </w:p>
        </w:tc>
      </w:tr>
      <w:tr w:rsidTr="00EF11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t>The evidence guide provides advice on assessment and must be read in conjunction with the performance criteria, required skills and knowledge, range statement and the Assessment Guidelines for the Training Package.</w:t>
            </w:r>
          </w:p>
        </w:tc>
      </w:tr>
      <w:tr w:rsidTr="00EF1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p>
        </w:tc>
      </w:tr>
      <w:tr w:rsidTr="00EF1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Critical aspec</w:t>
            </w:r>
            <w:r w:rsidRPr="005E1199">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t xml:space="preserve">Assessment must confirm the ability to: </w:t>
            </w:r>
          </w:p>
          <w:p w:rsidR="00000000" w:rsidRPr="005E1199" w:rsidP="005E1199">
            <w:pPr>
              <w:pStyle w:val="ListBullet"/>
            </w:pPr>
            <w:r w:rsidRPr="005E1199">
              <w:t>develop a harvest schedule and manage its implementation and post-harvest requirements.</w:t>
            </w:r>
          </w:p>
          <w:p w:rsidR="00000000" w:rsidRPr="005E1199" w:rsidP="005E1199">
            <w:pPr>
              <w:pStyle w:val="BodyText"/>
            </w:pPr>
          </w:p>
          <w:p w:rsidR="00000000" w:rsidRPr="005E1199" w:rsidP="005E1199">
            <w:pPr>
              <w:pStyle w:val="BodyText"/>
            </w:pPr>
            <w:r w:rsidRPr="005E1199">
              <w:t xml:space="preserve">Assessment must confirm knowledge of: </w:t>
            </w:r>
          </w:p>
          <w:p w:rsidR="00000000" w:rsidRPr="005E1199" w:rsidP="005E1199">
            <w:pPr>
              <w:pStyle w:val="ListBullet"/>
            </w:pPr>
            <w:r w:rsidRPr="005E1199">
              <w:t>har</w:t>
            </w:r>
            <w:r w:rsidRPr="005E1199">
              <w:t>vesting techniques and post-harvest processes</w:t>
            </w:r>
          </w:p>
          <w:p w:rsidR="00000000" w:rsidP="005E1199">
            <w:pPr>
              <w:pStyle w:val="ListBullet"/>
              <w:rPr>
                <w:lang w:val="en-NZ"/>
              </w:rPr>
            </w:pPr>
            <w:r w:rsidRPr="005E1199">
              <w:t>quality assurance principles.</w:t>
            </w:r>
          </w:p>
        </w:tc>
      </w:tr>
      <w:tr w:rsidTr="00EF1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t xml:space="preserve">Assessment is to be conducted at the workplace or in a simulated work environment. </w:t>
            </w:r>
          </w:p>
          <w:p w:rsidR="00000000" w:rsidRPr="005E1199" w:rsidP="005E1199">
            <w:pPr>
              <w:pStyle w:val="BodyText"/>
            </w:pPr>
          </w:p>
          <w:p w:rsidR="00000000" w:rsidRPr="005E1199" w:rsidP="005E1199">
            <w:pPr>
              <w:pStyle w:val="BodyText"/>
            </w:pPr>
            <w:r w:rsidRPr="005E1199">
              <w:t xml:space="preserve">Resources may include: </w:t>
            </w:r>
          </w:p>
          <w:p w:rsidR="00000000" w:rsidP="005E1199">
            <w:pPr>
              <w:pStyle w:val="ListBullet"/>
              <w:rPr>
                <w:lang w:val="en-NZ"/>
              </w:rPr>
            </w:pPr>
            <w:r w:rsidRPr="005E1199">
              <w:t>workplace or simulat</w:t>
            </w:r>
            <w:r w:rsidRPr="005E1199">
              <w:t>ed workplace with actual harvest underway, including work team leader and staff.</w:t>
            </w:r>
          </w:p>
        </w:tc>
      </w:tr>
      <w:tr w:rsidTr="00EF1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t xml:space="preserve">The following assessment method is suggested: </w:t>
            </w:r>
          </w:p>
          <w:p w:rsidR="00000000" w:rsidP="005E1199">
            <w:pPr>
              <w:pStyle w:val="ListBullet"/>
              <w:rPr>
                <w:lang w:val="en-NZ"/>
              </w:rPr>
            </w:pPr>
            <w:r w:rsidRPr="005E1199">
              <w:t>project (work or scenario based).</w:t>
            </w:r>
          </w:p>
        </w:tc>
      </w:tr>
      <w:tr w:rsidTr="00EF11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t>This unit may be assessed holistically with other units within a qualification.</w:t>
            </w:r>
          </w:p>
        </w:tc>
      </w:tr>
    </w:tbl>
    <w:p w:rsidR="00EF11A1" w:rsidP="005E1199">
      <w:pPr>
        <w:pStyle w:val="BodyText"/>
      </w:pPr>
    </w:p>
    <w:p w:rsidR="00EF11A1" w:rsidP="005E1199">
      <w:pPr>
        <w:pStyle w:val="BodyText"/>
      </w:pPr>
    </w:p>
    <w:p w:rsidR="00000000" w:rsidRPr="005E1199" w:rsidP="005E1199">
      <w:pPr>
        <w:pStyle w:val="Heading1"/>
      </w:pPr>
      <w:bookmarkStart w:id="11" w:name="O_253857"/>
      <w:bookmarkEnd w:id="11"/>
      <w:r w:rsidRPr="005E1199">
        <w:t>Range Statement</w:t>
      </w:r>
    </w:p>
    <w:tbl>
      <w:tblPr>
        <w:tblW w:w="0" w:type="auto"/>
        <w:tblLayout w:type="fixed"/>
        <w:tblCellMar>
          <w:left w:w="62" w:type="dxa"/>
          <w:right w:w="62" w:type="dxa"/>
        </w:tblCellMar>
        <w:tblLook w:val="0000"/>
      </w:tblPr>
      <w:tblGrid>
        <w:gridCol w:w="3440"/>
        <w:gridCol w:w="5082"/>
      </w:tblGrid>
      <w:tr w:rsidTr="00EF11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RANGE STATEMENT</w:t>
            </w:r>
          </w:p>
        </w:tc>
      </w:tr>
      <w:tr w:rsidTr="00EF11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t>The range statement relates to the unit of competency as a whole. It allows for different work environments and situatio</w:t>
            </w:r>
            <w:r w:rsidRPr="005E1199">
              <w:t>ns that may affect performance. Bold italicised wording, if used in the performance criteria, is detailed below. Essential operating conditions that may be present with training and assessment (depending on the work situation, needs of the candidate, acces</w:t>
            </w:r>
            <w:r w:rsidRPr="005E1199">
              <w:t>sibility of the item, and local industry and regional contexts) may also be included.</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Cultured or held stock</w:t>
            </w:r>
            <w:r w:rsidRPr="005E1199">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 xml:space="preserve">adults, broodstock (ready to breed), seedstock or stockers, eggs and sperm, fertilised </w:t>
            </w:r>
            <w:r w:rsidRPr="005E1199">
              <w:t>eggs, larvae, post-larvae, seed, spat, hatchlings, yearlings, juveniles, fry, fingerlings, yearlings, smolt, sporophytes, seedlings and tissue cultures</w:t>
            </w:r>
          </w:p>
          <w:p w:rsidR="00000000" w:rsidRPr="005E1199" w:rsidP="005E1199">
            <w:pPr>
              <w:pStyle w:val="ListBullet"/>
            </w:pPr>
            <w:r w:rsidRPr="005E1199">
              <w:t>finfish, crustaceans, molluscs, aquatic reptiles, amphibians, polychaete and oligochaete worms, plankton</w:t>
            </w:r>
            <w:r w:rsidRPr="005E1199">
              <w:t>, micro-algae, seaweed, aquatic plants, live rock, sponges and other aquatic invertebrates</w:t>
            </w:r>
          </w:p>
          <w:p w:rsidR="00000000" w:rsidRPr="005E1199" w:rsidP="005E1199">
            <w:pPr>
              <w:pStyle w:val="ListBullet"/>
            </w:pPr>
            <w:r w:rsidRPr="005E1199">
              <w:t>for human consumption (seafood), stockers for other farms, stockers for conservation or recreational fishing, display or companion animals (ornamentals), and other p</w:t>
            </w:r>
            <w:r w:rsidRPr="005E1199">
              <w:t>roducts, including pearls, skins, shells, eggs, chemicals and pigments</w:t>
            </w:r>
          </w:p>
          <w:p w:rsidR="00000000" w:rsidP="005E1199">
            <w:pPr>
              <w:pStyle w:val="ListBullet"/>
              <w:rPr>
                <w:lang w:val="en-NZ"/>
              </w:rPr>
            </w:pPr>
            <w:r w:rsidRPr="005E1199">
              <w:t>wild caught, hatchery or nursery reared.</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Relevant government regulations</w:t>
            </w:r>
            <w:r w:rsidRPr="005E1199">
              <w:t xml:space="preserve">, </w:t>
            </w:r>
            <w:r w:rsidRPr="005E1199">
              <w:rPr>
                <w:rStyle w:val="BoldandItalics"/>
              </w:rPr>
              <w:t>licensing and other compliance requirements</w:t>
            </w:r>
            <w:r w:rsidRPr="005E119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business or workplace operations, policies and pract</w:t>
            </w:r>
            <w:r w:rsidRPr="005E1199">
              <w:t>ices:</w:t>
            </w:r>
          </w:p>
          <w:p w:rsidR="00000000" w:rsidRPr="005E1199" w:rsidP="005E1199">
            <w:pPr>
              <w:pStyle w:val="ListBullet2"/>
            </w:pPr>
            <w:r w:rsidRPr="005E1199">
              <w:t xml:space="preserve">commercial law, including fair trading and trade practices </w:t>
            </w:r>
          </w:p>
          <w:p w:rsidR="00000000" w:rsidRPr="005E1199" w:rsidP="005E1199">
            <w:pPr>
              <w:pStyle w:val="ListBullet2"/>
            </w:pPr>
            <w:r w:rsidRPr="005E1199">
              <w:t>consumer law</w:t>
            </w:r>
          </w:p>
          <w:p w:rsidR="00000000" w:rsidRPr="005E1199" w:rsidP="005E1199">
            <w:pPr>
              <w:pStyle w:val="ListBullet2"/>
            </w:pPr>
            <w:r w:rsidRPr="005E1199">
              <w:t xml:space="preserve">corporate law, including registration, licensing and financial reporting </w:t>
            </w:r>
          </w:p>
          <w:p w:rsidR="00000000" w:rsidRPr="005E1199" w:rsidP="005E1199">
            <w:pPr>
              <w:pStyle w:val="ListBullet2"/>
            </w:pPr>
            <w:r w:rsidRPr="005E1199">
              <w:t>disability policies and practices</w:t>
            </w:r>
          </w:p>
          <w:p w:rsidR="00000000" w:rsidRPr="005E1199" w:rsidP="005E1199">
            <w:pPr>
              <w:pStyle w:val="ListBullet2"/>
            </w:pPr>
            <w:r w:rsidRPr="005E1199">
              <w:t xml:space="preserve">equal opportunity, anti-discrimination and sexual harassment </w:t>
            </w:r>
          </w:p>
          <w:p w:rsidR="00000000" w:rsidRPr="005E1199" w:rsidP="005E1199">
            <w:pPr>
              <w:pStyle w:val="ListBullet2"/>
            </w:pPr>
            <w:r w:rsidRPr="005E1199">
              <w:t>industrial relations and awards, individual employment contracts and share of catch agreements</w:t>
            </w:r>
          </w:p>
          <w:p w:rsidR="00000000" w:rsidRPr="005E1199" w:rsidP="005E1199">
            <w:pPr>
              <w:pStyle w:val="ListBullet2"/>
            </w:pPr>
            <w:r w:rsidRPr="005E1199">
              <w:t>jurisdictional variations</w:t>
            </w:r>
          </w:p>
          <w:p w:rsidR="00000000" w:rsidRPr="005E1199" w:rsidP="005E1199">
            <w:pPr>
              <w:pStyle w:val="ListBullet2"/>
            </w:pPr>
            <w:r w:rsidRPr="005E1199">
              <w:t>superannuation</w:t>
            </w:r>
          </w:p>
          <w:p w:rsidR="00000000" w:rsidRPr="005E1199" w:rsidP="005E1199">
            <w:pPr>
              <w:pStyle w:val="ListBullet2"/>
            </w:pPr>
            <w:r w:rsidRPr="005E1199">
              <w:t>taxation</w:t>
            </w:r>
          </w:p>
          <w:p w:rsidR="00000000" w:rsidRPr="005E1199" w:rsidP="005E1199">
            <w:pPr>
              <w:pStyle w:val="ListBullet2"/>
            </w:pPr>
            <w:r w:rsidRPr="005E1199">
              <w:t xml:space="preserve">trade practices </w:t>
            </w:r>
          </w:p>
          <w:p w:rsidR="00000000" w:rsidRPr="005E1199" w:rsidP="005E1199">
            <w:pPr>
              <w:pStyle w:val="ListBullet2"/>
            </w:pPr>
            <w:r w:rsidRPr="005E1199">
              <w:t>warnings and dismissals</w:t>
            </w:r>
          </w:p>
          <w:p w:rsidR="00000000" w:rsidRPr="005E1199" w:rsidP="005E1199">
            <w:pPr>
              <w:pStyle w:val="ListBullet2"/>
            </w:pPr>
            <w:r w:rsidRPr="005E1199">
              <w:t>worker's compensation</w:t>
            </w:r>
          </w:p>
          <w:p w:rsidR="00000000" w:rsidRPr="005E1199" w:rsidP="005E1199">
            <w:pPr>
              <w:pStyle w:val="ListBullet"/>
            </w:pPr>
            <w:r w:rsidRPr="005E1199">
              <w:t>ESD principles, environmental hazard identifica</w:t>
            </w:r>
            <w:r w:rsidRPr="005E1199">
              <w:t>tion, risk assessment and control</w:t>
            </w:r>
          </w:p>
          <w:p w:rsidR="00000000" w:rsidRPr="005E1199" w:rsidP="005E1199">
            <w:pPr>
              <w:pStyle w:val="ListBullet"/>
            </w:pPr>
            <w:r w:rsidRPr="005E1199">
              <w:t>fisheries or aquaculture regulations, permits, licences, quotas, catch restrictions and other compliance requirements, including:</w:t>
            </w:r>
          </w:p>
          <w:p w:rsidR="00000000" w:rsidRPr="005E1199" w:rsidP="005E1199">
            <w:pPr>
              <w:pStyle w:val="ListBullet2"/>
            </w:pPr>
            <w:r w:rsidRPr="005E1199">
              <w:t>Australian Exclusive Economic Zone</w:t>
            </w:r>
          </w:p>
          <w:p w:rsidR="00000000" w:rsidRPr="005E1199" w:rsidP="005E1199">
            <w:pPr>
              <w:pStyle w:val="ListBullet2"/>
            </w:pPr>
            <w:r w:rsidRPr="005E1199">
              <w:t>international treaties and agreements</w:t>
            </w:r>
          </w:p>
          <w:p w:rsidR="00000000" w:rsidRPr="005E1199" w:rsidP="005E1199">
            <w:pPr>
              <w:pStyle w:val="ListBullet"/>
            </w:pPr>
            <w:r w:rsidRPr="005E1199">
              <w:t>food safety, Hazard Analysis Critical Control Point (HACCP), hygiene and temperature control along chain of custody</w:t>
            </w:r>
          </w:p>
          <w:p w:rsidR="00000000" w:rsidRPr="005E1199" w:rsidP="005E1199">
            <w:pPr>
              <w:pStyle w:val="ListBullet"/>
            </w:pPr>
            <w:r w:rsidRPr="005E1199">
              <w:t>imports quarantine and inspection, and importing approved arrangements for Australian Quarantine Inspection Service (AQIS), Australian Custo</w:t>
            </w:r>
            <w:r w:rsidRPr="005E1199">
              <w:t>ms Service (ACS) and Biosecurity Australia (BA)</w:t>
            </w:r>
          </w:p>
          <w:p w:rsidR="00000000" w:rsidRPr="005E1199" w:rsidP="005E1199">
            <w:pPr>
              <w:pStyle w:val="ListBullet"/>
            </w:pPr>
            <w:r w:rsidRPr="005E1199">
              <w:t>Indigenous native title, land claims and cultural activities, including fishing by traditional methods</w:t>
            </w:r>
          </w:p>
          <w:p w:rsidR="00000000" w:rsidRPr="005E1199" w:rsidP="005E1199">
            <w:pPr>
              <w:pStyle w:val="ListBullet"/>
            </w:pPr>
            <w:r w:rsidRPr="005E1199">
              <w:t>maritime and occupational diving operations:</w:t>
            </w:r>
          </w:p>
          <w:p w:rsidR="00000000" w:rsidRPr="005E1199" w:rsidP="005E1199">
            <w:pPr>
              <w:pStyle w:val="ListBullet2"/>
            </w:pPr>
            <w:r w:rsidRPr="005E1199">
              <w:t>foreign and Australian legislation applying to quarantine a</w:t>
            </w:r>
            <w:r w:rsidRPr="005E1199">
              <w:t>nd customs</w:t>
            </w:r>
          </w:p>
          <w:p w:rsidR="00000000" w:rsidRPr="005E1199" w:rsidP="005E1199">
            <w:pPr>
              <w:pStyle w:val="ListBullet2"/>
            </w:pPr>
            <w:r w:rsidRPr="005E1199">
              <w:t>International Convention for the Safety of Life at Sea (SOLAS)</w:t>
            </w:r>
          </w:p>
          <w:p w:rsidR="00000000" w:rsidRPr="005E1199" w:rsidP="005E1199">
            <w:pPr>
              <w:pStyle w:val="ListBullet2"/>
            </w:pPr>
            <w:r w:rsidRPr="005E1199">
              <w:t xml:space="preserve">International Convention on Standards of Training, Certification and Watchkeeping for Seafarers (STCW 1978) </w:t>
            </w:r>
          </w:p>
          <w:p w:rsidR="00000000" w:rsidRPr="005E1199" w:rsidP="005E1199">
            <w:pPr>
              <w:pStyle w:val="ListBullet2"/>
            </w:pPr>
            <w:r w:rsidRPr="005E1199">
              <w:t>Marine Emergency Response Search and Rescue (MERSAR)</w:t>
            </w:r>
          </w:p>
          <w:p w:rsidR="00000000" w:rsidRPr="005E1199" w:rsidP="005E1199">
            <w:pPr>
              <w:pStyle w:val="ListBullet2"/>
            </w:pPr>
            <w:r w:rsidRPr="005E1199">
              <w:t>National Standards f</w:t>
            </w:r>
            <w:r w:rsidRPr="005E1199">
              <w:t>or Commercial Vessels</w:t>
            </w:r>
          </w:p>
          <w:p w:rsidR="00000000" w:rsidRPr="005E1199" w:rsidP="005E1199">
            <w:pPr>
              <w:pStyle w:val="ListBullet2"/>
            </w:pPr>
            <w:r w:rsidRPr="005E1199">
              <w:t>pollution prevention - International Convention for the Prevention of Pollution from Ships (MARPOL 73/78)</w:t>
            </w:r>
          </w:p>
          <w:p w:rsidR="00000000" w:rsidRPr="005E1199" w:rsidP="005E1199">
            <w:pPr>
              <w:pStyle w:val="ListBullet2"/>
            </w:pPr>
            <w:r w:rsidRPr="005E1199">
              <w:t xml:space="preserve">Uniform Shipping Laws (USL) Code </w:t>
            </w:r>
          </w:p>
          <w:p w:rsidR="00000000" w:rsidRPr="005E1199" w:rsidP="005E1199">
            <w:pPr>
              <w:pStyle w:val="ListBullet2"/>
            </w:pPr>
            <w:r w:rsidRPr="005E1199">
              <w:t>use of vessels, right of way and other marine orders, bunkering and refuelling</w:t>
            </w:r>
          </w:p>
          <w:p w:rsidR="00000000" w:rsidRPr="005E1199" w:rsidP="005E1199">
            <w:pPr>
              <w:pStyle w:val="ListBullet"/>
            </w:pPr>
            <w:r w:rsidRPr="005E1199">
              <w:t>land, buildings and vehicles:</w:t>
            </w:r>
          </w:p>
          <w:p w:rsidR="00000000" w:rsidRPr="005E1199" w:rsidP="005E1199">
            <w:pPr>
              <w:pStyle w:val="ListBullet2"/>
            </w:pPr>
            <w:r w:rsidRPr="005E1199">
              <w:t>buildings and structures design and appearance, constructions and additions</w:t>
            </w:r>
          </w:p>
          <w:p w:rsidR="00000000" w:rsidRPr="005E1199" w:rsidP="005E1199">
            <w:pPr>
              <w:pStyle w:val="ListBullet2"/>
            </w:pPr>
            <w:r w:rsidRPr="005E1199">
              <w:t xml:space="preserve">poaching, trespass and theft </w:t>
            </w:r>
          </w:p>
          <w:p w:rsidR="00000000" w:rsidRPr="005E1199" w:rsidP="005E1199">
            <w:pPr>
              <w:pStyle w:val="ListBullet2"/>
            </w:pPr>
            <w:r w:rsidRPr="005E1199">
              <w:t>road laws for use of motor vehicles, bikes, trucks and other transport equipment</w:t>
            </w:r>
          </w:p>
          <w:p w:rsidR="00000000" w:rsidRPr="005E1199" w:rsidP="005E1199">
            <w:pPr>
              <w:pStyle w:val="ListBullet2"/>
            </w:pPr>
            <w:r w:rsidRPr="005E1199">
              <w:t xml:space="preserve">soil and water management </w:t>
            </w:r>
          </w:p>
          <w:p w:rsidR="00000000" w:rsidRPr="005E1199" w:rsidP="005E1199">
            <w:pPr>
              <w:pStyle w:val="ListBullet2"/>
            </w:pPr>
            <w:r w:rsidRPr="005E1199">
              <w:t>use of chem</w:t>
            </w:r>
            <w:r w:rsidRPr="005E1199">
              <w:t>icals and biological agents</w:t>
            </w:r>
          </w:p>
          <w:p w:rsidR="00000000" w:rsidRPr="005E1199" w:rsidP="005E1199">
            <w:pPr>
              <w:pStyle w:val="ListBullet2"/>
            </w:pPr>
            <w:r w:rsidRPr="005E1199">
              <w:t>use of firearms and powerheads</w:t>
            </w:r>
          </w:p>
          <w:p w:rsidR="00000000" w:rsidRPr="005E1199" w:rsidP="005E1199">
            <w:pPr>
              <w:pStyle w:val="ListBullet2"/>
            </w:pPr>
            <w:r w:rsidRPr="005E1199">
              <w:t>use of utilities, including water, natural gas, electricity and sewage</w:t>
            </w:r>
          </w:p>
          <w:p w:rsidR="00000000" w:rsidRPr="005E1199" w:rsidP="005E1199">
            <w:pPr>
              <w:pStyle w:val="ListBullet2"/>
            </w:pPr>
            <w:r w:rsidRPr="005E1199">
              <w:t xml:space="preserve">water or land lease, tenure or ownership and use </w:t>
            </w:r>
          </w:p>
          <w:p w:rsidR="00000000" w:rsidRPr="005E1199" w:rsidP="005E1199">
            <w:pPr>
              <w:pStyle w:val="ListBullet"/>
            </w:pPr>
            <w:r w:rsidRPr="005E1199">
              <w:t>OHS hazard identification, risk assessment and control</w:t>
            </w:r>
          </w:p>
          <w:p w:rsidR="00000000" w:rsidRPr="005E1199" w:rsidP="005E1199">
            <w:pPr>
              <w:pStyle w:val="ListBullet"/>
            </w:pPr>
            <w:r w:rsidRPr="005E1199">
              <w:t>product quality assu</w:t>
            </w:r>
            <w:r w:rsidRPr="005E1199">
              <w:t>rance:</w:t>
            </w:r>
          </w:p>
          <w:p w:rsidR="00000000" w:rsidRPr="005E1199" w:rsidP="005E1199">
            <w:pPr>
              <w:pStyle w:val="ListBullet2"/>
            </w:pPr>
            <w:r w:rsidRPr="005E1199">
              <w:t>correct naming and labelling (e.g. country of origin, Australian Fish Names Standard and eco-labelling)</w:t>
            </w:r>
          </w:p>
          <w:p w:rsidR="00000000" w:rsidRPr="005E1199" w:rsidP="005E1199">
            <w:pPr>
              <w:pStyle w:val="ListBullet2"/>
            </w:pPr>
            <w:r w:rsidRPr="005E1199">
              <w:t>correct quantities, sizes and other customer requirements</w:t>
            </w:r>
          </w:p>
          <w:p w:rsidR="00000000" w:rsidP="005E1199">
            <w:pPr>
              <w:pStyle w:val="ListBullet2"/>
              <w:rPr>
                <w:lang w:val="en-NZ"/>
              </w:rPr>
            </w:pPr>
            <w:r w:rsidRPr="005E1199">
              <w:t>third-party certification (e.g. Australi</w:t>
            </w:r>
            <w:r w:rsidRPr="005E1199">
              <w:t>an Grown and ISO 14001:2004 Environmental management systems).</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OHS guidelines</w:t>
            </w:r>
            <w:r w:rsidRPr="005E119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appropriate workplace provision of first aid kits and fire extinguishers</w:t>
            </w:r>
          </w:p>
          <w:p w:rsidR="00000000" w:rsidRPr="005E1199" w:rsidP="005E1199">
            <w:pPr>
              <w:pStyle w:val="ListBullet"/>
            </w:pPr>
            <w:r w:rsidRPr="005E1199">
              <w:t>clean, uncluttered, hygienic workplace</w:t>
            </w:r>
          </w:p>
          <w:p w:rsidR="00000000" w:rsidRPr="005E1199" w:rsidP="005E1199">
            <w:pPr>
              <w:pStyle w:val="ListBullet"/>
            </w:pPr>
            <w:r w:rsidRPr="005E1199">
              <w:t>codes of practice, regulations and/or guidance notes which may apply in a jurisdiction or industry sector</w:t>
            </w:r>
          </w:p>
          <w:p w:rsidR="00000000" w:rsidRPr="005E1199" w:rsidP="005E1199">
            <w:pPr>
              <w:pStyle w:val="ListBullet"/>
            </w:pPr>
            <w:r w:rsidRPr="005E1199">
              <w:t>enterprise-specific OHS procedures, policies or standards</w:t>
            </w:r>
          </w:p>
          <w:p w:rsidR="00000000" w:rsidRPr="005E1199" w:rsidP="005E1199">
            <w:pPr>
              <w:pStyle w:val="ListBullet"/>
            </w:pPr>
            <w:r w:rsidRPr="005E1199">
              <w:t>hazard and risk assessment of workplace, maintenance activities and control measures</w:t>
            </w:r>
          </w:p>
          <w:p w:rsidR="00000000" w:rsidRPr="005E1199" w:rsidP="005E1199">
            <w:pPr>
              <w:pStyle w:val="ListBullet"/>
            </w:pPr>
            <w:r w:rsidRPr="005E1199">
              <w:t>inducti</w:t>
            </w:r>
            <w:r w:rsidRPr="005E1199">
              <w:t xml:space="preserve">on or training of staff, contractors and visitors in relevant OHS procedures and/or requirements to allow them to carry out their duties in a safe manner </w:t>
            </w:r>
          </w:p>
          <w:p w:rsidR="00000000" w:rsidRPr="005E1199" w:rsidP="005E1199">
            <w:pPr>
              <w:pStyle w:val="ListBullet"/>
            </w:pPr>
            <w:r w:rsidRPr="005E1199">
              <w:t>OHS training register</w:t>
            </w:r>
          </w:p>
          <w:p w:rsidR="00000000" w:rsidRPr="005E1199" w:rsidP="005E1199">
            <w:pPr>
              <w:pStyle w:val="ListBullet"/>
            </w:pPr>
            <w:r w:rsidRPr="005E1199">
              <w:t xml:space="preserve">safe lifting, carrying and handling techniques, including manual handling, and </w:t>
            </w:r>
            <w:r w:rsidRPr="005E1199">
              <w:t>the handling and storage of hazardous substances</w:t>
            </w:r>
          </w:p>
          <w:p w:rsidR="00000000" w:rsidRPr="005E1199" w:rsidP="005E1199">
            <w:pPr>
              <w:pStyle w:val="ListBullet"/>
            </w:pPr>
            <w:r w:rsidRPr="005E1199">
              <w:t>safe systems and procedures for outdoor work, including protection from solar radiation, fall protection, confined space entry and the protection of people in the workplace</w:t>
            </w:r>
          </w:p>
          <w:p w:rsidR="00000000" w:rsidRPr="005E1199" w:rsidP="005E1199">
            <w:pPr>
              <w:pStyle w:val="ListBullet"/>
            </w:pPr>
            <w:r w:rsidRPr="005E1199">
              <w:t>systems and procedures for the saf</w:t>
            </w:r>
            <w:r w:rsidRPr="005E1199">
              <w:t>e maintenance of property, machinery and equipment, including hydraulics and exposed moving parts</w:t>
            </w:r>
          </w:p>
          <w:p w:rsidR="00000000" w:rsidP="005E1199">
            <w:pPr>
              <w:pStyle w:val="ListBullet"/>
              <w:rPr>
                <w:lang w:val="en-NZ"/>
              </w:rPr>
            </w:pPr>
            <w:r w:rsidRPr="005E1199">
              <w:t>the appropriate use, maintenance and storage of PPE.</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Food safety and hygiene regulations and procedures</w:t>
            </w:r>
            <w:r w:rsidRPr="005E119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Australian Shellfish Sanitation program</w:t>
            </w:r>
          </w:p>
          <w:p w:rsidR="00000000" w:rsidRPr="005E1199" w:rsidP="005E1199">
            <w:pPr>
              <w:pStyle w:val="ListBullet"/>
            </w:pPr>
            <w:r w:rsidRPr="005E1199">
              <w:t>display, packaging and sale of food, including seafood and aquatic products</w:t>
            </w:r>
          </w:p>
          <w:p w:rsidR="00000000" w:rsidRPr="005E1199" w:rsidP="005E1199">
            <w:pPr>
              <w:pStyle w:val="ListBullet"/>
            </w:pPr>
            <w:r w:rsidRPr="005E1199">
              <w:t xml:space="preserve">equipment design, use, cleaning and maintenance </w:t>
            </w:r>
          </w:p>
          <w:p w:rsidR="00000000" w:rsidRPr="005E1199" w:rsidP="005E1199">
            <w:pPr>
              <w:pStyle w:val="ListBullet"/>
            </w:pPr>
            <w:r w:rsidRPr="005E1199">
              <w:t>exporting requirements, including AQIS Export Control (Fish) orders</w:t>
            </w:r>
          </w:p>
          <w:p w:rsidR="00000000" w:rsidRPr="005E1199" w:rsidP="005E1199">
            <w:pPr>
              <w:pStyle w:val="ListBullet"/>
            </w:pPr>
            <w:r w:rsidRPr="005E1199">
              <w:t>handling and disposal of condemned or recalled seafood products</w:t>
            </w:r>
          </w:p>
          <w:p w:rsidR="00000000" w:rsidRPr="005E1199" w:rsidP="005E1199">
            <w:pPr>
              <w:pStyle w:val="ListBullet"/>
            </w:pPr>
            <w:r w:rsidRPr="005E1199">
              <w:t>HACCP, food safety program, and other risk minimisation and quality assurance systems</w:t>
            </w:r>
          </w:p>
          <w:p w:rsidR="00000000" w:rsidRPr="005E1199" w:rsidP="005E1199">
            <w:pPr>
              <w:pStyle w:val="ListBullet"/>
            </w:pPr>
            <w:r w:rsidRPr="005E1199">
              <w:t xml:space="preserve">location, construction and servicing of seafood premises </w:t>
            </w:r>
          </w:p>
          <w:p w:rsidR="00000000" w:rsidRPr="005E1199" w:rsidP="005E1199">
            <w:pPr>
              <w:pStyle w:val="ListBullet"/>
            </w:pPr>
            <w:r w:rsidRPr="005E1199">
              <w:t>people, product and place hygiene and sanitation</w:t>
            </w:r>
            <w:r w:rsidRPr="005E1199">
              <w:t xml:space="preserve"> requirements</w:t>
            </w:r>
          </w:p>
          <w:p w:rsidR="00000000" w:rsidRPr="005E1199" w:rsidP="005E1199">
            <w:pPr>
              <w:pStyle w:val="ListBullet"/>
            </w:pPr>
            <w:r w:rsidRPr="005E1199">
              <w:t xml:space="preserve">Primary Products Standard and the Australian Seafood Standard (voluntary) </w:t>
            </w:r>
          </w:p>
          <w:p w:rsidR="00000000" w:rsidRPr="005E1199" w:rsidP="005E1199">
            <w:pPr>
              <w:pStyle w:val="ListBullet"/>
            </w:pPr>
            <w:r w:rsidRPr="005E1199">
              <w:t xml:space="preserve">processing, further processing and preparation of food including seafood and aquatic products </w:t>
            </w:r>
          </w:p>
          <w:p w:rsidR="00000000" w:rsidRPr="005E1199" w:rsidP="005E1199">
            <w:pPr>
              <w:pStyle w:val="ListBullet"/>
            </w:pPr>
            <w:r w:rsidRPr="005E1199">
              <w:t>product labelling, tracing and recall</w:t>
            </w:r>
          </w:p>
          <w:p w:rsidR="00000000" w:rsidRPr="005E1199" w:rsidP="005E1199">
            <w:pPr>
              <w:pStyle w:val="ListBullet"/>
            </w:pPr>
            <w:r w:rsidRPr="005E1199">
              <w:t>receipt, storage and transportatio</w:t>
            </w:r>
            <w:r w:rsidRPr="005E1199">
              <w:t>n of food, including seafood and aquatic products</w:t>
            </w:r>
          </w:p>
          <w:p w:rsidR="00000000" w:rsidRPr="005E1199" w:rsidP="005E1199">
            <w:pPr>
              <w:pStyle w:val="ListBullet"/>
            </w:pPr>
            <w:r w:rsidRPr="005E1199">
              <w:t>requirements set out in Australian and New Zealand Food Authority (ANZFA) Food Standards Code and state and territory food regulations</w:t>
            </w:r>
          </w:p>
          <w:p w:rsidR="00000000" w:rsidP="005E1199">
            <w:pPr>
              <w:pStyle w:val="ListBullet"/>
              <w:rPr>
                <w:lang w:val="en-NZ"/>
              </w:rPr>
            </w:pPr>
            <w:r w:rsidRPr="005E1199">
              <w:t>temperature and contamination control along chain of custody.</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ESD prin</w:t>
            </w:r>
            <w:r w:rsidRPr="005E1199">
              <w:rPr>
                <w:rStyle w:val="BoldandItalics"/>
              </w:rPr>
              <w:t>ciples</w:t>
            </w:r>
            <w:r w:rsidRPr="005E119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controlling use and recycling of water, and managing water quality and quantity</w:t>
            </w:r>
          </w:p>
          <w:p w:rsidR="00000000" w:rsidRPr="005E1199" w:rsidP="005E1199">
            <w:pPr>
              <w:pStyle w:val="ListBullet"/>
            </w:pPr>
            <w:r w:rsidRPr="005E1199">
              <w:t>increasing use of renewable, recyclable and recoverable resources</w:t>
            </w:r>
          </w:p>
          <w:p w:rsidR="00000000" w:rsidRPr="005E1199" w:rsidP="005E1199">
            <w:pPr>
              <w:pStyle w:val="ListBullet"/>
            </w:pPr>
            <w:r w:rsidRPr="005E1199">
              <w:t>managing environmental hazard identification, risk assessment and control</w:t>
            </w:r>
          </w:p>
          <w:p w:rsidR="00000000" w:rsidRPr="005E1199" w:rsidP="005E1199">
            <w:pPr>
              <w:pStyle w:val="ListBullet"/>
            </w:pPr>
            <w:r w:rsidRPr="005E1199">
              <w:t>managing imported products quarantine and inspection, facility biosecurity, translocation of livestock and genetic material, and health certification</w:t>
            </w:r>
          </w:p>
          <w:p w:rsidR="00000000" w:rsidRPr="005E1199" w:rsidP="005E1199">
            <w:pPr>
              <w:pStyle w:val="ListBullet"/>
            </w:pPr>
            <w:r w:rsidRPr="005E1199">
              <w:t>managing stock health and welfare, especially for handling, holding, transport and slaughter</w:t>
            </w:r>
          </w:p>
          <w:p w:rsidR="00000000" w:rsidRPr="005E1199" w:rsidP="005E1199">
            <w:pPr>
              <w:pStyle w:val="ListBullet"/>
            </w:pPr>
            <w:r w:rsidRPr="005E1199">
              <w:t>managing sust</w:t>
            </w:r>
            <w:r w:rsidRPr="005E1199">
              <w:t>ainable fisheries or broodstock/seedstock collection requirements, such as size limits, quotas, season restrictions, population dynamics, fishing impacts, reducing by-catch, fisheries management strategies and maintaining biodiversity</w:t>
            </w:r>
          </w:p>
          <w:p w:rsidR="00000000" w:rsidRPr="005E1199" w:rsidP="005E1199">
            <w:pPr>
              <w:pStyle w:val="ListBullet"/>
            </w:pPr>
            <w:r w:rsidRPr="005E1199">
              <w:t>managing, controlling</w:t>
            </w:r>
            <w:r w:rsidRPr="005E1199">
              <w:t xml:space="preserve"> and treating effluents, chemical residues, contaminants, wastes and pollution </w:t>
            </w:r>
          </w:p>
          <w:p w:rsidR="00000000" w:rsidRPr="005E1199" w:rsidP="005E1199">
            <w:pPr>
              <w:pStyle w:val="ListBullet"/>
            </w:pPr>
            <w:r w:rsidRPr="005E1199">
              <w:t xml:space="preserve">minimising noise, dust, light or odour emissions </w:t>
            </w:r>
          </w:p>
          <w:p w:rsidR="00000000" w:rsidRPr="005E1199" w:rsidP="005E1199">
            <w:pPr>
              <w:pStyle w:val="ListBullet"/>
            </w:pPr>
            <w:r w:rsidRPr="005E1199">
              <w:t>planning environmental and resource efficiency improvements</w:t>
            </w:r>
          </w:p>
          <w:p w:rsidR="00000000" w:rsidRPr="005E1199" w:rsidP="005E1199">
            <w:pPr>
              <w:pStyle w:val="ListBullet"/>
            </w:pPr>
            <w:r w:rsidRPr="005E1199">
              <w:t>preventing genetically modified and live cultured or held organism</w:t>
            </w:r>
            <w:r w:rsidRPr="005E1199">
              <w:t>s from escaping into environment</w:t>
            </w:r>
          </w:p>
          <w:p w:rsidR="00000000" w:rsidRPr="005E1199" w:rsidP="005E1199">
            <w:pPr>
              <w:pStyle w:val="ListBullet"/>
            </w:pPr>
            <w:r w:rsidRPr="005E1199">
              <w:t xml:space="preserve">protecting native and protected flora and fauna, marine or land parks or areas, adhering to the Convention on International Trade in Endangered Species of Wild Flora and Fauna (CITES), the Ramsar Convention, World Heritage </w:t>
            </w:r>
            <w:r w:rsidRPr="005E1199">
              <w:t>and other international treaties for which Australia is a signatory</w:t>
            </w:r>
          </w:p>
          <w:p w:rsidR="00000000" w:rsidRPr="005E1199" w:rsidP="005E1199">
            <w:pPr>
              <w:pStyle w:val="ListBullet"/>
            </w:pPr>
            <w:r w:rsidRPr="005E1199">
              <w:t>reducing emissions of greenhouse gases</w:t>
            </w:r>
          </w:p>
          <w:p w:rsidR="00000000" w:rsidRPr="005E1199" w:rsidP="005E1199">
            <w:pPr>
              <w:pStyle w:val="ListBullet"/>
            </w:pPr>
            <w:r w:rsidRPr="005E1199">
              <w:t>reducing use of non-renewable resources</w:t>
            </w:r>
          </w:p>
          <w:p w:rsidR="00000000" w:rsidRPr="005E1199" w:rsidP="005E1199">
            <w:pPr>
              <w:pStyle w:val="ListBullet"/>
            </w:pPr>
            <w:r w:rsidRPr="005E1199">
              <w:t>reducing disturbances to soils, erosion and surface water flows from machinery use and other activities</w:t>
            </w:r>
          </w:p>
          <w:p w:rsidR="00000000" w:rsidP="005E1199">
            <w:pPr>
              <w:pStyle w:val="ListBullet"/>
              <w:rPr>
                <w:lang w:val="en-NZ"/>
              </w:rPr>
            </w:pPr>
            <w:r w:rsidRPr="005E1199">
              <w:t>reduc</w:t>
            </w:r>
            <w:r w:rsidRPr="005E1199">
              <w:t>ing energy use and introducing alternative energy sources.</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PPE</w:t>
            </w:r>
            <w:r w:rsidRPr="005E119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buoyancy vest or personal floatation device (PFD)</w:t>
            </w:r>
          </w:p>
          <w:p w:rsidR="00000000" w:rsidRPr="005E1199" w:rsidP="005E1199">
            <w:pPr>
              <w:pStyle w:val="ListBullet"/>
            </w:pPr>
            <w:r w:rsidRPr="005E1199">
              <w:t>gloves, mitts or gauntlets, and protective hand and arm covering</w:t>
            </w:r>
          </w:p>
          <w:p w:rsidR="00000000" w:rsidRPr="005E1199" w:rsidP="005E1199">
            <w:pPr>
              <w:pStyle w:val="ListBullet"/>
            </w:pPr>
            <w:r w:rsidRPr="005E1199">
              <w:t xml:space="preserve">hard hat or protective head covering </w:t>
            </w:r>
          </w:p>
          <w:p w:rsidR="00000000" w:rsidRPr="005E1199" w:rsidP="005E1199">
            <w:pPr>
              <w:pStyle w:val="ListBullet"/>
            </w:pPr>
            <w:r w:rsidRPr="005E1199">
              <w:t>hearing protection (e.g. ear plugs and ear muffs)</w:t>
            </w:r>
          </w:p>
          <w:p w:rsidR="00000000" w:rsidRPr="005E1199" w:rsidP="005E1199">
            <w:pPr>
              <w:pStyle w:val="ListBullet"/>
            </w:pPr>
            <w:r w:rsidRPr="005E1199">
              <w:t>insulated protective clothing for freezers or chillers and refrigeration units</w:t>
            </w:r>
          </w:p>
          <w:p w:rsidR="00000000" w:rsidRPr="005E1199" w:rsidP="005E1199">
            <w:pPr>
              <w:pStyle w:val="ListBullet"/>
            </w:pPr>
            <w:r w:rsidRPr="005E1199">
              <w:t>non-slip and waterproof boots (gumboots) or other safety footwear</w:t>
            </w:r>
          </w:p>
          <w:p w:rsidR="00000000" w:rsidRPr="005E1199" w:rsidP="005E1199">
            <w:pPr>
              <w:pStyle w:val="ListBullet"/>
            </w:pPr>
            <w:r w:rsidRPr="005E1199">
              <w:t>personal locator beacon or Emergency Position Indicating Radi</w:t>
            </w:r>
            <w:r w:rsidRPr="005E1199">
              <w:t>o Beacon (EPIRB)</w:t>
            </w:r>
          </w:p>
          <w:p w:rsidR="00000000" w:rsidRPr="005E1199" w:rsidP="005E1199">
            <w:pPr>
              <w:pStyle w:val="ListBullet"/>
            </w:pPr>
            <w:r w:rsidRPr="005E1199">
              <w:t>protective eyewear, glasses and face mask</w:t>
            </w:r>
          </w:p>
          <w:p w:rsidR="00000000" w:rsidRPr="005E1199" w:rsidP="005E1199">
            <w:pPr>
              <w:pStyle w:val="ListBullet"/>
            </w:pPr>
            <w:r w:rsidRPr="005E1199">
              <w:t>protective hair, beard and boot covers</w:t>
            </w:r>
          </w:p>
          <w:p w:rsidR="00000000" w:rsidRPr="005E1199" w:rsidP="005E1199">
            <w:pPr>
              <w:pStyle w:val="ListBullet"/>
            </w:pPr>
            <w:r w:rsidRPr="005E1199">
              <w:t xml:space="preserve">protective outdoor clothing for tropical conditions </w:t>
            </w:r>
          </w:p>
          <w:p w:rsidR="00000000" w:rsidRPr="005E1199" w:rsidP="005E1199">
            <w:pPr>
              <w:pStyle w:val="ListBullet"/>
            </w:pPr>
            <w:r w:rsidRPr="005E1199">
              <w:t>respirator or face mask</w:t>
            </w:r>
          </w:p>
          <w:p w:rsidR="00000000" w:rsidRPr="005E1199" w:rsidP="005E1199">
            <w:pPr>
              <w:pStyle w:val="ListBullet"/>
            </w:pPr>
            <w:r w:rsidRPr="005E1199">
              <w:t>safety harness</w:t>
            </w:r>
          </w:p>
          <w:p w:rsidR="00000000" w:rsidRPr="005E1199" w:rsidP="005E1199">
            <w:pPr>
              <w:pStyle w:val="ListBullet"/>
            </w:pPr>
            <w:r w:rsidRPr="005E1199">
              <w:t>sun protection (e.g. sun hat, sunscreen and sunglasses)</w:t>
            </w:r>
          </w:p>
          <w:p w:rsidR="00000000" w:rsidRPr="005E1199" w:rsidP="005E1199">
            <w:pPr>
              <w:pStyle w:val="ListBullet"/>
            </w:pPr>
            <w:r w:rsidRPr="005E1199">
              <w:t xml:space="preserve">uniforms, </w:t>
            </w:r>
            <w:r w:rsidRPr="005E1199">
              <w:t>overalls or protective clothing (e.g. mesh and waterproof aprons)</w:t>
            </w:r>
          </w:p>
          <w:p w:rsidR="00000000" w:rsidP="005E1199">
            <w:pPr>
              <w:pStyle w:val="ListBullet"/>
              <w:rPr>
                <w:lang w:val="en-NZ"/>
              </w:rPr>
            </w:pPr>
            <w:r w:rsidRPr="005E1199">
              <w:t>waterproof clothing (e.g. wet weather gear and waders).</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Stock quality parameters</w:t>
            </w:r>
            <w:r w:rsidRPr="005E119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alive or dead (slaughtered or killed)</w:t>
            </w:r>
          </w:p>
          <w:p w:rsidR="00000000" w:rsidRPr="005E1199" w:rsidP="005E1199">
            <w:pPr>
              <w:pStyle w:val="ListBullet"/>
            </w:pPr>
            <w:r w:rsidRPr="005E1199">
              <w:t>behaviour (live stock)</w:t>
            </w:r>
          </w:p>
          <w:p w:rsidR="00000000" w:rsidRPr="005E1199" w:rsidP="005E1199">
            <w:pPr>
              <w:pStyle w:val="ListBullet"/>
            </w:pPr>
            <w:r w:rsidRPr="005E1199">
              <w:t>body condition (e.g. fat content and meat yield)</w:t>
            </w:r>
          </w:p>
          <w:p w:rsidR="00000000" w:rsidRPr="005E1199" w:rsidP="005E1199">
            <w:pPr>
              <w:pStyle w:val="ListBullet"/>
            </w:pPr>
            <w:r w:rsidRPr="005E1199">
              <w:t>percentage survival and percentage within specifications</w:t>
            </w:r>
          </w:p>
          <w:p w:rsidR="00000000" w:rsidRPr="005E1199" w:rsidP="005E1199">
            <w:pPr>
              <w:pStyle w:val="ListBullet"/>
            </w:pPr>
            <w:r w:rsidRPr="005E1199">
              <w:t>other quality criteria according to customer requirements</w:t>
            </w:r>
          </w:p>
          <w:p w:rsidR="00000000" w:rsidRPr="005E1199" w:rsidP="005E1199">
            <w:pPr>
              <w:pStyle w:val="ListBullet"/>
            </w:pPr>
            <w:r w:rsidRPr="005E1199">
              <w:t>physical appearance</w:t>
            </w:r>
          </w:p>
          <w:p w:rsidR="00000000" w:rsidRPr="005E1199" w:rsidP="005E1199">
            <w:pPr>
              <w:pStyle w:val="ListBullet"/>
            </w:pPr>
            <w:r w:rsidRPr="005E1199">
              <w:t>sex or maturation status</w:t>
            </w:r>
          </w:p>
          <w:p w:rsidR="00000000" w:rsidRPr="005E1199" w:rsidP="005E1199">
            <w:pPr>
              <w:pStyle w:val="ListBullet"/>
            </w:pPr>
            <w:r w:rsidRPr="005E1199">
              <w:t>shape or colour</w:t>
            </w:r>
          </w:p>
          <w:p w:rsidR="00000000" w:rsidRPr="005E1199" w:rsidP="005E1199">
            <w:pPr>
              <w:pStyle w:val="ListBullet"/>
            </w:pPr>
            <w:r w:rsidRPr="005E1199">
              <w:t>size or weight grades</w:t>
            </w:r>
          </w:p>
          <w:p w:rsidR="00000000" w:rsidP="005E1199">
            <w:pPr>
              <w:pStyle w:val="ListBullet"/>
              <w:rPr>
                <w:lang w:val="en-NZ"/>
              </w:rPr>
            </w:pPr>
            <w:r w:rsidRPr="005E1199">
              <w:t xml:space="preserve">type and </w:t>
            </w:r>
            <w:r w:rsidRPr="005E1199">
              <w:t>extent of damage.</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Culture or holding structures or systems</w:t>
            </w:r>
            <w:r w:rsidRPr="005E1199">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blowers, aerators, paddlewheels and aspirators</w:t>
            </w:r>
          </w:p>
          <w:p w:rsidR="00000000" w:rsidRPr="005E1199" w:rsidP="005E1199">
            <w:pPr>
              <w:pStyle w:val="ListBullet"/>
            </w:pPr>
            <w:r w:rsidRPr="005E1199">
              <w:t>greenhouses, hothouses and igloos</w:t>
            </w:r>
          </w:p>
          <w:p w:rsidR="00000000" w:rsidRPr="005E1199" w:rsidP="005E1199">
            <w:pPr>
              <w:pStyle w:val="ListBullet"/>
            </w:pPr>
            <w:r w:rsidRPr="005E1199">
              <w:t>pest, predator and disease control structures</w:t>
            </w:r>
          </w:p>
          <w:p w:rsidR="00000000" w:rsidRPr="005E1199" w:rsidP="005E1199">
            <w:pPr>
              <w:pStyle w:val="ListBullet"/>
            </w:pPr>
            <w:r w:rsidRPr="005E1199">
              <w:t>water supply and disposal or effluent systems, including pumps, pipes, canals, channels, settlement ponds and storage dams</w:t>
            </w:r>
          </w:p>
          <w:p w:rsidR="00000000" w:rsidRPr="005E1199" w:rsidP="005E1199">
            <w:pPr>
              <w:pStyle w:val="ListBullet"/>
            </w:pPr>
            <w:r w:rsidRPr="005E1199">
              <w:t>cages, pontoons, enclosures and pens, including associated moorings, floats, anchors and markers</w:t>
            </w:r>
          </w:p>
          <w:p w:rsidR="00000000" w:rsidRPr="005E1199" w:rsidP="005E1199">
            <w:pPr>
              <w:pStyle w:val="ListBullet"/>
            </w:pPr>
            <w:r w:rsidRPr="005E1199">
              <w:t>dams, ponds and pools</w:t>
            </w:r>
          </w:p>
          <w:p w:rsidR="00000000" w:rsidRPr="005E1199" w:rsidP="005E1199">
            <w:pPr>
              <w:pStyle w:val="ListBullet"/>
            </w:pPr>
            <w:r w:rsidRPr="005E1199">
              <w:t>display tanks,</w:t>
            </w:r>
            <w:r w:rsidRPr="005E1199">
              <w:t xml:space="preserve"> aquaria and aquascapes</w:t>
            </w:r>
          </w:p>
          <w:p w:rsidR="00000000" w:rsidRPr="005E1199" w:rsidP="005E1199">
            <w:pPr>
              <w:pStyle w:val="ListBullet"/>
            </w:pPr>
            <w:r w:rsidRPr="005E1199">
              <w:t>grow out facilities, hatcheries and nurseries</w:t>
            </w:r>
          </w:p>
          <w:p w:rsidR="00000000" w:rsidRPr="005E1199" w:rsidP="005E1199">
            <w:pPr>
              <w:pStyle w:val="ListBullet"/>
            </w:pPr>
            <w:r w:rsidRPr="005E1199">
              <w:t>harvesting swimways, canals or channels</w:t>
            </w:r>
          </w:p>
          <w:p w:rsidR="00000000" w:rsidRPr="005E1199" w:rsidP="005E1199">
            <w:pPr>
              <w:pStyle w:val="ListBullet"/>
            </w:pPr>
            <w:r w:rsidRPr="005E1199">
              <w:t>live holding tanks, bins, cages and pens</w:t>
            </w:r>
          </w:p>
          <w:p w:rsidR="00000000" w:rsidRPr="005E1199" w:rsidP="005E1199">
            <w:pPr>
              <w:pStyle w:val="ListBullet"/>
            </w:pPr>
            <w:r w:rsidRPr="005E1199">
              <w:t>longlines, posts, racks and rails, rafts, fences, socks, trays, sticks, baskets, modules, barrels, bags a</w:t>
            </w:r>
            <w:r w:rsidRPr="005E1199">
              <w:t>nd panels</w:t>
            </w:r>
          </w:p>
          <w:p w:rsidR="00000000" w:rsidRPr="005E1199" w:rsidP="005E1199">
            <w:pPr>
              <w:pStyle w:val="ListBullet"/>
            </w:pPr>
            <w:r w:rsidRPr="005E1199">
              <w:t xml:space="preserve">open, flow-through, closed and semi-closed systems </w:t>
            </w:r>
          </w:p>
          <w:p w:rsidR="00000000" w:rsidRPr="005E1199" w:rsidP="005E1199">
            <w:pPr>
              <w:pStyle w:val="ListBullet"/>
            </w:pPr>
            <w:r w:rsidRPr="005E1199">
              <w:t>purging or depurating systems</w:t>
            </w:r>
          </w:p>
          <w:p w:rsidR="00000000" w:rsidP="005E1199">
            <w:pPr>
              <w:pStyle w:val="ListBullet"/>
              <w:rPr>
                <w:lang w:val="en-NZ"/>
              </w:rPr>
            </w:pPr>
            <w:r w:rsidRPr="005E1199">
              <w:t>tanks, raceways and recirculating systems.</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Post</w:t>
            </w:r>
            <w:r w:rsidRPr="005E1199">
              <w:t>-</w:t>
            </w:r>
            <w:r w:rsidRPr="005E1199">
              <w:rPr>
                <w:rStyle w:val="BoldandItalics"/>
              </w:rPr>
              <w:t>harvest</w:t>
            </w:r>
            <w:r w:rsidRPr="005E1199">
              <w:t xml:space="preserve"> activities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anaesthesia or sedation</w:t>
            </w:r>
          </w:p>
          <w:p w:rsidR="00000000" w:rsidRPr="005E1199" w:rsidP="005E1199">
            <w:pPr>
              <w:pStyle w:val="ListBullet"/>
            </w:pPr>
            <w:r w:rsidRPr="005E1199">
              <w:t>cool room storage</w:t>
            </w:r>
          </w:p>
          <w:p w:rsidR="00000000" w:rsidRPr="005E1199" w:rsidP="005E1199">
            <w:pPr>
              <w:pStyle w:val="ListBullet"/>
            </w:pPr>
            <w:r w:rsidRPr="005E1199">
              <w:t xml:space="preserve">depuration or shellfish sanitation </w:t>
            </w:r>
          </w:p>
          <w:p w:rsidR="00000000" w:rsidRPr="005E1199" w:rsidP="005E1199">
            <w:pPr>
              <w:pStyle w:val="ListBullet"/>
            </w:pPr>
            <w:r w:rsidRPr="005E1199">
              <w:t>dips, drips and sprays</w:t>
            </w:r>
          </w:p>
          <w:p w:rsidR="00000000" w:rsidRPr="005E1199" w:rsidP="005E1199">
            <w:pPr>
              <w:pStyle w:val="ListBullet"/>
            </w:pPr>
            <w:r w:rsidRPr="005E1199">
              <w:t xml:space="preserve">humane slaughter </w:t>
            </w:r>
          </w:p>
          <w:p w:rsidR="00000000" w:rsidRPr="005E1199" w:rsidP="005E1199">
            <w:pPr>
              <w:pStyle w:val="ListBullet"/>
            </w:pPr>
            <w:r w:rsidRPr="005E1199">
              <w:t>icing, chilling, ice slurry or refrigeration</w:t>
            </w:r>
          </w:p>
          <w:p w:rsidR="00000000" w:rsidRPr="005E1199" w:rsidP="005E1199">
            <w:pPr>
              <w:pStyle w:val="ListBullet"/>
            </w:pPr>
            <w:r w:rsidRPr="005E1199">
              <w:t>meeting quarantine or biosecurity requirements</w:t>
            </w:r>
          </w:p>
          <w:p w:rsidR="00000000" w:rsidRPr="005E1199" w:rsidP="005E1199">
            <w:pPr>
              <w:pStyle w:val="ListBullet"/>
            </w:pPr>
            <w:r w:rsidRPr="005E1199">
              <w:t>on-facility transport of livestock or product</w:t>
            </w:r>
          </w:p>
          <w:p w:rsidR="00000000" w:rsidRPr="005E1199" w:rsidP="005E1199">
            <w:pPr>
              <w:pStyle w:val="ListBullet"/>
            </w:pPr>
            <w:r w:rsidRPr="005E1199">
              <w:t>packing</w:t>
            </w:r>
          </w:p>
          <w:p w:rsidR="00000000" w:rsidRPr="005E1199" w:rsidP="005E1199">
            <w:pPr>
              <w:pStyle w:val="ListBullet"/>
            </w:pPr>
            <w:r w:rsidRPr="005E1199">
              <w:t>packing for live stock transport</w:t>
            </w:r>
          </w:p>
          <w:p w:rsidR="00000000" w:rsidRPr="005E1199" w:rsidP="005E1199">
            <w:pPr>
              <w:pStyle w:val="ListBullet"/>
            </w:pPr>
            <w:r w:rsidRPr="005E1199">
              <w:t xml:space="preserve">packing for transport to processing </w:t>
            </w:r>
            <w:r w:rsidRPr="005E1199">
              <w:t>plant</w:t>
            </w:r>
          </w:p>
          <w:p w:rsidR="00000000" w:rsidRPr="005E1199" w:rsidP="005E1199">
            <w:pPr>
              <w:pStyle w:val="ListBullet"/>
            </w:pPr>
            <w:r w:rsidRPr="005E1199">
              <w:t>preparation for external live transport, including purging</w:t>
            </w:r>
          </w:p>
          <w:p w:rsidR="00000000" w:rsidRPr="005E1199" w:rsidP="005E1199">
            <w:pPr>
              <w:pStyle w:val="ListBullet"/>
            </w:pPr>
            <w:r w:rsidRPr="005E1199">
              <w:t>preparation for off-facility transport of dead stock or product</w:t>
            </w:r>
          </w:p>
          <w:p w:rsidR="00000000" w:rsidRPr="005E1199" w:rsidP="005E1199">
            <w:pPr>
              <w:pStyle w:val="ListBullet"/>
            </w:pPr>
            <w:r w:rsidRPr="005E1199">
              <w:t>purging or holding (live)</w:t>
            </w:r>
          </w:p>
          <w:p w:rsidR="00000000" w:rsidRPr="005E1199" w:rsidP="005E1199">
            <w:pPr>
              <w:pStyle w:val="ListBullet"/>
            </w:pPr>
            <w:r w:rsidRPr="005E1199">
              <w:t>sorting, grading or removing half pearls from molluscs</w:t>
            </w:r>
          </w:p>
          <w:p w:rsidR="00000000" w:rsidP="005E1199">
            <w:pPr>
              <w:pStyle w:val="ListBullet"/>
              <w:rPr>
                <w:lang w:val="en-NZ"/>
              </w:rPr>
            </w:pPr>
            <w:r w:rsidRPr="005E1199">
              <w:t>washing, cleaning and hydrating.</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Compliance</w:t>
            </w:r>
            <w:r w:rsidRPr="005E1199">
              <w:t xml:space="preserve"> r</w:t>
            </w:r>
            <w:r w:rsidRPr="005E1199">
              <w:t>eports may include information on:</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exotic species</w:t>
            </w:r>
          </w:p>
          <w:p w:rsidR="00000000" w:rsidRPr="005E1199" w:rsidP="005E1199">
            <w:pPr>
              <w:pStyle w:val="ListBullet"/>
            </w:pPr>
            <w:r w:rsidRPr="005E1199">
              <w:t>notifiable diseases</w:t>
            </w:r>
          </w:p>
          <w:p w:rsidR="00000000" w:rsidRPr="005E1199" w:rsidP="005E1199">
            <w:pPr>
              <w:pStyle w:val="ListBullet"/>
            </w:pPr>
            <w:r w:rsidRPr="005E1199">
              <w:t>production returns</w:t>
            </w:r>
          </w:p>
          <w:p w:rsidR="00000000" w:rsidP="005E1199">
            <w:pPr>
              <w:pStyle w:val="ListBullet"/>
              <w:rPr>
                <w:lang w:val="en-NZ"/>
              </w:rPr>
            </w:pPr>
            <w:r w:rsidRPr="005E1199">
              <w:t>protected species.</w:t>
            </w:r>
          </w:p>
        </w:tc>
      </w:tr>
      <w:tr w:rsidTr="00EF11A1">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BoldandItalics"/>
              </w:rPr>
              <w:t>Production statistics</w:t>
            </w:r>
            <w:r w:rsidRPr="005E1199">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ListBullet"/>
            </w:pPr>
            <w:r w:rsidRPr="005E1199">
              <w:t>percentage survival</w:t>
            </w:r>
          </w:p>
          <w:p w:rsidR="00000000" w:rsidRPr="005E1199" w:rsidP="005E1199">
            <w:pPr>
              <w:pStyle w:val="ListBullet"/>
            </w:pPr>
            <w:r w:rsidRPr="005E1199">
              <w:t>percentage other specifications</w:t>
            </w:r>
          </w:p>
          <w:p w:rsidR="00000000" w:rsidRPr="005E1199" w:rsidP="005E1199">
            <w:pPr>
              <w:pStyle w:val="ListBullet"/>
            </w:pPr>
            <w:r w:rsidRPr="005E1199">
              <w:t xml:space="preserve">percentage of other quality parameters: </w:t>
            </w:r>
          </w:p>
          <w:p w:rsidR="00000000" w:rsidRPr="005E1199" w:rsidP="005E1199">
            <w:pPr>
              <w:pStyle w:val="ListBullet2"/>
            </w:pPr>
            <w:r w:rsidRPr="005E1199">
              <w:t>food conversion ratio</w:t>
            </w:r>
          </w:p>
          <w:p w:rsidR="00000000" w:rsidRPr="005E1199" w:rsidP="005E1199">
            <w:pPr>
              <w:pStyle w:val="ListBullet2"/>
            </w:pPr>
            <w:r w:rsidRPr="005E1199">
              <w:t>growth rate</w:t>
            </w:r>
          </w:p>
          <w:p w:rsidR="00000000" w:rsidRPr="005E1199" w:rsidP="005E1199">
            <w:pPr>
              <w:pStyle w:val="ListBullet2"/>
            </w:pPr>
            <w:r w:rsidRPr="005E1199">
              <w:t>meat yield</w:t>
            </w:r>
          </w:p>
          <w:p w:rsidR="00000000" w:rsidRPr="005E1199" w:rsidP="005E1199">
            <w:pPr>
              <w:pStyle w:val="ListBullet2"/>
            </w:pPr>
            <w:r w:rsidRPr="005E1199">
              <w:t>numbers produced or sold.</w:t>
            </w:r>
          </w:p>
        </w:tc>
      </w:tr>
    </w:tbl>
    <w:p w:rsidR="00EF11A1" w:rsidP="005E1199">
      <w:pPr>
        <w:pStyle w:val="BodyText"/>
      </w:pPr>
    </w:p>
    <w:p w:rsidR="00EF11A1" w:rsidP="005E1199">
      <w:pPr>
        <w:pStyle w:val="BodyText"/>
      </w:pPr>
    </w:p>
    <w:p w:rsidR="00000000" w:rsidRPr="005E1199" w:rsidP="005E1199">
      <w:pPr>
        <w:pStyle w:val="Heading1"/>
      </w:pPr>
      <w:bookmarkStart w:id="12" w:name="O_217729"/>
      <w:bookmarkEnd w:id="12"/>
      <w:r w:rsidRPr="005E1199">
        <w:t>Unit Sector(s)</w:t>
      </w:r>
    </w:p>
    <w:tbl>
      <w:tblPr>
        <w:tblW w:w="0" w:type="auto"/>
        <w:tblLayout w:type="fixed"/>
        <w:tblCellMar>
          <w:left w:w="62" w:type="dxa"/>
          <w:right w:w="62" w:type="dxa"/>
        </w:tblCellMar>
        <w:tblLook w:val="0000"/>
      </w:tblPr>
      <w:tblGrid>
        <w:gridCol w:w="2602"/>
        <w:gridCol w:w="5920"/>
      </w:tblGrid>
      <w:tr w:rsidTr="00EF11A1">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r w:rsidRPr="005E1199">
              <w:t>Aquaculture operations</w:t>
            </w:r>
          </w:p>
        </w:tc>
      </w:tr>
    </w:tbl>
    <w:p w:rsidR="00EF11A1" w:rsidP="005E1199">
      <w:pPr>
        <w:pStyle w:val="BodyText"/>
      </w:pPr>
    </w:p>
    <w:p w:rsidR="00EF11A1" w:rsidP="005E1199">
      <w:pPr>
        <w:pStyle w:val="BodyText"/>
      </w:pPr>
    </w:p>
    <w:p w:rsidR="00000000" w:rsidRPr="005E1199" w:rsidP="005E1199">
      <w:pPr>
        <w:pStyle w:val="Heading1"/>
      </w:pPr>
      <w:bookmarkStart w:id="13" w:name="O_217726"/>
      <w:bookmarkEnd w:id="13"/>
      <w:r w:rsidRPr="005E1199">
        <w:t>Co-requisite units</w:t>
      </w:r>
    </w:p>
    <w:tbl>
      <w:tblPr>
        <w:tblW w:w="0" w:type="auto"/>
        <w:tblLayout w:type="fixed"/>
        <w:tblCellMar>
          <w:left w:w="62" w:type="dxa"/>
          <w:right w:w="62" w:type="dxa"/>
        </w:tblCellMar>
        <w:tblLook w:val="0000"/>
      </w:tblPr>
      <w:tblGrid>
        <w:gridCol w:w="2641"/>
        <w:gridCol w:w="1322"/>
        <w:gridCol w:w="4559"/>
      </w:tblGrid>
      <w:tr w:rsidTr="00EF11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p>
        </w:tc>
      </w:tr>
      <w:tr w:rsidTr="00EF11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p>
        </w:tc>
      </w:tr>
      <w:tr w:rsidTr="00EF11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p>
        </w:tc>
      </w:tr>
    </w:tbl>
    <w:p w:rsidR="00EF11A1" w:rsidP="005E1199">
      <w:pPr>
        <w:pStyle w:val="BodyText"/>
      </w:pPr>
    </w:p>
    <w:p w:rsidR="00EF11A1" w:rsidP="005E1199">
      <w:pPr>
        <w:pStyle w:val="BodyText"/>
      </w:pPr>
    </w:p>
    <w:p w:rsidR="00000000" w:rsidRPr="005E1199" w:rsidP="005E1199">
      <w:pPr>
        <w:pStyle w:val="Heading1"/>
      </w:pPr>
      <w:bookmarkStart w:id="14" w:name="O_217728"/>
      <w:bookmarkEnd w:id="14"/>
      <w:r w:rsidRPr="005E1199">
        <w:t>Competency field</w:t>
      </w:r>
    </w:p>
    <w:tbl>
      <w:tblPr>
        <w:tblW w:w="0" w:type="auto"/>
        <w:tblLayout w:type="fixed"/>
        <w:tblCellMar>
          <w:left w:w="62" w:type="dxa"/>
          <w:right w:w="62" w:type="dxa"/>
        </w:tblCellMar>
        <w:tblLook w:val="0000"/>
      </w:tblPr>
      <w:tblGrid>
        <w:gridCol w:w="2784"/>
        <w:gridCol w:w="5738"/>
      </w:tblGrid>
      <w:tr w:rsidTr="00EF11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199">
            <w:pPr>
              <w:pStyle w:val="BodyText"/>
              <w:rPr>
                <w:lang w:val="en-NZ"/>
              </w:rPr>
            </w:pPr>
            <w:r w:rsidRPr="005E11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199" w:rsidP="005E1199">
            <w:pPr>
              <w:pStyle w:val="BodyText"/>
            </w:pPr>
          </w:p>
        </w:tc>
      </w:tr>
    </w:tbl>
    <w:p w:rsidR="00EF11A1" w:rsidP="005E1199">
      <w:pPr>
        <w:pStyle w:val="BodyText"/>
      </w:pPr>
    </w:p>
    <w:p w:rsidR="00EF11A1" w:rsidP="005E1199">
      <w:pPr>
        <w:pStyle w:val="BodyText"/>
      </w:pPr>
    </w:p>
    <w:p w:rsidR="00000000" w:rsidRPr="005E1199" w:rsidP="005E1199"/>
    <w:sectPr w:rsidSect="005E1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1A1" w:rsidP="00EF1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A1" w:rsidP="005E1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F11A1" w:rsidP="005E11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F11A1" w:rsidP="005E11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1A1" w:rsidP="00EF11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A1" w:rsidP="005E1199">
    <w:pPr>
      <w:pStyle w:val="Header"/>
      <w:framePr w:wrap="around"/>
    </w:pPr>
    <w:r>
      <w:fldChar w:fldCharType="begin"/>
    </w:r>
    <w:r>
      <w:instrText xml:space="preserve"> TITLE   \* MERGEFORMAT </w:instrText>
    </w:r>
    <w:r>
      <w:fldChar w:fldCharType="separate"/>
    </w:r>
    <w:r>
      <w:t>SFIAQUA408C Supervise harvest and post-harvest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11A1" w:rsidP="005E11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C0C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000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3EC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1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199"/>
    <w:pPr>
      <w:spacing w:before="360" w:after="60"/>
      <w:outlineLvl w:val="0"/>
    </w:pPr>
    <w:rPr>
      <w:sz w:val="32"/>
    </w:rPr>
  </w:style>
  <w:style w:type="paragraph" w:styleId="Heading2">
    <w:name w:val="heading 2"/>
    <w:basedOn w:val="HeadingBase"/>
    <w:next w:val="BodyText"/>
    <w:link w:val="Heading2Char"/>
    <w:qFormat/>
    <w:rsid w:val="005E1199"/>
    <w:pPr>
      <w:keepLines/>
      <w:spacing w:before="240" w:after="120"/>
      <w:outlineLvl w:val="1"/>
    </w:pPr>
    <w:rPr>
      <w:sz w:val="28"/>
      <w:szCs w:val="40"/>
    </w:rPr>
  </w:style>
  <w:style w:type="paragraph" w:styleId="Heading3">
    <w:name w:val="heading 3"/>
    <w:basedOn w:val="HeadingBase"/>
    <w:next w:val="BodyText"/>
    <w:link w:val="Heading3Char"/>
    <w:qFormat/>
    <w:rsid w:val="005E1199"/>
    <w:pPr>
      <w:spacing w:before="180" w:after="120"/>
      <w:outlineLvl w:val="2"/>
    </w:pPr>
    <w:rPr>
      <w:spacing w:val="-10"/>
      <w:kern w:val="32"/>
    </w:rPr>
  </w:style>
  <w:style w:type="paragraph" w:styleId="Heading4">
    <w:name w:val="heading 4"/>
    <w:basedOn w:val="HeadingBase"/>
    <w:next w:val="BodyText"/>
    <w:link w:val="Heading4Char"/>
    <w:qFormat/>
    <w:rsid w:val="005E1199"/>
    <w:pPr>
      <w:spacing w:before="160" w:after="120"/>
      <w:outlineLvl w:val="3"/>
    </w:pPr>
    <w:rPr>
      <w:sz w:val="22"/>
    </w:rPr>
  </w:style>
  <w:style w:type="paragraph" w:styleId="Heading5">
    <w:name w:val="heading 5"/>
    <w:basedOn w:val="HeadingBase"/>
    <w:next w:val="Normal"/>
    <w:link w:val="Heading5Char"/>
    <w:qFormat/>
    <w:rsid w:val="005E1199"/>
    <w:pPr>
      <w:spacing w:before="80"/>
      <w:outlineLvl w:val="4"/>
    </w:pPr>
    <w:rPr>
      <w:color w:val="918585"/>
      <w:sz w:val="20"/>
    </w:rPr>
  </w:style>
  <w:style w:type="paragraph" w:styleId="Heading6">
    <w:name w:val="heading 6"/>
    <w:basedOn w:val="HeadingBase"/>
    <w:next w:val="Normal"/>
    <w:link w:val="Heading6Char"/>
    <w:qFormat/>
    <w:rsid w:val="005E1199"/>
    <w:pPr>
      <w:spacing w:before="60"/>
      <w:outlineLvl w:val="5"/>
    </w:pPr>
    <w:rPr>
      <w:color w:val="918585"/>
      <w:sz w:val="20"/>
    </w:rPr>
  </w:style>
  <w:style w:type="paragraph" w:styleId="Heading7">
    <w:name w:val="heading 7"/>
    <w:basedOn w:val="Normal"/>
    <w:next w:val="Normal"/>
    <w:link w:val="Heading7Char"/>
    <w:qFormat/>
    <w:rsid w:val="005E1199"/>
    <w:pPr>
      <w:ind w:left="720"/>
      <w:outlineLvl w:val="6"/>
    </w:pPr>
    <w:rPr>
      <w:i/>
    </w:rPr>
  </w:style>
  <w:style w:type="paragraph" w:styleId="Heading8">
    <w:name w:val="heading 8"/>
    <w:basedOn w:val="Normal"/>
    <w:next w:val="Normal"/>
    <w:link w:val="Heading8Char"/>
    <w:qFormat/>
    <w:rsid w:val="005E1199"/>
    <w:pPr>
      <w:ind w:left="720"/>
      <w:outlineLvl w:val="7"/>
    </w:pPr>
    <w:rPr>
      <w:i/>
    </w:rPr>
  </w:style>
  <w:style w:type="paragraph" w:styleId="Heading9">
    <w:name w:val="heading 9"/>
    <w:basedOn w:val="Normal"/>
    <w:next w:val="Normal"/>
    <w:link w:val="Heading9Char"/>
    <w:qFormat/>
    <w:rsid w:val="005E1199"/>
    <w:pPr>
      <w:ind w:left="720"/>
      <w:outlineLvl w:val="8"/>
    </w:pPr>
    <w:rPr>
      <w:i/>
    </w:rPr>
  </w:style>
  <w:style w:type="character" w:default="1" w:styleId="DefaultParagraphFont">
    <w:name w:val="Default Paragraph Font"/>
    <w:uiPriority w:val="1"/>
    <w:unhideWhenUsed/>
    <w:rsid w:val="005E1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199"/>
  </w:style>
  <w:style w:type="character" w:customStyle="1" w:styleId="Heading1Char">
    <w:name w:val="Heading 1 Char"/>
    <w:basedOn w:val="DefaultParagraphFont"/>
    <w:link w:val="Heading1"/>
    <w:rsid w:val="005E1199"/>
    <w:rPr>
      <w:rFonts w:ascii="Times New Roman" w:eastAsia="Times New Roman" w:hAnsi="Times New Roman" w:cs="Times New Roman"/>
      <w:b/>
      <w:sz w:val="32"/>
      <w:szCs w:val="20"/>
      <w:lang w:eastAsia="en-US"/>
    </w:rPr>
  </w:style>
  <w:style w:type="paragraph" w:styleId="BodyText">
    <w:name w:val="Body Text"/>
    <w:basedOn w:val="Normal"/>
    <w:link w:val="BodyTextChar"/>
    <w:rsid w:val="005E1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199"/>
    <w:rPr>
      <w:rFonts w:ascii="Times New Roman" w:eastAsia="Times New Roman" w:hAnsi="Times New Roman" w:cs="Times New Roman"/>
      <w:sz w:val="24"/>
      <w:lang w:val="en-US" w:eastAsia="en-US"/>
    </w:rPr>
  </w:style>
  <w:style w:type="paragraph" w:styleId="Footer">
    <w:name w:val="footer"/>
    <w:basedOn w:val="Normal"/>
    <w:link w:val="FooterChar"/>
    <w:rsid w:val="005E1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199"/>
    <w:rPr>
      <w:rFonts w:ascii="Times New Roman" w:eastAsia="Times New Roman" w:hAnsi="Times New Roman" w:cs="Times New Roman"/>
      <w:sz w:val="16"/>
      <w:lang w:val="en-US" w:eastAsia="en-US"/>
    </w:rPr>
  </w:style>
  <w:style w:type="paragraph" w:styleId="List">
    <w:name w:val="List"/>
    <w:basedOn w:val="BodyText"/>
    <w:next w:val="BodyText"/>
    <w:rsid w:val="005E1199"/>
    <w:pPr>
      <w:tabs>
        <w:tab w:val="left" w:pos="340"/>
      </w:tabs>
      <w:spacing w:before="60" w:after="60"/>
      <w:ind w:left="340" w:hanging="340"/>
    </w:pPr>
  </w:style>
  <w:style w:type="paragraph" w:styleId="ListBullet">
    <w:name w:val="List Bullet"/>
    <w:basedOn w:val="List"/>
    <w:rsid w:val="005E1199"/>
    <w:pPr>
      <w:numPr>
        <w:numId w:val="13"/>
      </w:numPr>
      <w:tabs>
        <w:tab w:val="clear" w:pos="340"/>
      </w:tabs>
      <w:spacing w:before="40" w:after="40"/>
    </w:pPr>
  </w:style>
  <w:style w:type="character" w:customStyle="1" w:styleId="SpecialBold">
    <w:name w:val="Special Bold"/>
    <w:basedOn w:val="DefaultParagraphFont"/>
    <w:rsid w:val="005E1199"/>
    <w:rPr>
      <w:b/>
      <w:spacing w:val="0"/>
    </w:rPr>
  </w:style>
  <w:style w:type="paragraph" w:styleId="ListBullet2">
    <w:name w:val="List Bullet 2"/>
    <w:basedOn w:val="List2"/>
    <w:rsid w:val="005E1199"/>
    <w:pPr>
      <w:numPr>
        <w:numId w:val="14"/>
      </w:numPr>
      <w:tabs>
        <w:tab w:val="clear" w:pos="680"/>
      </w:tabs>
    </w:pPr>
  </w:style>
  <w:style w:type="paragraph" w:styleId="Header">
    <w:name w:val="header"/>
    <w:basedOn w:val="Normal"/>
    <w:link w:val="HeaderChar"/>
    <w:rsid w:val="005E1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1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1199"/>
    <w:pPr>
      <w:spacing w:before="240" w:after="120"/>
      <w:outlineLvl w:val="0"/>
    </w:pPr>
    <w:rPr>
      <w:rFonts w:ascii="Times New Roman" w:hAnsi="Times New Roman"/>
      <w:b/>
      <w:sz w:val="28"/>
    </w:rPr>
  </w:style>
  <w:style w:type="paragraph" w:customStyle="1" w:styleId="AllowPageBreak">
    <w:name w:val="AllowPageBreak"/>
    <w:rsid w:val="005E11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1199"/>
    <w:pPr>
      <w:tabs>
        <w:tab w:val="left" w:pos="680"/>
      </w:tabs>
      <w:spacing w:before="60" w:after="60"/>
      <w:ind w:left="680" w:hanging="340"/>
    </w:pPr>
  </w:style>
  <w:style w:type="character" w:customStyle="1" w:styleId="BoldandItalics">
    <w:name w:val="Bold and Italics"/>
    <w:qFormat/>
    <w:rsid w:val="005E1199"/>
    <w:rPr>
      <w:b/>
      <w:i/>
      <w:u w:val="none"/>
    </w:rPr>
  </w:style>
  <w:style w:type="character" w:customStyle="1" w:styleId="Heading2Char">
    <w:name w:val="Heading 2 Char"/>
    <w:basedOn w:val="DefaultParagraphFont"/>
    <w:link w:val="Heading2"/>
    <w:rsid w:val="005E1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1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1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199"/>
    <w:rPr>
      <w:rFonts w:ascii="Courier New" w:eastAsia="Times New Roman" w:hAnsi="Courier New" w:cs="Times New Roman"/>
      <w:i/>
      <w:szCs w:val="20"/>
      <w:lang w:val="en-US" w:eastAsia="en-US"/>
    </w:rPr>
  </w:style>
  <w:style w:type="paragraph" w:customStyle="1" w:styleId="HeadingBase">
    <w:name w:val="Heading Base"/>
    <w:rsid w:val="005E1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199"/>
    <w:pPr>
      <w:tabs>
        <w:tab w:val="right" w:leader="dot" w:pos="9072"/>
      </w:tabs>
      <w:ind w:left="567"/>
    </w:pPr>
    <w:rPr>
      <w:szCs w:val="22"/>
    </w:rPr>
  </w:style>
  <w:style w:type="paragraph" w:customStyle="1" w:styleId="TOCBase">
    <w:name w:val="TOC Base"/>
    <w:rsid w:val="005E1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199"/>
    <w:pPr>
      <w:tabs>
        <w:tab w:val="right" w:leader="dot" w:pos="9072"/>
      </w:tabs>
      <w:spacing w:before="40" w:after="40"/>
      <w:ind w:left="284"/>
    </w:pPr>
    <w:rPr>
      <w:rFonts w:ascii="Times New Roman" w:hAnsi="Times New Roman"/>
    </w:rPr>
  </w:style>
  <w:style w:type="paragraph" w:styleId="TOC1">
    <w:name w:val="toc 1"/>
    <w:basedOn w:val="TOCBase"/>
    <w:next w:val="Normal"/>
    <w:rsid w:val="005E11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199"/>
    <w:pPr>
      <w:spacing w:before="5040"/>
      <w:jc w:val="center"/>
    </w:pPr>
    <w:rPr>
      <w:sz w:val="48"/>
      <w:szCs w:val="72"/>
      <w:lang w:val="en-US"/>
    </w:rPr>
  </w:style>
  <w:style w:type="character" w:customStyle="1" w:styleId="TitleChar">
    <w:name w:val="Title Char"/>
    <w:basedOn w:val="DefaultParagraphFont"/>
    <w:link w:val="Title"/>
    <w:rsid w:val="005E1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199"/>
    <w:pPr>
      <w:tabs>
        <w:tab w:val="left" w:pos="3600"/>
        <w:tab w:val="left" w:pos="3958"/>
      </w:tabs>
    </w:pPr>
  </w:style>
  <w:style w:type="paragraph" w:customStyle="1" w:styleId="Note">
    <w:name w:val="Note"/>
    <w:basedOn w:val="BodyText"/>
    <w:rsid w:val="005E1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199"/>
    <w:pPr>
      <w:framePr w:wrap="auto" w:hAnchor="text" w:y="6049"/>
    </w:pPr>
    <w:rPr>
      <w:color w:val="000000"/>
      <w:sz w:val="40"/>
    </w:rPr>
  </w:style>
  <w:style w:type="paragraph" w:customStyle="1" w:styleId="TOCTitle">
    <w:name w:val="TOCTitle"/>
    <w:basedOn w:val="Heading1"/>
    <w:rsid w:val="005E1199"/>
    <w:pPr>
      <w:spacing w:after="240"/>
      <w:jc w:val="center"/>
      <w:outlineLvl w:val="9"/>
    </w:pPr>
    <w:rPr>
      <w:caps/>
    </w:rPr>
  </w:style>
  <w:style w:type="paragraph" w:customStyle="1" w:styleId="Version">
    <w:name w:val="Version"/>
    <w:rsid w:val="005E1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199"/>
    <w:pPr>
      <w:keepNext w:val="0"/>
      <w:tabs>
        <w:tab w:val="right" w:pos="4176"/>
      </w:tabs>
      <w:ind w:left="198" w:hanging="198"/>
    </w:pPr>
    <w:rPr>
      <w:rFonts w:ascii="Garamond" w:hAnsi="Garamond"/>
    </w:rPr>
  </w:style>
  <w:style w:type="paragraph" w:styleId="IndexHeading">
    <w:name w:val="index heading"/>
    <w:basedOn w:val="Normal"/>
    <w:next w:val="Index1"/>
    <w:semiHidden/>
    <w:rsid w:val="005E1199"/>
    <w:pPr>
      <w:spacing w:before="120" w:after="120"/>
    </w:pPr>
    <w:rPr>
      <w:rFonts w:ascii="Arial" w:hAnsi="Arial"/>
      <w:b/>
      <w:color w:val="918585"/>
      <w:sz w:val="24"/>
    </w:rPr>
  </w:style>
  <w:style w:type="paragraph" w:customStyle="1" w:styleId="Chapter">
    <w:name w:val="Chapter"/>
    <w:basedOn w:val="Normal"/>
    <w:rsid w:val="005E1199"/>
    <w:pPr>
      <w:spacing w:before="240"/>
    </w:pPr>
    <w:rPr>
      <w:rFonts w:ascii="Times New Roman" w:hAnsi="Times New Roman"/>
      <w:smallCaps/>
      <w:spacing w:val="80"/>
      <w:sz w:val="28"/>
    </w:rPr>
  </w:style>
  <w:style w:type="paragraph" w:customStyle="1" w:styleId="InChapter">
    <w:name w:val="InChapter"/>
    <w:basedOn w:val="Heading3"/>
    <w:rsid w:val="005E1199"/>
    <w:pPr>
      <w:spacing w:after="240"/>
      <w:outlineLvl w:val="9"/>
    </w:pPr>
    <w:rPr>
      <w:noProof/>
    </w:rPr>
  </w:style>
  <w:style w:type="paragraph" w:styleId="Index2">
    <w:name w:val="index 2"/>
    <w:basedOn w:val="Normal"/>
    <w:next w:val="Normal"/>
    <w:semiHidden/>
    <w:rsid w:val="005E1199"/>
    <w:pPr>
      <w:tabs>
        <w:tab w:val="right" w:pos="4176"/>
      </w:tabs>
      <w:ind w:left="568" w:hanging="284"/>
    </w:pPr>
    <w:rPr>
      <w:rFonts w:ascii="Garamond" w:hAnsi="Garamond"/>
    </w:rPr>
  </w:style>
  <w:style w:type="paragraph" w:customStyle="1" w:styleId="Byline">
    <w:name w:val="Byline"/>
    <w:rsid w:val="005E1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199"/>
    <w:pPr>
      <w:tabs>
        <w:tab w:val="clear" w:pos="3600"/>
        <w:tab w:val="clear" w:pos="3958"/>
      </w:tabs>
      <w:jc w:val="right"/>
    </w:pPr>
  </w:style>
  <w:style w:type="character" w:styleId="Emphasis">
    <w:name w:val="Emphasis"/>
    <w:basedOn w:val="DefaultParagraphFont"/>
    <w:qFormat/>
    <w:rsid w:val="005E1199"/>
    <w:rPr>
      <w:i/>
    </w:rPr>
  </w:style>
  <w:style w:type="paragraph" w:styleId="Caption">
    <w:name w:val="caption"/>
    <w:basedOn w:val="BodyText"/>
    <w:next w:val="Normal"/>
    <w:qFormat/>
    <w:rsid w:val="005E1199"/>
    <w:pPr>
      <w:framePr w:w="2268" w:hSpace="181" w:vSpace="181" w:wrap="around" w:vAnchor="text" w:hAnchor="page" w:x="1135" w:y="285" w:anchorLock="1"/>
    </w:pPr>
    <w:rPr>
      <w:i/>
    </w:rPr>
  </w:style>
  <w:style w:type="paragraph" w:customStyle="1" w:styleId="MiniTOCTitle">
    <w:name w:val="MiniTOCTitle"/>
    <w:basedOn w:val="Heading4"/>
    <w:rsid w:val="005E1199"/>
    <w:pPr>
      <w:spacing w:before="240"/>
      <w:outlineLvl w:val="9"/>
    </w:pPr>
    <w:rPr>
      <w:noProof/>
      <w:sz w:val="24"/>
    </w:rPr>
  </w:style>
  <w:style w:type="paragraph" w:customStyle="1" w:styleId="MiniTOCItem">
    <w:name w:val="MiniTOCItem"/>
    <w:basedOn w:val="ListBullet"/>
    <w:rsid w:val="005E1199"/>
    <w:pPr>
      <w:numPr>
        <w:numId w:val="0"/>
      </w:numPr>
      <w:tabs>
        <w:tab w:val="right" w:leader="dot" w:pos="6521"/>
      </w:tabs>
      <w:spacing w:before="0" w:after="0"/>
    </w:pPr>
  </w:style>
  <w:style w:type="paragraph" w:customStyle="1" w:styleId="TOFTitle">
    <w:name w:val="TOFTitle"/>
    <w:basedOn w:val="TOCTitle"/>
    <w:rsid w:val="005E1199"/>
  </w:style>
  <w:style w:type="paragraph" w:styleId="TableofFigures">
    <w:name w:val="table of figures"/>
    <w:basedOn w:val="Normal"/>
    <w:next w:val="Normal"/>
    <w:semiHidden/>
    <w:rsid w:val="005E1199"/>
    <w:pPr>
      <w:tabs>
        <w:tab w:val="right" w:leader="dot" w:pos="9072"/>
      </w:tabs>
      <w:ind w:left="970" w:hanging="403"/>
    </w:pPr>
    <w:rPr>
      <w:rFonts w:ascii="Times New Roman" w:hAnsi="Times New Roman"/>
      <w:b/>
    </w:rPr>
  </w:style>
  <w:style w:type="paragraph" w:styleId="ListNumber">
    <w:name w:val="List Number"/>
    <w:basedOn w:val="List"/>
    <w:rsid w:val="005E1199"/>
    <w:pPr>
      <w:numPr>
        <w:numId w:val="11"/>
      </w:numPr>
    </w:pPr>
  </w:style>
  <w:style w:type="character" w:customStyle="1" w:styleId="WingdingSymbols">
    <w:name w:val="Wingding Symbols"/>
    <w:rsid w:val="005E1199"/>
    <w:rPr>
      <w:rFonts w:ascii="Wingdings" w:hAnsi="Wingdings"/>
    </w:rPr>
  </w:style>
  <w:style w:type="paragraph" w:customStyle="1" w:styleId="TableHeading">
    <w:name w:val="Table Heading"/>
    <w:basedOn w:val="HeadingBase"/>
    <w:rsid w:val="005E1199"/>
    <w:pPr>
      <w:keepLines/>
      <w:pBdr>
        <w:bottom w:val="single" w:sz="6" w:space="1" w:color="918585"/>
      </w:pBdr>
      <w:spacing w:before="240"/>
    </w:pPr>
  </w:style>
  <w:style w:type="character" w:customStyle="1" w:styleId="HotSpot">
    <w:name w:val="HotSpot"/>
    <w:rsid w:val="005E1199"/>
    <w:rPr>
      <w:color w:val="0033CC"/>
      <w:u w:val="none"/>
    </w:rPr>
  </w:style>
  <w:style w:type="paragraph" w:customStyle="1" w:styleId="BodyTextRight">
    <w:name w:val="Body Text Right"/>
    <w:basedOn w:val="BodyText"/>
    <w:rsid w:val="005E1199"/>
    <w:pPr>
      <w:spacing w:before="0" w:after="0"/>
      <w:jc w:val="right"/>
    </w:pPr>
  </w:style>
  <w:style w:type="paragraph" w:styleId="Index3">
    <w:name w:val="index 3"/>
    <w:basedOn w:val="ListNumber2"/>
    <w:next w:val="Normal"/>
    <w:semiHidden/>
    <w:rsid w:val="005E1199"/>
    <w:pPr>
      <w:numPr>
        <w:numId w:val="0"/>
      </w:numPr>
      <w:tabs>
        <w:tab w:val="right" w:leader="dot" w:pos="4176"/>
      </w:tabs>
    </w:pPr>
  </w:style>
  <w:style w:type="paragraph" w:styleId="ListNumber2">
    <w:name w:val="List Number 2"/>
    <w:basedOn w:val="List2"/>
    <w:rsid w:val="005E1199"/>
    <w:pPr>
      <w:numPr>
        <w:numId w:val="10"/>
      </w:numPr>
      <w:tabs>
        <w:tab w:val="clear" w:pos="1060"/>
      </w:tabs>
    </w:pPr>
  </w:style>
  <w:style w:type="paragraph" w:customStyle="1" w:styleId="MarginNote">
    <w:name w:val="Margin Note"/>
    <w:basedOn w:val="BodyText"/>
    <w:rsid w:val="005E1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1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199"/>
    <w:rPr>
      <w:sz w:val="32"/>
    </w:rPr>
  </w:style>
  <w:style w:type="paragraph" w:customStyle="1" w:styleId="HeadingProcedure">
    <w:name w:val="Heading Procedure"/>
    <w:basedOn w:val="HeadingBase"/>
    <w:next w:val="Normal"/>
    <w:rsid w:val="005E1199"/>
    <w:pPr>
      <w:tabs>
        <w:tab w:val="left" w:pos="0"/>
      </w:tabs>
      <w:spacing w:before="120" w:after="60"/>
    </w:pPr>
    <w:rPr>
      <w:i/>
      <w:color w:val="918585"/>
      <w:sz w:val="22"/>
    </w:rPr>
  </w:style>
  <w:style w:type="paragraph" w:customStyle="1" w:styleId="TableBodyText">
    <w:name w:val="Table Body Text"/>
    <w:basedOn w:val="BodyText"/>
    <w:rsid w:val="005E1199"/>
    <w:pPr>
      <w:spacing w:before="60" w:after="60"/>
    </w:pPr>
  </w:style>
  <w:style w:type="paragraph" w:styleId="ListContinue">
    <w:name w:val="List Continue"/>
    <w:basedOn w:val="List"/>
    <w:rsid w:val="005E1199"/>
    <w:pPr>
      <w:ind w:firstLine="0"/>
    </w:pPr>
  </w:style>
  <w:style w:type="paragraph" w:customStyle="1" w:styleId="ListNote">
    <w:name w:val="List Note"/>
    <w:basedOn w:val="List"/>
    <w:rsid w:val="005E1199"/>
    <w:pPr>
      <w:pBdr>
        <w:top w:val="single" w:sz="6" w:space="2" w:color="918585"/>
        <w:bottom w:val="single" w:sz="6" w:space="2" w:color="918585"/>
      </w:pBdr>
      <w:tabs>
        <w:tab w:val="left" w:pos="1021"/>
      </w:tabs>
      <w:ind w:firstLine="0"/>
    </w:pPr>
  </w:style>
  <w:style w:type="paragraph" w:customStyle="1" w:styleId="Warning">
    <w:name w:val="Warning"/>
    <w:basedOn w:val="BodyText"/>
    <w:rsid w:val="005E1199"/>
    <w:pPr>
      <w:shd w:val="clear" w:color="auto" w:fill="D9D9D9"/>
      <w:tabs>
        <w:tab w:val="left" w:pos="992"/>
      </w:tabs>
      <w:ind w:left="119" w:right="119"/>
    </w:pPr>
    <w:rPr>
      <w:sz w:val="20"/>
    </w:rPr>
  </w:style>
  <w:style w:type="paragraph" w:customStyle="1" w:styleId="MarginIcons">
    <w:name w:val="Margin Icons"/>
    <w:basedOn w:val="BodyText"/>
    <w:rsid w:val="005E1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199"/>
    <w:rPr>
      <w:rFonts w:ascii="Courier New" w:hAnsi="Courier New"/>
    </w:rPr>
  </w:style>
  <w:style w:type="paragraph" w:customStyle="1" w:styleId="NoteBullet">
    <w:name w:val="Note Bullet"/>
    <w:basedOn w:val="Note"/>
    <w:rsid w:val="005E1199"/>
    <w:pPr>
      <w:tabs>
        <w:tab w:val="clear" w:pos="680"/>
      </w:tabs>
      <w:spacing w:before="60" w:after="60"/>
    </w:pPr>
  </w:style>
  <w:style w:type="paragraph" w:customStyle="1" w:styleId="SubHeading2">
    <w:name w:val="SubHeading2"/>
    <w:basedOn w:val="HeadingBase"/>
    <w:rsid w:val="005E1199"/>
    <w:pPr>
      <w:spacing w:before="240" w:after="60"/>
    </w:pPr>
    <w:rPr>
      <w:sz w:val="20"/>
    </w:rPr>
  </w:style>
  <w:style w:type="paragraph" w:customStyle="1" w:styleId="SubHeading1">
    <w:name w:val="SubHeading1"/>
    <w:basedOn w:val="HeadingBase"/>
    <w:rsid w:val="005E1199"/>
    <w:pPr>
      <w:spacing w:before="240" w:after="60"/>
    </w:pPr>
    <w:rPr>
      <w:color w:val="918585"/>
      <w:sz w:val="22"/>
    </w:rPr>
  </w:style>
  <w:style w:type="paragraph" w:customStyle="1" w:styleId="SideHeading">
    <w:name w:val="Side Heading"/>
    <w:basedOn w:val="HeadingBase"/>
    <w:rsid w:val="005E1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199"/>
    <w:pPr>
      <w:numPr>
        <w:numId w:val="12"/>
      </w:numPr>
    </w:pPr>
  </w:style>
  <w:style w:type="paragraph" w:styleId="PlainText">
    <w:name w:val="Plain Text"/>
    <w:basedOn w:val="Normal"/>
    <w:link w:val="PlainTextChar"/>
    <w:rsid w:val="005E1199"/>
    <w:rPr>
      <w:sz w:val="20"/>
    </w:rPr>
  </w:style>
  <w:style w:type="character" w:customStyle="1" w:styleId="PlainTextChar">
    <w:name w:val="Plain Text Char"/>
    <w:basedOn w:val="DefaultParagraphFont"/>
    <w:link w:val="PlainText"/>
    <w:rsid w:val="005E11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1199"/>
    <w:rPr>
      <w:b/>
      <w:smallCaps/>
    </w:rPr>
  </w:style>
  <w:style w:type="paragraph" w:customStyle="1" w:styleId="TableListNumber">
    <w:name w:val="Table List Number"/>
    <w:basedOn w:val="ListNumber"/>
    <w:rsid w:val="005E1199"/>
    <w:pPr>
      <w:numPr>
        <w:numId w:val="0"/>
      </w:numPr>
    </w:pPr>
  </w:style>
  <w:style w:type="paragraph" w:styleId="TOC4">
    <w:name w:val="toc 4"/>
    <w:basedOn w:val="TOCBase"/>
    <w:next w:val="Normal"/>
    <w:semiHidden/>
    <w:rsid w:val="005E1199"/>
    <w:pPr>
      <w:tabs>
        <w:tab w:val="right" w:leader="dot" w:pos="9071"/>
      </w:tabs>
      <w:ind w:left="1701"/>
    </w:pPr>
  </w:style>
  <w:style w:type="paragraph" w:customStyle="1" w:styleId="ListAlpha">
    <w:name w:val="List Alpha"/>
    <w:basedOn w:val="List"/>
    <w:rsid w:val="005E1199"/>
    <w:pPr>
      <w:numPr>
        <w:numId w:val="9"/>
      </w:numPr>
    </w:pPr>
  </w:style>
  <w:style w:type="paragraph" w:customStyle="1" w:styleId="ListAlpha2">
    <w:name w:val="List Alpha 2"/>
    <w:basedOn w:val="List2"/>
    <w:rsid w:val="005E1199"/>
    <w:pPr>
      <w:numPr>
        <w:numId w:val="8"/>
      </w:numPr>
    </w:pPr>
  </w:style>
  <w:style w:type="paragraph" w:styleId="List3">
    <w:name w:val="List 3"/>
    <w:basedOn w:val="BodyText"/>
    <w:rsid w:val="005E1199"/>
    <w:pPr>
      <w:tabs>
        <w:tab w:val="left" w:pos="1021"/>
      </w:tabs>
      <w:spacing w:before="60" w:after="60"/>
      <w:ind w:left="1020" w:hanging="340"/>
    </w:pPr>
  </w:style>
  <w:style w:type="paragraph" w:styleId="List4">
    <w:name w:val="List 4"/>
    <w:basedOn w:val="BodyText"/>
    <w:rsid w:val="005E1199"/>
    <w:pPr>
      <w:tabs>
        <w:tab w:val="left" w:pos="1361"/>
      </w:tabs>
      <w:spacing w:before="60" w:after="60"/>
      <w:ind w:left="1361" w:hanging="340"/>
    </w:pPr>
  </w:style>
  <w:style w:type="paragraph" w:styleId="List5">
    <w:name w:val="List 5"/>
    <w:basedOn w:val="BodyText"/>
    <w:rsid w:val="005E1199"/>
    <w:pPr>
      <w:tabs>
        <w:tab w:val="left" w:pos="1701"/>
      </w:tabs>
      <w:spacing w:before="60" w:after="60"/>
      <w:ind w:left="1701" w:hanging="340"/>
    </w:pPr>
  </w:style>
  <w:style w:type="paragraph" w:styleId="ListBullet3">
    <w:name w:val="List Bullet 3"/>
    <w:basedOn w:val="List3"/>
    <w:rsid w:val="005E1199"/>
    <w:pPr>
      <w:numPr>
        <w:numId w:val="15"/>
      </w:numPr>
      <w:tabs>
        <w:tab w:val="clear" w:pos="1021"/>
      </w:tabs>
      <w:ind w:left="1037" w:hanging="357"/>
    </w:pPr>
  </w:style>
  <w:style w:type="paragraph" w:styleId="ListBullet4">
    <w:name w:val="List Bullet 4"/>
    <w:basedOn w:val="List4"/>
    <w:rsid w:val="005E1199"/>
    <w:pPr>
      <w:numPr>
        <w:numId w:val="3"/>
      </w:numPr>
    </w:pPr>
  </w:style>
  <w:style w:type="paragraph" w:styleId="ListBullet5">
    <w:name w:val="List Bullet 5"/>
    <w:basedOn w:val="List5"/>
    <w:rsid w:val="005E1199"/>
    <w:pPr>
      <w:numPr>
        <w:numId w:val="4"/>
      </w:numPr>
    </w:pPr>
  </w:style>
  <w:style w:type="paragraph" w:styleId="ListContinue2">
    <w:name w:val="List Continue 2"/>
    <w:basedOn w:val="List2"/>
    <w:rsid w:val="005E1199"/>
    <w:pPr>
      <w:ind w:firstLine="0"/>
    </w:pPr>
  </w:style>
  <w:style w:type="paragraph" w:styleId="ListContinue3">
    <w:name w:val="List Continue 3"/>
    <w:basedOn w:val="List3"/>
    <w:rsid w:val="005E1199"/>
    <w:pPr>
      <w:ind w:left="1021" w:firstLine="0"/>
    </w:pPr>
  </w:style>
  <w:style w:type="paragraph" w:styleId="ListContinue4">
    <w:name w:val="List Continue 4"/>
    <w:basedOn w:val="List4"/>
    <w:rsid w:val="005E1199"/>
    <w:pPr>
      <w:ind w:firstLine="0"/>
    </w:pPr>
  </w:style>
  <w:style w:type="paragraph" w:styleId="ListContinue5">
    <w:name w:val="List Continue 5"/>
    <w:basedOn w:val="List5"/>
    <w:rsid w:val="005E1199"/>
    <w:pPr>
      <w:ind w:firstLine="0"/>
    </w:pPr>
  </w:style>
  <w:style w:type="paragraph" w:styleId="ListNumber3">
    <w:name w:val="List Number 3"/>
    <w:basedOn w:val="List3"/>
    <w:rsid w:val="005E1199"/>
    <w:pPr>
      <w:numPr>
        <w:numId w:val="5"/>
      </w:numPr>
    </w:pPr>
  </w:style>
  <w:style w:type="paragraph" w:styleId="ListNumber4">
    <w:name w:val="List Number 4"/>
    <w:basedOn w:val="List4"/>
    <w:rsid w:val="005E1199"/>
    <w:pPr>
      <w:numPr>
        <w:numId w:val="6"/>
      </w:numPr>
    </w:pPr>
  </w:style>
  <w:style w:type="paragraph" w:styleId="ListNumber5">
    <w:name w:val="List Number 5"/>
    <w:basedOn w:val="List5"/>
    <w:rsid w:val="005E1199"/>
    <w:pPr>
      <w:numPr>
        <w:numId w:val="7"/>
      </w:numPr>
    </w:pPr>
  </w:style>
  <w:style w:type="paragraph" w:styleId="BlockText">
    <w:name w:val="Block Text"/>
    <w:basedOn w:val="Normal"/>
    <w:rsid w:val="005E1199"/>
    <w:pPr>
      <w:spacing w:after="120"/>
      <w:ind w:left="1440" w:right="1440"/>
    </w:pPr>
  </w:style>
  <w:style w:type="character" w:customStyle="1" w:styleId="Subscript">
    <w:name w:val="Subscript"/>
    <w:basedOn w:val="DefaultParagraphFont"/>
    <w:rsid w:val="005E1199"/>
    <w:rPr>
      <w:sz w:val="16"/>
      <w:vertAlign w:val="subscript"/>
    </w:rPr>
  </w:style>
  <w:style w:type="character" w:customStyle="1" w:styleId="Superscript">
    <w:name w:val="Superscript"/>
    <w:basedOn w:val="DefaultParagraphFont"/>
    <w:rsid w:val="005E1199"/>
    <w:rPr>
      <w:sz w:val="16"/>
      <w:vertAlign w:val="superscript"/>
    </w:rPr>
  </w:style>
  <w:style w:type="character" w:customStyle="1" w:styleId="Symbols">
    <w:name w:val="Symbols"/>
    <w:basedOn w:val="DefaultParagraphFont"/>
    <w:rsid w:val="005E1199"/>
    <w:rPr>
      <w:rFonts w:ascii="Symbol" w:hAnsi="Symbol"/>
    </w:rPr>
  </w:style>
  <w:style w:type="character" w:customStyle="1" w:styleId="MenuOptions">
    <w:name w:val="Menu Options"/>
    <w:basedOn w:val="DefaultParagraphFont"/>
    <w:rsid w:val="005E1199"/>
    <w:rPr>
      <w:rFonts w:ascii="Arial Narrow" w:hAnsi="Arial Narrow"/>
      <w:smallCaps/>
    </w:rPr>
  </w:style>
  <w:style w:type="character" w:customStyle="1" w:styleId="Buttons">
    <w:name w:val="Buttons"/>
    <w:basedOn w:val="DefaultParagraphFont"/>
    <w:rsid w:val="005E1199"/>
    <w:rPr>
      <w:b/>
    </w:rPr>
  </w:style>
  <w:style w:type="character" w:customStyle="1" w:styleId="Underlined">
    <w:name w:val="Underlined"/>
    <w:basedOn w:val="DefaultParagraphFont"/>
    <w:rsid w:val="005E1199"/>
    <w:rPr>
      <w:u w:val="single"/>
    </w:rPr>
  </w:style>
  <w:style w:type="paragraph" w:customStyle="1" w:styleId="TableBodyTextRight">
    <w:name w:val="Table Body Text Right"/>
    <w:basedOn w:val="TableBodyText"/>
    <w:rsid w:val="005E1199"/>
    <w:pPr>
      <w:widowControl w:val="0"/>
      <w:autoSpaceDE w:val="0"/>
      <w:autoSpaceDN w:val="0"/>
      <w:adjustRightInd w:val="0"/>
      <w:jc w:val="right"/>
    </w:pPr>
    <w:rPr>
      <w:rFonts w:cs="Arial"/>
      <w:szCs w:val="18"/>
    </w:rPr>
  </w:style>
  <w:style w:type="paragraph" w:customStyle="1" w:styleId="CopyrightText">
    <w:name w:val="Copyright Text"/>
    <w:basedOn w:val="BodyText"/>
    <w:rsid w:val="005E1199"/>
    <w:rPr>
      <w:sz w:val="18"/>
    </w:rPr>
  </w:style>
  <w:style w:type="paragraph" w:customStyle="1" w:styleId="BodySmallRight">
    <w:name w:val="Body Small Right"/>
    <w:basedOn w:val="BodyTextRight"/>
    <w:rsid w:val="005E1199"/>
    <w:rPr>
      <w:sz w:val="18"/>
      <w:szCs w:val="18"/>
    </w:rPr>
  </w:style>
  <w:style w:type="paragraph" w:customStyle="1" w:styleId="MarginEdition">
    <w:name w:val="Margin Edition"/>
    <w:basedOn w:val="MarginNote"/>
    <w:rsid w:val="005E1199"/>
    <w:pPr>
      <w:spacing w:before="0" w:after="0"/>
    </w:pPr>
    <w:rPr>
      <w:rFonts w:ascii="Times New Roman" w:hAnsi="Times New Roman"/>
      <w:color w:val="999999"/>
    </w:rPr>
  </w:style>
  <w:style w:type="paragraph" w:customStyle="1" w:styleId="Spacer">
    <w:name w:val="Spacer"/>
    <w:basedOn w:val="Normal"/>
    <w:rsid w:val="005E1199"/>
    <w:rPr>
      <w:sz w:val="2"/>
      <w:szCs w:val="2"/>
    </w:rPr>
  </w:style>
  <w:style w:type="character" w:customStyle="1" w:styleId="Small">
    <w:name w:val="Small"/>
    <w:basedOn w:val="DefaultParagraphFont"/>
    <w:rsid w:val="005E1199"/>
    <w:rPr>
      <w:sz w:val="16"/>
    </w:rPr>
  </w:style>
  <w:style w:type="paragraph" w:customStyle="1" w:styleId="WideTable">
    <w:name w:val="Wide Table"/>
    <w:basedOn w:val="Normal"/>
    <w:rsid w:val="005E1199"/>
    <w:pPr>
      <w:ind w:left="-1418"/>
    </w:pPr>
    <w:rPr>
      <w:sz w:val="2"/>
      <w:szCs w:val="2"/>
    </w:rPr>
  </w:style>
  <w:style w:type="character" w:styleId="PageNumber">
    <w:name w:val="page number"/>
    <w:basedOn w:val="DefaultParagraphFont"/>
    <w:rsid w:val="005E1199"/>
  </w:style>
  <w:style w:type="paragraph" w:styleId="Quote">
    <w:name w:val="Quote"/>
    <w:basedOn w:val="Heading1"/>
    <w:link w:val="QuoteChar"/>
    <w:qFormat/>
    <w:rsid w:val="005E1199"/>
    <w:rPr>
      <w:b w:val="0"/>
      <w:sz w:val="72"/>
      <w:szCs w:val="72"/>
      <w:lang w:val="en-NZ"/>
    </w:rPr>
  </w:style>
  <w:style w:type="character" w:customStyle="1" w:styleId="QuoteChar">
    <w:name w:val="Quote Char"/>
    <w:basedOn w:val="DefaultParagraphFont"/>
    <w:link w:val="Quote"/>
    <w:rsid w:val="005E1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199"/>
    <w:pPr>
      <w:pageBreakBefore/>
    </w:pPr>
  </w:style>
  <w:style w:type="paragraph" w:customStyle="1" w:styleId="Border">
    <w:name w:val="Border"/>
    <w:basedOn w:val="Normal"/>
    <w:qFormat/>
    <w:rsid w:val="005E1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199"/>
    <w:rPr>
      <w:b/>
      <w:bCs/>
      <w:i/>
      <w:iCs/>
      <w:color w:val="auto"/>
    </w:rPr>
  </w:style>
  <w:style w:type="paragraph" w:styleId="IntenseQuote">
    <w:name w:val="Intense Quote"/>
    <w:basedOn w:val="Normal"/>
    <w:next w:val="Normal"/>
    <w:link w:val="IntenseQuoteChar"/>
    <w:uiPriority w:val="30"/>
    <w:qFormat/>
    <w:rsid w:val="005E1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1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1199"/>
    <w:rPr>
      <w:smallCaps/>
      <w:color w:val="auto"/>
      <w:u w:val="single"/>
    </w:rPr>
  </w:style>
  <w:style w:type="character" w:styleId="IntenseReference">
    <w:name w:val="Intense Reference"/>
    <w:basedOn w:val="DefaultParagraphFont"/>
    <w:uiPriority w:val="32"/>
    <w:qFormat/>
    <w:rsid w:val="005E1199"/>
    <w:rPr>
      <w:b/>
      <w:bCs/>
      <w:smallCaps/>
      <w:color w:val="auto"/>
      <w:spacing w:val="5"/>
      <w:u w:val="single"/>
    </w:rPr>
  </w:style>
  <w:style w:type="paragraph" w:customStyle="1" w:styleId="2ColumnHeading">
    <w:name w:val="2Column Heading"/>
    <w:basedOn w:val="BodyText"/>
    <w:qFormat/>
    <w:rsid w:val="005E1199"/>
    <w:pPr>
      <w:spacing w:after="60"/>
      <w:ind w:left="-2268"/>
    </w:pPr>
    <w:rPr>
      <w:b/>
    </w:rPr>
  </w:style>
  <w:style w:type="paragraph" w:customStyle="1" w:styleId="Heading1TOC">
    <w:name w:val="Heading1 TOC"/>
    <w:basedOn w:val="Normal"/>
    <w:qFormat/>
    <w:rsid w:val="005E1199"/>
    <w:pPr>
      <w:spacing w:before="240" w:after="120"/>
    </w:pPr>
    <w:rPr>
      <w:rFonts w:ascii="Times New Roman" w:hAnsi="Times New Roman"/>
      <w:b/>
      <w:sz w:val="32"/>
    </w:rPr>
  </w:style>
  <w:style w:type="paragraph" w:customStyle="1" w:styleId="Heading2TOC">
    <w:name w:val="Heading2 TOC"/>
    <w:basedOn w:val="Normal"/>
    <w:qFormat/>
    <w:rsid w:val="005E1199"/>
    <w:pPr>
      <w:spacing w:before="240" w:after="60"/>
    </w:pPr>
    <w:rPr>
      <w:rFonts w:ascii="Times New Roman" w:hAnsi="Times New Roman"/>
      <w:b/>
      <w:sz w:val="28"/>
    </w:rPr>
  </w:style>
  <w:style w:type="character" w:customStyle="1" w:styleId="Underline">
    <w:name w:val="Underline"/>
    <w:basedOn w:val="DefaultParagraphFont"/>
    <w:qFormat/>
    <w:rsid w:val="005E1199"/>
    <w:rPr>
      <w:u w:val="single"/>
    </w:rPr>
  </w:style>
  <w:style w:type="paragraph" w:styleId="BalloonText">
    <w:name w:val="Balloon Text"/>
    <w:basedOn w:val="Normal"/>
    <w:link w:val="BalloonTextChar"/>
    <w:rsid w:val="005E1199"/>
    <w:rPr>
      <w:rFonts w:ascii="Tahoma" w:hAnsi="Tahoma" w:cs="Tahoma"/>
      <w:sz w:val="16"/>
      <w:szCs w:val="16"/>
    </w:rPr>
  </w:style>
  <w:style w:type="character" w:customStyle="1" w:styleId="BalloonTextChar">
    <w:name w:val="Balloon Text Char"/>
    <w:basedOn w:val="DefaultParagraphFont"/>
    <w:link w:val="BalloonText"/>
    <w:rsid w:val="005E11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1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2336</Words>
  <Characters>15450</Characters>
  <Application>Microsoft Office Word</Application>
  <DocSecurity>0</DocSecurity>
  <Lines>540</Lines>
  <Paragraphs>271</Paragraphs>
  <ScaleCrop>false</ScaleCrop>
  <Company>Author-it Software Corporation Ltd.</Company>
  <LinksUpToDate>false</LinksUpToDate>
  <CharactersWithSpaces>17731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SFIAQUA408C Supervise harvest and post-harvest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2012-05-26T08:31:00Z</dcterms:modified>
</cp:coreProperties>
</file>