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999" w:rsidP="00440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SFIPRO402 Manage a product recall</w:t>
      </w:r>
      <w:r>
        <w:fldChar w:fldCharType="end"/>
      </w:r>
    </w:p>
    <w:p w:rsidR="00440999" w:rsidP="00440999">
      <w:pPr>
        <w:pStyle w:val="Version"/>
        <w:sectPr w:rsidSect="002C6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072" w:rsidP="002C6072">
      <w:pPr>
        <w:pStyle w:val="SuperHeading"/>
      </w:pPr>
      <w:r w:rsidRPr="002C6072">
        <w:t>Assessment Requirements for SFIPRO402 Manage a product recall</w:t>
      </w:r>
    </w:p>
    <w:p w:rsidR="00000000" w:rsidRPr="002C6072" w:rsidP="002C6072">
      <w:pPr>
        <w:pStyle w:val="Heading1"/>
      </w:pPr>
      <w:bookmarkStart w:id="1" w:name="O_1036194"/>
      <w:bookmarkEnd w:id="1"/>
      <w:r w:rsidRPr="002C60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60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072">
            <w:pPr>
              <w:pStyle w:val="BodyTextBold"/>
              <w:rPr>
                <w:lang w:val="en-NZ"/>
              </w:rPr>
            </w:pPr>
            <w:r w:rsidRPr="002C60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072">
            <w:pPr>
              <w:pStyle w:val="BodyTextBold"/>
              <w:rPr>
                <w:lang w:val="en-NZ"/>
              </w:rPr>
            </w:pPr>
            <w:r w:rsidRPr="002C6072">
              <w:t>Comments</w:t>
            </w:r>
          </w:p>
        </w:tc>
      </w:tr>
      <w:tr w:rsidTr="002C60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072">
            <w:pPr>
              <w:pStyle w:val="BodyText"/>
              <w:rPr>
                <w:lang w:val="en-NZ"/>
              </w:rPr>
            </w:pPr>
            <w:r w:rsidRPr="002C60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072" w:rsidP="002C6072">
            <w:pPr>
              <w:pStyle w:val="BodyText"/>
            </w:pPr>
            <w:r w:rsidRPr="002C6072">
              <w:t>This version released with SFI Seafood Industry Training Package Version 1.0.</w:t>
            </w:r>
          </w:p>
        </w:tc>
      </w:tr>
    </w:tbl>
    <w:p w:rsidR="00000000" w:rsidRPr="002C6072" w:rsidP="002C6072">
      <w:pPr>
        <w:pStyle w:val="BodyText"/>
      </w:pPr>
    </w:p>
    <w:p w:rsidR="00000000" w:rsidRPr="002C6072" w:rsidP="002C6072">
      <w:pPr>
        <w:pStyle w:val="AllowPageBreak"/>
      </w:pPr>
    </w:p>
    <w:p w:rsidR="00000000" w:rsidRPr="002C6072" w:rsidP="002C6072">
      <w:pPr>
        <w:pStyle w:val="Heading1"/>
      </w:pPr>
      <w:bookmarkStart w:id="2" w:name="O_1036195"/>
      <w:bookmarkEnd w:id="2"/>
      <w:r w:rsidRPr="002C6072">
        <w:t>Performance Evidence</w:t>
      </w:r>
    </w:p>
    <w:p w:rsidR="00000000" w:rsidRPr="002C6072" w:rsidP="00440999">
      <w:pPr>
        <w:pStyle w:val="BodyText"/>
      </w:pPr>
      <w:r w:rsidRPr="002C6072">
        <w:t xml:space="preserve">An individual demonstrating competency must satisfy all of the elements and performance criteria in this unit. </w:t>
      </w:r>
    </w:p>
    <w:p w:rsidR="00000000" w:rsidRPr="002C6072" w:rsidP="00440999">
      <w:pPr>
        <w:pStyle w:val="BodyText"/>
      </w:pPr>
      <w:r w:rsidRPr="002C6072">
        <w:t>There must be evidence that the individual has planned for and managed a product recall on at least one occasion, including:</w:t>
      </w:r>
    </w:p>
    <w:p w:rsidR="00000000" w:rsidRPr="002C6072" w:rsidP="002C6072">
      <w:pPr>
        <w:pStyle w:val="ListBullet"/>
      </w:pPr>
      <w:r w:rsidRPr="002C6072">
        <w:t>gathering informat</w:t>
      </w:r>
      <w:r w:rsidRPr="002C6072">
        <w:t>ion to establish the need to recall product</w:t>
      </w:r>
    </w:p>
    <w:p w:rsidR="00000000" w:rsidRPr="002C6072" w:rsidP="002C6072">
      <w:pPr>
        <w:pStyle w:val="ListBullet"/>
      </w:pPr>
      <w:r w:rsidRPr="002C6072">
        <w:t>developing rules for engaging with media</w:t>
      </w:r>
    </w:p>
    <w:p w:rsidR="00000000" w:rsidRPr="002C6072" w:rsidP="002C6072">
      <w:pPr>
        <w:pStyle w:val="ListBullet"/>
      </w:pPr>
      <w:r w:rsidRPr="002C6072">
        <w:t xml:space="preserve">developing procedures for the product recall </w:t>
      </w:r>
    </w:p>
    <w:p w:rsidR="00000000" w:rsidRPr="002C6072" w:rsidP="002C6072">
      <w:pPr>
        <w:pStyle w:val="ListBullet"/>
      </w:pPr>
      <w:r w:rsidRPr="002C6072">
        <w:t>communicating with personnel on the recall</w:t>
      </w:r>
    </w:p>
    <w:p w:rsidR="00000000" w:rsidRPr="002C6072" w:rsidP="002C6072">
      <w:pPr>
        <w:pStyle w:val="ListBullet"/>
      </w:pPr>
      <w:r w:rsidRPr="002C6072">
        <w:t>maintaining and storing records during recall period</w:t>
      </w:r>
    </w:p>
    <w:p w:rsidR="00000000" w:rsidRPr="002C6072" w:rsidP="002C6072">
      <w:pPr>
        <w:pStyle w:val="ListBullet"/>
      </w:pPr>
      <w:r w:rsidRPr="002C6072">
        <w:t>managing the disposal or destruction of recalled products</w:t>
      </w:r>
    </w:p>
    <w:p w:rsidR="00000000" w:rsidRPr="002C6072" w:rsidP="002C6072">
      <w:pPr>
        <w:pStyle w:val="ListBullet"/>
      </w:pPr>
      <w:r w:rsidRPr="002C6072">
        <w:t>evaluating the recall process and preparing a report to determine improvements.</w:t>
      </w:r>
    </w:p>
    <w:p w:rsidR="00000000" w:rsidRPr="002C6072" w:rsidP="002C6072">
      <w:pPr>
        <w:pStyle w:val="AllowPageBreak"/>
      </w:pPr>
    </w:p>
    <w:p w:rsidR="00000000" w:rsidRPr="002C6072" w:rsidP="002C6072">
      <w:pPr>
        <w:pStyle w:val="Heading1"/>
      </w:pPr>
      <w:bookmarkStart w:id="3" w:name="O_1036196"/>
      <w:bookmarkEnd w:id="3"/>
      <w:r w:rsidRPr="002C6072">
        <w:t>Knowledge Evidence</w:t>
      </w:r>
    </w:p>
    <w:p w:rsidR="00000000" w:rsidRPr="002C6072" w:rsidP="00440999">
      <w:pPr>
        <w:pStyle w:val="BodyText"/>
      </w:pPr>
      <w:r w:rsidRPr="002C6072">
        <w:t xml:space="preserve">An individual must be able to demonstrate the knowledge required to perform the </w:t>
      </w:r>
      <w:r w:rsidRPr="002C6072">
        <w:t>tasks outlined in the elements and performance criteria of this unit. This includes knowledge of:</w:t>
      </w:r>
    </w:p>
    <w:p w:rsidR="00000000" w:rsidRPr="002C6072" w:rsidP="002C6072">
      <w:pPr>
        <w:pStyle w:val="ListBullet"/>
      </w:pPr>
      <w:r w:rsidRPr="002C6072">
        <w:t>causes and effects of contamination and cross-contamination in seafood products, and when a product recall is required</w:t>
      </w:r>
    </w:p>
    <w:p w:rsidR="00000000" w:rsidRPr="002C6072" w:rsidP="002C6072">
      <w:pPr>
        <w:pStyle w:val="ListBullet"/>
      </w:pPr>
      <w:r w:rsidRPr="002C6072">
        <w:t>procedures for recall and/or return of</w:t>
      </w:r>
      <w:r w:rsidRPr="002C6072">
        <w:t xml:space="preserve"> product in the normal course of business</w:t>
      </w:r>
    </w:p>
    <w:p w:rsidR="00000000" w:rsidRPr="002C6072" w:rsidP="002C6072">
      <w:pPr>
        <w:pStyle w:val="ListBullet"/>
      </w:pPr>
      <w:r w:rsidRPr="002C6072">
        <w:t>quality assurance principles and practices for product recall</w:t>
      </w:r>
    </w:p>
    <w:p w:rsidR="00000000" w:rsidRPr="002C6072" w:rsidP="002C6072">
      <w:pPr>
        <w:pStyle w:val="ListBullet"/>
      </w:pPr>
      <w:r w:rsidRPr="002C6072">
        <w:t>procedures to handle food recalls required by Australian food standards</w:t>
      </w:r>
    </w:p>
    <w:p w:rsidR="00000000" w:rsidRPr="002C6072" w:rsidP="002C6072">
      <w:pPr>
        <w:pStyle w:val="ListBullet"/>
      </w:pPr>
      <w:r w:rsidRPr="002C6072">
        <w:t>roles and responsibilities of stakeholders in a product (emergency) recall</w:t>
      </w:r>
    </w:p>
    <w:p w:rsidR="00000000" w:rsidRPr="002C6072" w:rsidP="002C6072">
      <w:pPr>
        <w:pStyle w:val="ListBullet"/>
      </w:pPr>
      <w:r w:rsidRPr="002C6072">
        <w:t>state</w:t>
      </w:r>
      <w:r w:rsidRPr="002C6072">
        <w:t>, territory or national health agency requirements for notification in the event of a food recall</w:t>
      </w:r>
    </w:p>
    <w:p w:rsidR="00000000" w:rsidRPr="002C6072" w:rsidP="002C6072">
      <w:pPr>
        <w:pStyle w:val="ListBullet"/>
      </w:pPr>
      <w:r w:rsidRPr="002C6072">
        <w:t>communication protocols in managing the product recall process</w:t>
      </w:r>
    </w:p>
    <w:p w:rsidR="00000000" w:rsidRPr="002C6072" w:rsidP="002C6072">
      <w:pPr>
        <w:pStyle w:val="ListBullet"/>
      </w:pPr>
      <w:r w:rsidRPr="002C6072">
        <w:t>record keeping for the product recall process</w:t>
      </w:r>
    </w:p>
    <w:p w:rsidR="00000000" w:rsidRPr="002C6072" w:rsidP="002C6072">
      <w:pPr>
        <w:pStyle w:val="ListBullet"/>
      </w:pPr>
      <w:r w:rsidRPr="002C6072">
        <w:t xml:space="preserve">disposal and destruction procedures for recalled </w:t>
      </w:r>
      <w:r w:rsidRPr="002C6072">
        <w:t>product</w:t>
      </w:r>
    </w:p>
    <w:p w:rsidR="00000000" w:rsidRPr="002C6072" w:rsidP="002C6072">
      <w:pPr>
        <w:pStyle w:val="ListBullet"/>
      </w:pPr>
      <w:r w:rsidRPr="002C6072">
        <w:t>procedures for evaluating the product recall process.</w:t>
      </w:r>
    </w:p>
    <w:p w:rsidR="00000000" w:rsidRPr="002C6072" w:rsidP="002C6072">
      <w:pPr>
        <w:pStyle w:val="AllowPageBreak"/>
      </w:pPr>
    </w:p>
    <w:p w:rsidR="00000000" w:rsidRPr="002C6072" w:rsidP="002C6072">
      <w:pPr>
        <w:pStyle w:val="Heading1"/>
      </w:pPr>
      <w:bookmarkStart w:id="4" w:name="O_1036197"/>
      <w:bookmarkEnd w:id="4"/>
      <w:r w:rsidRPr="002C6072">
        <w:t>Assessment Conditions</w:t>
      </w:r>
    </w:p>
    <w:p w:rsidR="00000000" w:rsidRPr="002C6072" w:rsidP="00440999">
      <w:pPr>
        <w:pStyle w:val="BodyText"/>
      </w:pPr>
      <w:r w:rsidRPr="002C6072">
        <w:t xml:space="preserve">Assessment of skills must take place under the following conditions: </w:t>
      </w:r>
    </w:p>
    <w:p w:rsidR="00000000" w:rsidRPr="002C6072" w:rsidP="002C6072">
      <w:pPr>
        <w:pStyle w:val="ListBullet"/>
      </w:pPr>
      <w:r w:rsidRPr="002C6072">
        <w:t>physical conditions:</w:t>
      </w:r>
    </w:p>
    <w:p w:rsidR="00000000" w:rsidRPr="002C6072" w:rsidP="002C6072">
      <w:pPr>
        <w:pStyle w:val="ListBullet2"/>
      </w:pPr>
      <w:r w:rsidRPr="002C6072">
        <w:t>skills must be demonstrated in a seafood processing, wholesale or retail workplace or an environment that accurately represents workplace conditions</w:t>
      </w:r>
    </w:p>
    <w:p w:rsidR="00000000" w:rsidRPr="002C6072" w:rsidP="002C6072">
      <w:pPr>
        <w:pStyle w:val="ListBullet"/>
      </w:pPr>
      <w:r w:rsidRPr="002C6072">
        <w:t>specifications:</w:t>
      </w:r>
    </w:p>
    <w:p w:rsidR="00000000" w:rsidRPr="002C6072" w:rsidP="002C6072">
      <w:pPr>
        <w:pStyle w:val="ListBullet2"/>
      </w:pPr>
      <w:r w:rsidRPr="002C6072">
        <w:t>production records</w:t>
      </w:r>
    </w:p>
    <w:p w:rsidR="00000000" w:rsidRPr="002C6072" w:rsidP="002C6072">
      <w:pPr>
        <w:pStyle w:val="ListBullet2"/>
      </w:pPr>
      <w:r w:rsidRPr="002C6072">
        <w:t>workplace food safety plan</w:t>
      </w:r>
    </w:p>
    <w:p w:rsidR="00000000" w:rsidRPr="002C6072" w:rsidP="002C6072">
      <w:pPr>
        <w:pStyle w:val="ListBullet2"/>
      </w:pPr>
      <w:r w:rsidRPr="002C6072">
        <w:t>workplace policy and procedures for the ret</w:t>
      </w:r>
      <w:r w:rsidRPr="002C6072">
        <w:t>urn and/or recall of product, including advice on communication protocols</w:t>
      </w:r>
    </w:p>
    <w:p w:rsidR="00000000" w:rsidRPr="002C6072" w:rsidP="002C6072">
      <w:pPr>
        <w:pStyle w:val="ListBullet2"/>
      </w:pPr>
      <w:r w:rsidRPr="002C6072">
        <w:t>relevant food safety standards</w:t>
      </w:r>
    </w:p>
    <w:p w:rsidR="00000000" w:rsidRPr="002C6072" w:rsidP="002C6072">
      <w:pPr>
        <w:pStyle w:val="ListBullet2"/>
      </w:pPr>
      <w:r w:rsidRPr="002C6072">
        <w:t>food recall protocols</w:t>
      </w:r>
    </w:p>
    <w:p w:rsidR="00000000" w:rsidRPr="002C6072" w:rsidP="002C6072">
      <w:pPr>
        <w:pStyle w:val="ListBullet"/>
      </w:pPr>
      <w:r w:rsidRPr="002C6072">
        <w:t>relationships:</w:t>
      </w:r>
    </w:p>
    <w:p w:rsidR="00000000" w:rsidRPr="002C6072" w:rsidP="002C6072">
      <w:pPr>
        <w:pStyle w:val="ListBullet2"/>
      </w:pPr>
      <w:r w:rsidRPr="002C6072">
        <w:t>evidence of interactions with relevant personnel.</w:t>
      </w:r>
    </w:p>
    <w:p w:rsidR="00000000" w:rsidRPr="002C6072" w:rsidP="00440999">
      <w:pPr>
        <w:pStyle w:val="BodyText"/>
      </w:pPr>
      <w:r w:rsidRPr="002C6072">
        <w:t>Assessors of this unit must satisfy the requirements for asses</w:t>
      </w:r>
      <w:r w:rsidRPr="002C6072">
        <w:t>sors in applicable vocational education and training legislation, frameworks and/or standards.</w:t>
      </w:r>
    </w:p>
    <w:p w:rsidR="00000000" w:rsidRPr="002C6072" w:rsidP="002C6072">
      <w:pPr>
        <w:pStyle w:val="Heading1"/>
      </w:pPr>
      <w:bookmarkStart w:id="5" w:name="O_1036200"/>
      <w:bookmarkEnd w:id="5"/>
      <w:r w:rsidRPr="002C6072">
        <w:t>Links</w:t>
      </w:r>
    </w:p>
    <w:p w:rsidR="00000000" w:rsidRPr="002C6072" w:rsidP="00440999">
      <w:pPr>
        <w:pStyle w:val="BodyText"/>
      </w:pPr>
      <w:r w:rsidRPr="002C60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144F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C6072" w:rsidP="002C6072"/>
    <w:sectPr w:rsidSect="002C60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72" w:rsidRPr="00440999" w:rsidP="00440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99" w:rsidP="002C6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0999" w:rsidP="002C6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0999" w:rsidP="002C6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072" w:rsidRPr="00440999" w:rsidP="00440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99" w:rsidRPr="002D2AF8" w:rsidP="002C6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SFIPRO402 Manage a product recall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40999" w:rsidP="002C6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24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CA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6838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072"/>
  </w:style>
  <w:style w:type="character" w:customStyle="1" w:styleId="Heading1Char">
    <w:name w:val="Heading 1 Char"/>
    <w:basedOn w:val="DefaultParagraphFont"/>
    <w:link w:val="Heading1"/>
    <w:rsid w:val="002C6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0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0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0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6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6072"/>
    <w:rPr>
      <w:b/>
    </w:rPr>
  </w:style>
  <w:style w:type="character" w:customStyle="1" w:styleId="Heading2Char">
    <w:name w:val="Heading 2 Char"/>
    <w:basedOn w:val="DefaultParagraphFont"/>
    <w:link w:val="Heading2"/>
    <w:rsid w:val="002C6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0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0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072"/>
    <w:rPr>
      <w:b/>
      <w:spacing w:val="0"/>
    </w:rPr>
  </w:style>
  <w:style w:type="paragraph" w:customStyle="1" w:styleId="SuperTitle">
    <w:name w:val="SuperTitle"/>
    <w:basedOn w:val="Title"/>
    <w:rsid w:val="002C6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072"/>
    <w:rPr>
      <w:i/>
    </w:rPr>
  </w:style>
  <w:style w:type="paragraph" w:styleId="Caption">
    <w:name w:val="caption"/>
    <w:basedOn w:val="BodyText"/>
    <w:next w:val="Normal"/>
    <w:qFormat/>
    <w:rsid w:val="002C6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072"/>
  </w:style>
  <w:style w:type="paragraph" w:styleId="TableofFigures">
    <w:name w:val="table of figures"/>
    <w:basedOn w:val="Normal"/>
    <w:next w:val="Normal"/>
    <w:semiHidden/>
    <w:rsid w:val="002C6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0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072"/>
    <w:rPr>
      <w:rFonts w:ascii="Wingdings" w:hAnsi="Wingdings"/>
    </w:rPr>
  </w:style>
  <w:style w:type="paragraph" w:customStyle="1" w:styleId="TableHeading">
    <w:name w:val="Table Heading"/>
    <w:basedOn w:val="HeadingBase"/>
    <w:rsid w:val="002C60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072"/>
    <w:rPr>
      <w:color w:val="0033CC"/>
      <w:u w:val="none"/>
    </w:rPr>
  </w:style>
  <w:style w:type="paragraph" w:customStyle="1" w:styleId="BodyTextRight">
    <w:name w:val="Body Text Right"/>
    <w:basedOn w:val="BodyText"/>
    <w:rsid w:val="002C6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0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072"/>
    <w:rPr>
      <w:sz w:val="32"/>
    </w:rPr>
  </w:style>
  <w:style w:type="paragraph" w:customStyle="1" w:styleId="HeadingProcedure">
    <w:name w:val="Heading Procedure"/>
    <w:basedOn w:val="HeadingBase"/>
    <w:next w:val="Normal"/>
    <w:rsid w:val="002C6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072"/>
    <w:pPr>
      <w:spacing w:before="60" w:after="60"/>
    </w:pPr>
  </w:style>
  <w:style w:type="paragraph" w:styleId="ListContinue">
    <w:name w:val="List Continue"/>
    <w:basedOn w:val="List"/>
    <w:rsid w:val="002C6072"/>
    <w:pPr>
      <w:ind w:firstLine="0"/>
    </w:pPr>
  </w:style>
  <w:style w:type="paragraph" w:customStyle="1" w:styleId="ListNote">
    <w:name w:val="List Note"/>
    <w:basedOn w:val="List"/>
    <w:rsid w:val="002C6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072"/>
    <w:rPr>
      <w:rFonts w:ascii="Courier New" w:hAnsi="Courier New"/>
    </w:rPr>
  </w:style>
  <w:style w:type="paragraph" w:customStyle="1" w:styleId="NoteBullet">
    <w:name w:val="Note Bullet"/>
    <w:basedOn w:val="Note"/>
    <w:rsid w:val="002C6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0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072"/>
    <w:rPr>
      <w:b/>
      <w:smallCaps/>
    </w:rPr>
  </w:style>
  <w:style w:type="paragraph" w:customStyle="1" w:styleId="TableListNumber">
    <w:name w:val="Table List Number"/>
    <w:basedOn w:val="ListNumber"/>
    <w:rsid w:val="002C6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072"/>
    <w:pPr>
      <w:numPr>
        <w:numId w:val="9"/>
      </w:numPr>
    </w:pPr>
  </w:style>
  <w:style w:type="paragraph" w:customStyle="1" w:styleId="ListAlpha2">
    <w:name w:val="List Alpha 2"/>
    <w:basedOn w:val="List2"/>
    <w:rsid w:val="002C6072"/>
    <w:pPr>
      <w:numPr>
        <w:numId w:val="8"/>
      </w:numPr>
    </w:pPr>
  </w:style>
  <w:style w:type="paragraph" w:styleId="List2">
    <w:name w:val="List 2"/>
    <w:basedOn w:val="BodyText"/>
    <w:rsid w:val="002C6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0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0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072"/>
    <w:pPr>
      <w:numPr>
        <w:numId w:val="4"/>
      </w:numPr>
    </w:pPr>
  </w:style>
  <w:style w:type="paragraph" w:styleId="ListContinue2">
    <w:name w:val="List Continue 2"/>
    <w:basedOn w:val="List2"/>
    <w:rsid w:val="002C6072"/>
    <w:pPr>
      <w:ind w:firstLine="0"/>
    </w:pPr>
  </w:style>
  <w:style w:type="paragraph" w:styleId="ListContinue3">
    <w:name w:val="List Continue 3"/>
    <w:basedOn w:val="List3"/>
    <w:rsid w:val="002C6072"/>
    <w:pPr>
      <w:ind w:left="1021" w:firstLine="0"/>
    </w:pPr>
  </w:style>
  <w:style w:type="paragraph" w:styleId="ListContinue4">
    <w:name w:val="List Continue 4"/>
    <w:basedOn w:val="List4"/>
    <w:rsid w:val="002C6072"/>
    <w:pPr>
      <w:ind w:firstLine="0"/>
    </w:pPr>
  </w:style>
  <w:style w:type="paragraph" w:styleId="ListContinue5">
    <w:name w:val="List Continue 5"/>
    <w:basedOn w:val="List5"/>
    <w:rsid w:val="002C6072"/>
    <w:pPr>
      <w:ind w:firstLine="0"/>
    </w:pPr>
  </w:style>
  <w:style w:type="paragraph" w:styleId="ListNumber3">
    <w:name w:val="List Number 3"/>
    <w:basedOn w:val="List3"/>
    <w:rsid w:val="002C6072"/>
    <w:pPr>
      <w:numPr>
        <w:numId w:val="5"/>
      </w:numPr>
    </w:pPr>
  </w:style>
  <w:style w:type="paragraph" w:styleId="ListNumber4">
    <w:name w:val="List Number 4"/>
    <w:basedOn w:val="List4"/>
    <w:rsid w:val="002C6072"/>
    <w:pPr>
      <w:numPr>
        <w:numId w:val="6"/>
      </w:numPr>
    </w:pPr>
  </w:style>
  <w:style w:type="paragraph" w:styleId="ListNumber5">
    <w:name w:val="List Number 5"/>
    <w:basedOn w:val="List5"/>
    <w:rsid w:val="002C6072"/>
    <w:pPr>
      <w:numPr>
        <w:numId w:val="7"/>
      </w:numPr>
    </w:pPr>
  </w:style>
  <w:style w:type="paragraph" w:styleId="BlockText">
    <w:name w:val="Block Text"/>
    <w:basedOn w:val="Normal"/>
    <w:rsid w:val="002C6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072"/>
    <w:rPr>
      <w:sz w:val="16"/>
      <w:vertAlign w:val="superscript"/>
    </w:rPr>
  </w:style>
  <w:style w:type="character" w:customStyle="1" w:styleId="Symbols">
    <w:name w:val="Symbols"/>
    <w:basedOn w:val="DefaultParagraphFont"/>
    <w:rsid w:val="002C6072"/>
    <w:rPr>
      <w:rFonts w:ascii="Symbol" w:hAnsi="Symbol"/>
    </w:rPr>
  </w:style>
  <w:style w:type="character" w:customStyle="1" w:styleId="MenuOptions">
    <w:name w:val="Menu Options"/>
    <w:basedOn w:val="DefaultParagraphFont"/>
    <w:rsid w:val="002C6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072"/>
    <w:rPr>
      <w:b/>
    </w:rPr>
  </w:style>
  <w:style w:type="character" w:customStyle="1" w:styleId="Underlined">
    <w:name w:val="Underlined"/>
    <w:basedOn w:val="DefaultParagraphFont"/>
    <w:rsid w:val="002C6072"/>
    <w:rPr>
      <w:u w:val="single"/>
    </w:rPr>
  </w:style>
  <w:style w:type="paragraph" w:customStyle="1" w:styleId="TableBodyTextRight">
    <w:name w:val="Table Body Text Right"/>
    <w:basedOn w:val="TableBodyText"/>
    <w:rsid w:val="002C6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072"/>
    <w:rPr>
      <w:sz w:val="18"/>
    </w:rPr>
  </w:style>
  <w:style w:type="paragraph" w:customStyle="1" w:styleId="BodySmallRight">
    <w:name w:val="Body Small Right"/>
    <w:basedOn w:val="BodyTextRight"/>
    <w:rsid w:val="002C6072"/>
    <w:rPr>
      <w:sz w:val="18"/>
      <w:szCs w:val="18"/>
    </w:rPr>
  </w:style>
  <w:style w:type="paragraph" w:customStyle="1" w:styleId="MarginEdition">
    <w:name w:val="Margin Edition"/>
    <w:basedOn w:val="MarginNote"/>
    <w:rsid w:val="002C6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072"/>
    <w:rPr>
      <w:sz w:val="2"/>
      <w:szCs w:val="2"/>
    </w:rPr>
  </w:style>
  <w:style w:type="character" w:customStyle="1" w:styleId="Small">
    <w:name w:val="Small"/>
    <w:basedOn w:val="DefaultParagraphFont"/>
    <w:rsid w:val="002C6072"/>
    <w:rPr>
      <w:sz w:val="16"/>
    </w:rPr>
  </w:style>
  <w:style w:type="paragraph" w:customStyle="1" w:styleId="WideTable">
    <w:name w:val="Wide Table"/>
    <w:basedOn w:val="Normal"/>
    <w:rsid w:val="002C6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072"/>
  </w:style>
  <w:style w:type="paragraph" w:styleId="Quote">
    <w:name w:val="Quote"/>
    <w:basedOn w:val="Heading1"/>
    <w:link w:val="QuoteChar"/>
    <w:qFormat/>
    <w:rsid w:val="002C6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072"/>
    <w:pPr>
      <w:pageBreakBefore/>
    </w:pPr>
  </w:style>
  <w:style w:type="paragraph" w:customStyle="1" w:styleId="Border">
    <w:name w:val="Border"/>
    <w:basedOn w:val="Normal"/>
    <w:qFormat/>
    <w:rsid w:val="002C6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072"/>
    <w:rPr>
      <w:u w:val="single"/>
    </w:rPr>
  </w:style>
  <w:style w:type="character" w:customStyle="1" w:styleId="BoldandItalics">
    <w:name w:val="Bold and Italics"/>
    <w:qFormat/>
    <w:rsid w:val="002C6072"/>
    <w:rPr>
      <w:b/>
      <w:i/>
      <w:u w:val="none"/>
    </w:rPr>
  </w:style>
  <w:style w:type="paragraph" w:styleId="BalloonText">
    <w:name w:val="Balloon Text"/>
    <w:basedOn w:val="Normal"/>
    <w:link w:val="BalloonTextChar"/>
    <w:rsid w:val="002C6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0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0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2510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SFIPRO402 Manage a product recall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