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2A7" w:rsidP="00A11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SFICPL304 Support the judicial process</w:t>
      </w:r>
      <w:r>
        <w:fldChar w:fldCharType="end"/>
      </w:r>
    </w:p>
    <w:p w:rsidR="00A112A7" w:rsidP="00A112A7">
      <w:pPr>
        <w:pStyle w:val="Version"/>
        <w:sectPr w:rsidSect="00F07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A8A" w:rsidP="00F07A8A">
      <w:pPr>
        <w:pStyle w:val="SuperHeading"/>
      </w:pPr>
      <w:r w:rsidRPr="00F07A8A">
        <w:t>Assessment Requirements for SFICPL304 Support the judicial process</w:t>
      </w:r>
    </w:p>
    <w:p w:rsidR="00000000" w:rsidRPr="00F07A8A" w:rsidP="00F07A8A">
      <w:pPr>
        <w:pStyle w:val="Heading1"/>
      </w:pPr>
      <w:bookmarkStart w:id="1" w:name="O_1037638"/>
      <w:bookmarkEnd w:id="1"/>
      <w:r w:rsidRPr="00F07A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7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A8A">
            <w:pPr>
              <w:pStyle w:val="BodyTextBold"/>
              <w:rPr>
                <w:lang w:val="en-NZ"/>
              </w:rPr>
            </w:pPr>
            <w:r w:rsidRPr="00F07A8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A8A">
            <w:pPr>
              <w:pStyle w:val="BodyTextBold"/>
              <w:rPr>
                <w:lang w:val="en-NZ"/>
              </w:rPr>
            </w:pPr>
            <w:r w:rsidRPr="00F07A8A">
              <w:t>Comments</w:t>
            </w:r>
          </w:p>
        </w:tc>
      </w:tr>
      <w:tr w:rsidTr="00F07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A8A">
            <w:pPr>
              <w:pStyle w:val="BodyText"/>
              <w:rPr>
                <w:lang w:val="en-NZ"/>
              </w:rPr>
            </w:pPr>
            <w:r w:rsidRPr="00F07A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A8A" w:rsidP="00F07A8A">
            <w:pPr>
              <w:pStyle w:val="BodyText"/>
            </w:pPr>
            <w:r w:rsidRPr="00F07A8A">
              <w:t>This version released with SFI Seafood Industry Training Package Version 1.0.</w:t>
            </w:r>
          </w:p>
        </w:tc>
      </w:tr>
    </w:tbl>
    <w:p w:rsidR="00000000" w:rsidRPr="00F07A8A" w:rsidP="00F07A8A">
      <w:pPr>
        <w:pStyle w:val="BodyText"/>
      </w:pPr>
    </w:p>
    <w:p w:rsidR="00000000" w:rsidRPr="00F07A8A" w:rsidP="00F07A8A">
      <w:pPr>
        <w:pStyle w:val="AllowPageBreak"/>
      </w:pPr>
    </w:p>
    <w:p w:rsidR="00000000" w:rsidRPr="00F07A8A" w:rsidP="00F07A8A">
      <w:pPr>
        <w:pStyle w:val="Heading1"/>
      </w:pPr>
      <w:bookmarkStart w:id="2" w:name="O_1037639"/>
      <w:bookmarkEnd w:id="2"/>
      <w:r w:rsidRPr="00F07A8A">
        <w:t>Performance Evidence</w:t>
      </w:r>
    </w:p>
    <w:p w:rsidR="00000000" w:rsidRPr="00F07A8A" w:rsidP="00A112A7">
      <w:pPr>
        <w:pStyle w:val="BodyText"/>
      </w:pPr>
      <w:r w:rsidRPr="00F07A8A">
        <w:t xml:space="preserve">An individual demonstrating competency must satisfy all of the elements and performance criteria in this unit. </w:t>
      </w:r>
    </w:p>
    <w:p w:rsidR="00000000" w:rsidRPr="00F07A8A" w:rsidP="00A112A7">
      <w:pPr>
        <w:pStyle w:val="BodyText"/>
      </w:pPr>
      <w:r w:rsidRPr="00F07A8A">
        <w:t xml:space="preserve">There must be evidence that the individual has developed a brief of evidence for at least one court proceeding, including: </w:t>
      </w:r>
    </w:p>
    <w:p w:rsidR="00000000" w:rsidRPr="00F07A8A" w:rsidP="00F07A8A">
      <w:pPr>
        <w:pStyle w:val="ListBullet"/>
      </w:pPr>
      <w:r w:rsidRPr="00F07A8A">
        <w:t>liaising with witne</w:t>
      </w:r>
      <w:r w:rsidRPr="00F07A8A">
        <w:t>sses, prosecution authority and court personnel</w:t>
      </w:r>
    </w:p>
    <w:p w:rsidR="00000000" w:rsidRPr="00F07A8A" w:rsidP="00F07A8A">
      <w:pPr>
        <w:pStyle w:val="ListBullet"/>
      </w:pPr>
      <w:r w:rsidRPr="00F07A8A">
        <w:t>presenting evidence at the proceeding in a clear and concise manner</w:t>
      </w:r>
    </w:p>
    <w:p w:rsidR="00000000" w:rsidRPr="00F07A8A" w:rsidP="00F07A8A">
      <w:pPr>
        <w:pStyle w:val="ListBullet"/>
      </w:pPr>
      <w:r w:rsidRPr="00F07A8A">
        <w:t>following up on post-proceeding matters.</w:t>
      </w:r>
    </w:p>
    <w:p w:rsidR="00000000" w:rsidRPr="00F07A8A" w:rsidP="00F07A8A">
      <w:pPr>
        <w:pStyle w:val="AllowPageBreak"/>
      </w:pPr>
    </w:p>
    <w:p w:rsidR="00000000" w:rsidRPr="00F07A8A" w:rsidP="00F07A8A">
      <w:pPr>
        <w:pStyle w:val="Heading1"/>
      </w:pPr>
      <w:bookmarkStart w:id="3" w:name="O_1037640"/>
      <w:bookmarkEnd w:id="3"/>
      <w:r w:rsidRPr="00F07A8A">
        <w:t>Knowledge Evidence</w:t>
      </w:r>
    </w:p>
    <w:p w:rsidR="00000000" w:rsidRPr="00F07A8A" w:rsidP="00A112A7">
      <w:pPr>
        <w:pStyle w:val="BodyText"/>
      </w:pPr>
      <w:r w:rsidRPr="00F07A8A">
        <w:t>An individual must be able to demonstrate the knowledge required to perform the tasks outlined in the elements and performance criteria of this unit. This includes knowledge of:</w:t>
      </w:r>
    </w:p>
    <w:p w:rsidR="00000000" w:rsidRPr="00F07A8A" w:rsidP="00F07A8A">
      <w:pPr>
        <w:pStyle w:val="ListBullet"/>
      </w:pPr>
      <w:r w:rsidRPr="00F07A8A">
        <w:t>agency policies and procedures relating to preparation of documents and evide</w:t>
      </w:r>
      <w:r w:rsidRPr="00F07A8A">
        <w:t>nce, and providing expert opinion</w:t>
      </w:r>
    </w:p>
    <w:p w:rsidR="00000000" w:rsidRPr="00F07A8A" w:rsidP="00F07A8A">
      <w:pPr>
        <w:pStyle w:val="ListBullet"/>
      </w:pPr>
      <w:r w:rsidRPr="00F07A8A">
        <w:t>different judicial and quasi-judicial systems at which fisheries compliance matters are heard or prosecuted, and their procedures and protocols</w:t>
      </w:r>
    </w:p>
    <w:p w:rsidR="00000000" w:rsidRPr="00F07A8A" w:rsidP="00F07A8A">
      <w:pPr>
        <w:pStyle w:val="ListBullet"/>
      </w:pPr>
      <w:r w:rsidRPr="00F07A8A">
        <w:t>general principles of criminal liability</w:t>
      </w:r>
    </w:p>
    <w:p w:rsidR="00000000" w:rsidRPr="00F07A8A" w:rsidP="00F07A8A">
      <w:pPr>
        <w:pStyle w:val="ListBullet"/>
      </w:pPr>
      <w:r w:rsidRPr="00F07A8A">
        <w:t xml:space="preserve">relevant law, including the rules of </w:t>
      </w:r>
      <w:r w:rsidRPr="00F07A8A">
        <w:t>evidence and continuity of evidence, policy and procedures</w:t>
      </w:r>
    </w:p>
    <w:p w:rsidR="00000000" w:rsidRPr="00F07A8A" w:rsidP="00F07A8A">
      <w:pPr>
        <w:pStyle w:val="ListBullet"/>
      </w:pPr>
      <w:r w:rsidRPr="00F07A8A">
        <w:t>role of legal personnel in judicial and quasi-judicial systems</w:t>
      </w:r>
    </w:p>
    <w:p w:rsidR="00000000" w:rsidRPr="00F07A8A" w:rsidP="00F07A8A">
      <w:pPr>
        <w:pStyle w:val="ListBullet"/>
      </w:pPr>
      <w:r w:rsidRPr="00F07A8A">
        <w:t>types of evidence admissible in judicial and quasi-judicial systems</w:t>
      </w:r>
    </w:p>
    <w:p w:rsidR="00000000" w:rsidRPr="00F07A8A" w:rsidP="00F07A8A">
      <w:pPr>
        <w:pStyle w:val="ListBullet"/>
      </w:pPr>
      <w:r w:rsidRPr="00F07A8A">
        <w:t>use of notes in courts, tribunals or commissions</w:t>
      </w:r>
    </w:p>
    <w:p w:rsidR="00000000" w:rsidRPr="00F07A8A" w:rsidP="00F07A8A">
      <w:pPr>
        <w:pStyle w:val="ListBullet"/>
      </w:pPr>
      <w:r w:rsidRPr="00F07A8A">
        <w:t>witness summons a</w:t>
      </w:r>
      <w:r w:rsidRPr="00F07A8A">
        <w:t>nd preparation process and procedures according to jurisdictional law</w:t>
      </w:r>
    </w:p>
    <w:p w:rsidR="00000000" w:rsidRPr="00F07A8A" w:rsidP="00F07A8A">
      <w:pPr>
        <w:pStyle w:val="ListBullet"/>
      </w:pPr>
      <w:r w:rsidRPr="00F07A8A">
        <w:t>post-court procedures, including reporting outcomes of the proceedings.</w:t>
      </w:r>
    </w:p>
    <w:p w:rsidR="00000000" w:rsidRPr="00F07A8A" w:rsidP="00F07A8A">
      <w:pPr>
        <w:pStyle w:val="AllowPageBreak"/>
      </w:pPr>
    </w:p>
    <w:p w:rsidR="00000000" w:rsidRPr="00F07A8A" w:rsidP="00F07A8A">
      <w:pPr>
        <w:pStyle w:val="Heading1"/>
      </w:pPr>
      <w:bookmarkStart w:id="4" w:name="O_1037641"/>
      <w:bookmarkEnd w:id="4"/>
      <w:r w:rsidRPr="00F07A8A">
        <w:t>Assessment Conditions</w:t>
      </w:r>
    </w:p>
    <w:p w:rsidR="00000000" w:rsidRPr="00F07A8A" w:rsidP="00A112A7">
      <w:pPr>
        <w:pStyle w:val="BodyText"/>
      </w:pPr>
      <w:r w:rsidRPr="00F07A8A">
        <w:t xml:space="preserve">Assessment of skills must take place under the following conditions: </w:t>
      </w:r>
    </w:p>
    <w:p w:rsidR="00000000" w:rsidRPr="00F07A8A" w:rsidP="00F07A8A">
      <w:pPr>
        <w:pStyle w:val="ListBullet"/>
      </w:pPr>
      <w:r w:rsidRPr="00F07A8A">
        <w:t>ph</w:t>
      </w:r>
      <w:r w:rsidRPr="00F07A8A">
        <w:t>ysical conditions:</w:t>
      </w:r>
    </w:p>
    <w:p w:rsidR="00000000" w:rsidRPr="00F07A8A" w:rsidP="00F07A8A">
      <w:pPr>
        <w:pStyle w:val="ListBullet2"/>
      </w:pPr>
      <w:r w:rsidRPr="00F07A8A">
        <w:t>skills must be demonstrated in a courtroom and legal setting or an environment that accurately represents workplace conditions</w:t>
      </w:r>
    </w:p>
    <w:p w:rsidR="00000000" w:rsidRPr="00F07A8A" w:rsidP="00F07A8A">
      <w:pPr>
        <w:pStyle w:val="ListBullet"/>
      </w:pPr>
      <w:r w:rsidRPr="00F07A8A">
        <w:t>resources, equipment and materials:</w:t>
      </w:r>
    </w:p>
    <w:p w:rsidR="00000000" w:rsidRPr="00F07A8A" w:rsidP="00F07A8A">
      <w:pPr>
        <w:pStyle w:val="ListBullet2"/>
      </w:pPr>
      <w:r w:rsidRPr="00F07A8A">
        <w:t>case materials, witnesses, and judicial forms</w:t>
      </w:r>
    </w:p>
    <w:p w:rsidR="00000000" w:rsidRPr="00F07A8A" w:rsidP="00F07A8A">
      <w:pPr>
        <w:pStyle w:val="ListBullet"/>
      </w:pPr>
      <w:r w:rsidRPr="00F07A8A">
        <w:t>specifications:</w:t>
      </w:r>
    </w:p>
    <w:p w:rsidR="00000000" w:rsidRPr="00F07A8A" w:rsidP="00F07A8A">
      <w:pPr>
        <w:pStyle w:val="ListBullet2"/>
      </w:pPr>
      <w:r w:rsidRPr="00F07A8A">
        <w:t>access to judicial guidelines, court protocols and procedures, including witness protection</w:t>
      </w:r>
    </w:p>
    <w:p w:rsidR="00000000" w:rsidRPr="00F07A8A" w:rsidP="00F07A8A">
      <w:pPr>
        <w:pStyle w:val="ListBullet"/>
      </w:pPr>
      <w:r w:rsidRPr="00F07A8A">
        <w:t>relationships:</w:t>
      </w:r>
    </w:p>
    <w:p w:rsidR="00000000" w:rsidRPr="00F07A8A" w:rsidP="00F07A8A">
      <w:pPr>
        <w:pStyle w:val="ListBullet2"/>
      </w:pPr>
      <w:r w:rsidRPr="00F07A8A">
        <w:t>evidence of interactions with witnesses and legal personnel.</w:t>
      </w:r>
    </w:p>
    <w:p w:rsidR="00000000" w:rsidRPr="00F07A8A" w:rsidP="00A112A7">
      <w:pPr>
        <w:pStyle w:val="BodyText"/>
      </w:pPr>
      <w:r w:rsidRPr="00F07A8A">
        <w:t>Assessors of this unit must satisfy the requirements for assessors in applicable vocat</w:t>
      </w:r>
      <w:r w:rsidRPr="00F07A8A">
        <w:t>ional education and training legislation, frameworks and/or standards.</w:t>
      </w:r>
    </w:p>
    <w:p w:rsidR="00000000" w:rsidRPr="00F07A8A" w:rsidP="00F07A8A">
      <w:pPr>
        <w:pStyle w:val="Heading1"/>
      </w:pPr>
      <w:bookmarkStart w:id="5" w:name="O_1037644"/>
      <w:bookmarkEnd w:id="5"/>
      <w:r w:rsidRPr="00F07A8A">
        <w:t>Links</w:t>
      </w:r>
    </w:p>
    <w:p w:rsidR="00000000" w:rsidRPr="00F07A8A" w:rsidP="00A112A7">
      <w:pPr>
        <w:pStyle w:val="BodyText"/>
      </w:pPr>
      <w:r w:rsidRPr="00F07A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E4DC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07A8A" w:rsidP="00F07A8A"/>
    <w:sectPr w:rsidSect="00F07A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8A" w:rsidRPr="00A112A7" w:rsidP="00A11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A7" w:rsidP="00F07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12A7" w:rsidP="00F07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12A7" w:rsidP="00F07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A8A" w:rsidRPr="00A112A7" w:rsidP="00A11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A7" w:rsidRPr="002D2AF8" w:rsidP="00F07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SFICPL304 Support the judicial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112A7" w:rsidP="00F07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DAF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5C6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4E0A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A8A"/>
  </w:style>
  <w:style w:type="character" w:customStyle="1" w:styleId="Heading1Char">
    <w:name w:val="Heading 1 Char"/>
    <w:basedOn w:val="DefaultParagraphFont"/>
    <w:link w:val="Heading1"/>
    <w:rsid w:val="00F07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A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A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A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7A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7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7A8A"/>
    <w:rPr>
      <w:b/>
    </w:rPr>
  </w:style>
  <w:style w:type="character" w:customStyle="1" w:styleId="Heading2Char">
    <w:name w:val="Heading 2 Char"/>
    <w:basedOn w:val="DefaultParagraphFont"/>
    <w:link w:val="Heading2"/>
    <w:rsid w:val="00F07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A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7A8A"/>
    <w:rPr>
      <w:b/>
      <w:spacing w:val="0"/>
    </w:rPr>
  </w:style>
  <w:style w:type="paragraph" w:customStyle="1" w:styleId="SuperTitle">
    <w:name w:val="SuperTitle"/>
    <w:basedOn w:val="Title"/>
    <w:rsid w:val="00F07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A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A8A"/>
    <w:rPr>
      <w:i/>
    </w:rPr>
  </w:style>
  <w:style w:type="paragraph" w:styleId="Caption">
    <w:name w:val="caption"/>
    <w:basedOn w:val="BodyText"/>
    <w:next w:val="Normal"/>
    <w:qFormat/>
    <w:rsid w:val="00F07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A8A"/>
  </w:style>
  <w:style w:type="paragraph" w:styleId="TableofFigures">
    <w:name w:val="table of figures"/>
    <w:basedOn w:val="Normal"/>
    <w:next w:val="Normal"/>
    <w:semiHidden/>
    <w:rsid w:val="00F07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A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7A8A"/>
    <w:rPr>
      <w:rFonts w:ascii="Wingdings" w:hAnsi="Wingdings"/>
    </w:rPr>
  </w:style>
  <w:style w:type="paragraph" w:customStyle="1" w:styleId="TableHeading">
    <w:name w:val="Table Heading"/>
    <w:basedOn w:val="HeadingBase"/>
    <w:rsid w:val="00F07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A8A"/>
    <w:rPr>
      <w:color w:val="0033CC"/>
      <w:u w:val="none"/>
    </w:rPr>
  </w:style>
  <w:style w:type="paragraph" w:customStyle="1" w:styleId="BodyTextRight">
    <w:name w:val="Body Text Right"/>
    <w:basedOn w:val="BodyText"/>
    <w:rsid w:val="00F07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A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A8A"/>
    <w:rPr>
      <w:sz w:val="32"/>
    </w:rPr>
  </w:style>
  <w:style w:type="paragraph" w:customStyle="1" w:styleId="HeadingProcedure">
    <w:name w:val="Heading Procedure"/>
    <w:basedOn w:val="HeadingBase"/>
    <w:next w:val="Normal"/>
    <w:rsid w:val="00F07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A8A"/>
    <w:pPr>
      <w:spacing w:before="60" w:after="60"/>
    </w:pPr>
  </w:style>
  <w:style w:type="paragraph" w:styleId="ListContinue">
    <w:name w:val="List Continue"/>
    <w:basedOn w:val="List"/>
    <w:rsid w:val="00F07A8A"/>
    <w:pPr>
      <w:ind w:firstLine="0"/>
    </w:pPr>
  </w:style>
  <w:style w:type="paragraph" w:customStyle="1" w:styleId="ListNote">
    <w:name w:val="List Note"/>
    <w:basedOn w:val="List"/>
    <w:rsid w:val="00F07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A8A"/>
    <w:rPr>
      <w:rFonts w:ascii="Courier New" w:hAnsi="Courier New"/>
    </w:rPr>
  </w:style>
  <w:style w:type="paragraph" w:customStyle="1" w:styleId="NoteBullet">
    <w:name w:val="Note Bullet"/>
    <w:basedOn w:val="Note"/>
    <w:rsid w:val="00F07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A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7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A8A"/>
    <w:rPr>
      <w:b/>
      <w:smallCaps/>
    </w:rPr>
  </w:style>
  <w:style w:type="paragraph" w:customStyle="1" w:styleId="TableListNumber">
    <w:name w:val="Table List Number"/>
    <w:basedOn w:val="ListNumber"/>
    <w:rsid w:val="00F07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A8A"/>
    <w:pPr>
      <w:numPr>
        <w:numId w:val="9"/>
      </w:numPr>
    </w:pPr>
  </w:style>
  <w:style w:type="paragraph" w:customStyle="1" w:styleId="ListAlpha2">
    <w:name w:val="List Alpha 2"/>
    <w:basedOn w:val="List2"/>
    <w:rsid w:val="00F07A8A"/>
    <w:pPr>
      <w:numPr>
        <w:numId w:val="8"/>
      </w:numPr>
    </w:pPr>
  </w:style>
  <w:style w:type="paragraph" w:styleId="List2">
    <w:name w:val="List 2"/>
    <w:basedOn w:val="BodyText"/>
    <w:rsid w:val="00F07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A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A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7A8A"/>
    <w:pPr>
      <w:numPr>
        <w:numId w:val="4"/>
      </w:numPr>
    </w:pPr>
  </w:style>
  <w:style w:type="paragraph" w:styleId="ListContinue2">
    <w:name w:val="List Continue 2"/>
    <w:basedOn w:val="List2"/>
    <w:rsid w:val="00F07A8A"/>
    <w:pPr>
      <w:ind w:firstLine="0"/>
    </w:pPr>
  </w:style>
  <w:style w:type="paragraph" w:styleId="ListContinue3">
    <w:name w:val="List Continue 3"/>
    <w:basedOn w:val="List3"/>
    <w:rsid w:val="00F07A8A"/>
    <w:pPr>
      <w:ind w:left="1021" w:firstLine="0"/>
    </w:pPr>
  </w:style>
  <w:style w:type="paragraph" w:styleId="ListContinue4">
    <w:name w:val="List Continue 4"/>
    <w:basedOn w:val="List4"/>
    <w:rsid w:val="00F07A8A"/>
    <w:pPr>
      <w:ind w:firstLine="0"/>
    </w:pPr>
  </w:style>
  <w:style w:type="paragraph" w:styleId="ListContinue5">
    <w:name w:val="List Continue 5"/>
    <w:basedOn w:val="List5"/>
    <w:rsid w:val="00F07A8A"/>
    <w:pPr>
      <w:ind w:firstLine="0"/>
    </w:pPr>
  </w:style>
  <w:style w:type="paragraph" w:styleId="ListNumber3">
    <w:name w:val="List Number 3"/>
    <w:basedOn w:val="List3"/>
    <w:rsid w:val="00F07A8A"/>
    <w:pPr>
      <w:numPr>
        <w:numId w:val="5"/>
      </w:numPr>
    </w:pPr>
  </w:style>
  <w:style w:type="paragraph" w:styleId="ListNumber4">
    <w:name w:val="List Number 4"/>
    <w:basedOn w:val="List4"/>
    <w:rsid w:val="00F07A8A"/>
    <w:pPr>
      <w:numPr>
        <w:numId w:val="6"/>
      </w:numPr>
    </w:pPr>
  </w:style>
  <w:style w:type="paragraph" w:styleId="ListNumber5">
    <w:name w:val="List Number 5"/>
    <w:basedOn w:val="List5"/>
    <w:rsid w:val="00F07A8A"/>
    <w:pPr>
      <w:numPr>
        <w:numId w:val="7"/>
      </w:numPr>
    </w:pPr>
  </w:style>
  <w:style w:type="paragraph" w:styleId="BlockText">
    <w:name w:val="Block Text"/>
    <w:basedOn w:val="Normal"/>
    <w:rsid w:val="00F07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A8A"/>
    <w:rPr>
      <w:sz w:val="16"/>
      <w:vertAlign w:val="superscript"/>
    </w:rPr>
  </w:style>
  <w:style w:type="character" w:customStyle="1" w:styleId="Symbols">
    <w:name w:val="Symbols"/>
    <w:basedOn w:val="DefaultParagraphFont"/>
    <w:rsid w:val="00F07A8A"/>
    <w:rPr>
      <w:rFonts w:ascii="Symbol" w:hAnsi="Symbol"/>
    </w:rPr>
  </w:style>
  <w:style w:type="character" w:customStyle="1" w:styleId="MenuOptions">
    <w:name w:val="Menu Options"/>
    <w:basedOn w:val="DefaultParagraphFont"/>
    <w:rsid w:val="00F07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A8A"/>
    <w:rPr>
      <w:b/>
    </w:rPr>
  </w:style>
  <w:style w:type="character" w:customStyle="1" w:styleId="Underlined">
    <w:name w:val="Underlined"/>
    <w:basedOn w:val="DefaultParagraphFont"/>
    <w:rsid w:val="00F07A8A"/>
    <w:rPr>
      <w:u w:val="single"/>
    </w:rPr>
  </w:style>
  <w:style w:type="paragraph" w:customStyle="1" w:styleId="TableBodyTextRight">
    <w:name w:val="Table Body Text Right"/>
    <w:basedOn w:val="TableBodyText"/>
    <w:rsid w:val="00F07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A8A"/>
    <w:rPr>
      <w:sz w:val="18"/>
    </w:rPr>
  </w:style>
  <w:style w:type="paragraph" w:customStyle="1" w:styleId="BodySmallRight">
    <w:name w:val="Body Small Right"/>
    <w:basedOn w:val="BodyTextRight"/>
    <w:rsid w:val="00F07A8A"/>
    <w:rPr>
      <w:sz w:val="18"/>
      <w:szCs w:val="18"/>
    </w:rPr>
  </w:style>
  <w:style w:type="paragraph" w:customStyle="1" w:styleId="MarginEdition">
    <w:name w:val="Margin Edition"/>
    <w:basedOn w:val="MarginNote"/>
    <w:rsid w:val="00F07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A8A"/>
    <w:rPr>
      <w:sz w:val="2"/>
      <w:szCs w:val="2"/>
    </w:rPr>
  </w:style>
  <w:style w:type="character" w:customStyle="1" w:styleId="Small">
    <w:name w:val="Small"/>
    <w:basedOn w:val="DefaultParagraphFont"/>
    <w:rsid w:val="00F07A8A"/>
    <w:rPr>
      <w:sz w:val="16"/>
    </w:rPr>
  </w:style>
  <w:style w:type="paragraph" w:customStyle="1" w:styleId="WideTable">
    <w:name w:val="Wide Table"/>
    <w:basedOn w:val="Normal"/>
    <w:rsid w:val="00F07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A8A"/>
  </w:style>
  <w:style w:type="paragraph" w:styleId="Quote">
    <w:name w:val="Quote"/>
    <w:basedOn w:val="Heading1"/>
    <w:link w:val="QuoteChar"/>
    <w:qFormat/>
    <w:rsid w:val="00F07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A8A"/>
    <w:pPr>
      <w:pageBreakBefore/>
    </w:pPr>
  </w:style>
  <w:style w:type="paragraph" w:customStyle="1" w:styleId="Border">
    <w:name w:val="Border"/>
    <w:basedOn w:val="Normal"/>
    <w:qFormat/>
    <w:rsid w:val="00F07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A8A"/>
    <w:rPr>
      <w:u w:val="single"/>
    </w:rPr>
  </w:style>
  <w:style w:type="character" w:customStyle="1" w:styleId="BoldandItalics">
    <w:name w:val="Bold and Italics"/>
    <w:qFormat/>
    <w:rsid w:val="00F07A8A"/>
    <w:rPr>
      <w:b/>
      <w:i/>
      <w:u w:val="none"/>
    </w:rPr>
  </w:style>
  <w:style w:type="paragraph" w:styleId="BalloonText">
    <w:name w:val="Balloon Text"/>
    <w:basedOn w:val="Normal"/>
    <w:link w:val="BalloonTextChar"/>
    <w:rsid w:val="00F07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A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A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A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12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2302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SFICPL304 Support the judicial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