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A14" w:rsidP="007A3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SFICPL203 Promote sustainable use of local marine and freshwater environments</w:t>
      </w:r>
      <w:r>
        <w:fldChar w:fldCharType="end"/>
      </w:r>
    </w:p>
    <w:p w:rsidR="007A3A14" w:rsidP="007A3A14">
      <w:pPr>
        <w:pStyle w:val="Version"/>
        <w:sectPr w:rsidSect="008B6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752" w:rsidP="008B6752">
      <w:pPr>
        <w:pStyle w:val="SuperHeading"/>
      </w:pPr>
      <w:r w:rsidRPr="008B6752">
        <w:t>Assessment Requirements for SFICPL203 Promote sustainable use of local marine and freshwater environments</w:t>
      </w:r>
    </w:p>
    <w:p w:rsidR="00000000" w:rsidRPr="008B6752" w:rsidP="008B6752">
      <w:pPr>
        <w:pStyle w:val="Heading1"/>
      </w:pPr>
      <w:bookmarkStart w:id="1" w:name="O_1037524"/>
      <w:bookmarkEnd w:id="1"/>
      <w:r w:rsidRPr="008B67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6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752">
            <w:pPr>
              <w:pStyle w:val="BodyTextBold"/>
              <w:rPr>
                <w:lang w:val="en-NZ"/>
              </w:rPr>
            </w:pPr>
            <w:r w:rsidRPr="008B67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752">
            <w:pPr>
              <w:pStyle w:val="BodyTextBold"/>
              <w:rPr>
                <w:lang w:val="en-NZ"/>
              </w:rPr>
            </w:pPr>
            <w:r w:rsidRPr="008B6752">
              <w:t>Comments</w:t>
            </w:r>
          </w:p>
        </w:tc>
      </w:tr>
      <w:tr w:rsidTr="008B6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752">
            <w:pPr>
              <w:pStyle w:val="BodyText"/>
              <w:rPr>
                <w:lang w:val="en-NZ"/>
              </w:rPr>
            </w:pPr>
            <w:r w:rsidRPr="008B67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752" w:rsidP="008B6752">
            <w:pPr>
              <w:pStyle w:val="BodyText"/>
            </w:pPr>
            <w:r w:rsidRPr="008B6752">
              <w:t>This version released with SFI Seafood Industry Training Package Version 1.0.</w:t>
            </w:r>
          </w:p>
        </w:tc>
      </w:tr>
    </w:tbl>
    <w:p w:rsidR="00000000" w:rsidRPr="008B6752" w:rsidP="008B6752">
      <w:pPr>
        <w:pStyle w:val="BodyText"/>
      </w:pPr>
    </w:p>
    <w:p w:rsidR="00000000" w:rsidRPr="008B6752" w:rsidP="008B6752">
      <w:pPr>
        <w:pStyle w:val="AllowPageBreak"/>
      </w:pPr>
    </w:p>
    <w:p w:rsidR="00000000" w:rsidRPr="008B6752" w:rsidP="008B6752">
      <w:pPr>
        <w:pStyle w:val="Heading1"/>
      </w:pPr>
      <w:bookmarkStart w:id="2" w:name="O_1037525"/>
      <w:bookmarkEnd w:id="2"/>
      <w:r w:rsidRPr="008B6752">
        <w:t>Performance Evidence</w:t>
      </w:r>
    </w:p>
    <w:p w:rsidR="00000000" w:rsidRPr="008B6752" w:rsidP="007A3A14">
      <w:pPr>
        <w:pStyle w:val="BodyText"/>
      </w:pPr>
      <w:r w:rsidRPr="008B6752">
        <w:t xml:space="preserve">An individual demonstrating competency must satisfy all of the elements and performance criteria in this unit. </w:t>
      </w:r>
    </w:p>
    <w:p w:rsidR="00000000" w:rsidRPr="008B6752" w:rsidP="007A3A14">
      <w:pPr>
        <w:pStyle w:val="BodyText"/>
      </w:pPr>
      <w:r w:rsidRPr="008B6752">
        <w:t>There must be evidence that the individual has promoted sustainable use of local marine and freshwater en</w:t>
      </w:r>
      <w:r w:rsidRPr="008B6752">
        <w:t>vironments as part of one presentation or display on at least one occasion, including:</w:t>
      </w:r>
    </w:p>
    <w:p w:rsidR="00000000" w:rsidRPr="008B6752" w:rsidP="008B6752">
      <w:pPr>
        <w:pStyle w:val="ListBullet"/>
      </w:pPr>
      <w:r w:rsidRPr="008B6752">
        <w:t>collecting, analysing and organising information in a logical sequence for presentation</w:t>
      </w:r>
    </w:p>
    <w:p w:rsidR="00000000" w:rsidRPr="008B6752" w:rsidP="008B6752">
      <w:pPr>
        <w:pStyle w:val="ListBullet"/>
      </w:pPr>
      <w:r w:rsidRPr="008B6752">
        <w:t xml:space="preserve">selecting and using presentation media and communication methods appropriate to </w:t>
      </w:r>
      <w:r w:rsidRPr="008B6752">
        <w:t xml:space="preserve">the audience and purpose/message </w:t>
      </w:r>
    </w:p>
    <w:p w:rsidR="00000000" w:rsidRPr="008B6752" w:rsidP="008B6752">
      <w:pPr>
        <w:pStyle w:val="ListBullet"/>
      </w:pPr>
      <w:r w:rsidRPr="008B6752">
        <w:t>communicating clearly and effectively to the audience within the presentation timeframe</w:t>
      </w:r>
    </w:p>
    <w:p w:rsidR="00000000" w:rsidRPr="008B6752" w:rsidP="008B6752">
      <w:pPr>
        <w:pStyle w:val="ListBullet"/>
      </w:pPr>
      <w:r w:rsidRPr="008B6752">
        <w:t>suggesting approaches to improve the presentation based on audience feedback.</w:t>
      </w:r>
    </w:p>
    <w:p w:rsidR="00000000" w:rsidRPr="008B6752" w:rsidP="008B6752">
      <w:pPr>
        <w:pStyle w:val="AllowPageBreak"/>
      </w:pPr>
    </w:p>
    <w:p w:rsidR="00000000" w:rsidRPr="008B6752" w:rsidP="008B6752">
      <w:pPr>
        <w:pStyle w:val="Heading1"/>
      </w:pPr>
      <w:bookmarkStart w:id="3" w:name="O_1037526"/>
      <w:bookmarkEnd w:id="3"/>
      <w:r w:rsidRPr="008B6752">
        <w:t>Knowledge Evidence</w:t>
      </w:r>
    </w:p>
    <w:p w:rsidR="00000000" w:rsidRPr="008B6752" w:rsidP="007A3A14">
      <w:pPr>
        <w:pStyle w:val="BodyText"/>
      </w:pPr>
      <w:r w:rsidRPr="008B6752">
        <w:t>An individual must be able to demonstrate the knowledge required to perform the tasks outlined in the elements and performance criteria of this unit. This includes knowledge of:</w:t>
      </w:r>
    </w:p>
    <w:p w:rsidR="00000000" w:rsidRPr="008B6752" w:rsidP="008B6752">
      <w:pPr>
        <w:pStyle w:val="ListBullet"/>
      </w:pPr>
      <w:r w:rsidRPr="008B6752">
        <w:t>statutory and policy requirements relevant to sustainable use of marine and f</w:t>
      </w:r>
      <w:r w:rsidRPr="008B6752">
        <w:t>reshwater environments, including:</w:t>
      </w:r>
    </w:p>
    <w:p w:rsidR="00000000" w:rsidRPr="008B6752" w:rsidP="008B6752">
      <w:pPr>
        <w:pStyle w:val="ListBullet2"/>
      </w:pPr>
      <w:r w:rsidRPr="008B6752">
        <w:t>commonwealth, state or territory and local government</w:t>
      </w:r>
    </w:p>
    <w:p w:rsidR="00000000" w:rsidRPr="008B6752" w:rsidP="008B6752">
      <w:pPr>
        <w:pStyle w:val="ListBullet2"/>
      </w:pPr>
      <w:r w:rsidRPr="008B6752">
        <w:t>agency policies and procedures</w:t>
      </w:r>
    </w:p>
    <w:p w:rsidR="00000000" w:rsidRPr="008B6752" w:rsidP="008B6752">
      <w:pPr>
        <w:pStyle w:val="ListBullet2"/>
      </w:pPr>
      <w:r w:rsidRPr="008B6752">
        <w:t>community standards and regulations</w:t>
      </w:r>
    </w:p>
    <w:p w:rsidR="00000000" w:rsidRPr="008B6752" w:rsidP="008B6752">
      <w:pPr>
        <w:pStyle w:val="ListBullet2"/>
      </w:pPr>
      <w:r w:rsidRPr="008B6752">
        <w:t>existence of any native titles</w:t>
      </w:r>
    </w:p>
    <w:p w:rsidR="00000000" w:rsidRPr="008B6752" w:rsidP="008B6752">
      <w:pPr>
        <w:pStyle w:val="ListBullet2"/>
      </w:pPr>
      <w:r w:rsidRPr="008B6752">
        <w:t>codes of practice</w:t>
      </w:r>
    </w:p>
    <w:p w:rsidR="00000000" w:rsidRPr="008B6752" w:rsidP="008B6752">
      <w:pPr>
        <w:pStyle w:val="ListBullet"/>
      </w:pPr>
      <w:r w:rsidRPr="008B6752">
        <w:t>sustainable use of local marine and freshwater en</w:t>
      </w:r>
      <w:r w:rsidRPr="008B6752">
        <w:t>vironments</w:t>
      </w:r>
    </w:p>
    <w:p w:rsidR="00000000" w:rsidRPr="008B6752" w:rsidP="008B6752">
      <w:pPr>
        <w:pStyle w:val="ListBullet"/>
      </w:pPr>
      <w:r w:rsidRPr="008B6752">
        <w:t>significance of sacred and other cultural sites in local marine and freshwater environments</w:t>
      </w:r>
    </w:p>
    <w:p w:rsidR="00000000" w:rsidRPr="008B6752" w:rsidP="008B6752">
      <w:pPr>
        <w:pStyle w:val="ListBullet"/>
      </w:pPr>
      <w:r w:rsidRPr="008B6752">
        <w:t>significance of cultural activities, including customary fishing practices or use of other marine resources</w:t>
      </w:r>
    </w:p>
    <w:p w:rsidR="00000000" w:rsidRPr="008B6752" w:rsidP="008B6752">
      <w:pPr>
        <w:pStyle w:val="ListBullet"/>
      </w:pPr>
      <w:r w:rsidRPr="008B6752">
        <w:t>time management and planning techniques for effective presentations</w:t>
      </w:r>
    </w:p>
    <w:p w:rsidR="00000000" w:rsidRPr="008B6752" w:rsidP="008B6752">
      <w:pPr>
        <w:pStyle w:val="ListBullet"/>
      </w:pPr>
      <w:r w:rsidRPr="008B6752">
        <w:t>types and uses of commonly used presentation and display media</w:t>
      </w:r>
    </w:p>
    <w:p w:rsidR="00000000" w:rsidRPr="008B6752" w:rsidP="008B6752">
      <w:pPr>
        <w:pStyle w:val="ListBullet"/>
      </w:pPr>
      <w:r w:rsidRPr="008B6752">
        <w:t>appropriate communication techniques for presentation to public audiences</w:t>
      </w:r>
    </w:p>
    <w:p w:rsidR="00000000" w:rsidRPr="008B6752" w:rsidP="008B6752">
      <w:pPr>
        <w:pStyle w:val="ListBullet"/>
      </w:pPr>
      <w:r w:rsidRPr="008B6752">
        <w:t>health and safety principles for public presentatio</w:t>
      </w:r>
      <w:r w:rsidRPr="008B6752">
        <w:t>n and display activities</w:t>
      </w:r>
    </w:p>
    <w:p w:rsidR="00000000" w:rsidRPr="008B6752" w:rsidP="008B6752">
      <w:pPr>
        <w:pStyle w:val="ListBullet"/>
      </w:pPr>
      <w:r w:rsidRPr="008B6752">
        <w:t>procedures for accessing and using interpreter/assistive technology.</w:t>
      </w:r>
    </w:p>
    <w:p w:rsidR="00000000" w:rsidRPr="008B6752" w:rsidP="008B6752">
      <w:pPr>
        <w:pStyle w:val="AllowPageBreak"/>
      </w:pPr>
    </w:p>
    <w:p w:rsidR="00000000" w:rsidRPr="008B6752" w:rsidP="008B6752">
      <w:pPr>
        <w:pStyle w:val="Heading1"/>
      </w:pPr>
      <w:bookmarkStart w:id="4" w:name="O_1037527"/>
      <w:bookmarkEnd w:id="4"/>
      <w:r w:rsidRPr="008B6752">
        <w:t>Assessment Conditions</w:t>
      </w:r>
    </w:p>
    <w:p w:rsidR="00000000" w:rsidRPr="008B6752" w:rsidP="007A3A14">
      <w:pPr>
        <w:pStyle w:val="BodyText"/>
      </w:pPr>
      <w:r w:rsidRPr="008B6752">
        <w:t xml:space="preserve">Assessment of skills must take place under the following conditions: </w:t>
      </w:r>
    </w:p>
    <w:p w:rsidR="00000000" w:rsidRPr="008B6752" w:rsidP="008B6752">
      <w:pPr>
        <w:pStyle w:val="ListBullet"/>
      </w:pPr>
      <w:r w:rsidRPr="008B6752">
        <w:t>physical conditions:</w:t>
      </w:r>
    </w:p>
    <w:p w:rsidR="00000000" w:rsidRPr="008B6752" w:rsidP="008B6752">
      <w:pPr>
        <w:pStyle w:val="ListBullet2"/>
      </w:pPr>
      <w:r w:rsidRPr="008B6752">
        <w:t xml:space="preserve">skills must be demonstrated </w:t>
      </w:r>
      <w:r w:rsidRPr="008B6752">
        <w:t>in a presentation or exhibition setting or an environment that accurately represents workplace conditions</w:t>
      </w:r>
    </w:p>
    <w:p w:rsidR="00000000" w:rsidRPr="008B6752" w:rsidP="008B6752">
      <w:pPr>
        <w:pStyle w:val="ListBullet2"/>
      </w:pPr>
      <w:r w:rsidRPr="008B6752">
        <w:t>venue</w:t>
      </w:r>
    </w:p>
    <w:p w:rsidR="00000000" w:rsidRPr="008B6752" w:rsidP="008B6752">
      <w:pPr>
        <w:pStyle w:val="ListBullet"/>
      </w:pPr>
      <w:r w:rsidRPr="008B6752">
        <w:t>resources, equipment and materials:</w:t>
      </w:r>
    </w:p>
    <w:p w:rsidR="00000000" w:rsidRPr="008B6752" w:rsidP="008B6752">
      <w:pPr>
        <w:pStyle w:val="ListBullet2"/>
      </w:pPr>
      <w:r w:rsidRPr="008B6752">
        <w:t>overhead projector</w:t>
      </w:r>
    </w:p>
    <w:p w:rsidR="00000000" w:rsidRPr="008B6752" w:rsidP="008B6752">
      <w:pPr>
        <w:pStyle w:val="ListBullet2"/>
      </w:pPr>
      <w:r w:rsidRPr="008B6752">
        <w:t>computer and peripheral equipment</w:t>
      </w:r>
    </w:p>
    <w:p w:rsidR="00000000" w:rsidRPr="008B6752" w:rsidP="008B6752">
      <w:pPr>
        <w:pStyle w:val="ListBullet2"/>
      </w:pPr>
      <w:r w:rsidRPr="008B6752">
        <w:t>other display equipment and resources</w:t>
      </w:r>
    </w:p>
    <w:p w:rsidR="00000000" w:rsidRPr="008B6752" w:rsidP="008B6752">
      <w:pPr>
        <w:pStyle w:val="ListBullet"/>
      </w:pPr>
      <w:r w:rsidRPr="008B6752">
        <w:t>specifications:</w:t>
      </w:r>
    </w:p>
    <w:p w:rsidR="00000000" w:rsidRPr="008B6752" w:rsidP="008B6752">
      <w:pPr>
        <w:pStyle w:val="ListBullet2"/>
      </w:pPr>
      <w:r w:rsidRPr="008B6752">
        <w:t>access to legislation, policies and codes of practice relating to sustainable use of marine and freshwater environments</w:t>
      </w:r>
    </w:p>
    <w:p w:rsidR="00000000" w:rsidRPr="008B6752" w:rsidP="008B6752">
      <w:pPr>
        <w:pStyle w:val="ListBullet2"/>
      </w:pPr>
      <w:r w:rsidRPr="008B6752">
        <w:t>workplace procedures for promotional activities, including advice on safe work practices.</w:t>
      </w:r>
    </w:p>
    <w:p w:rsidR="00000000" w:rsidRPr="008B6752" w:rsidP="008B6752">
      <w:pPr>
        <w:pStyle w:val="ListBullet"/>
      </w:pPr>
      <w:r w:rsidRPr="008B6752">
        <w:t>relationships:</w:t>
      </w:r>
    </w:p>
    <w:p w:rsidR="00000000" w:rsidRPr="008B6752" w:rsidP="008B6752">
      <w:pPr>
        <w:pStyle w:val="ListBullet2"/>
      </w:pPr>
      <w:r w:rsidRPr="008B6752">
        <w:t xml:space="preserve">evidence of </w:t>
      </w:r>
      <w:r w:rsidRPr="008B6752">
        <w:t>interactions with audience.</w:t>
      </w:r>
    </w:p>
    <w:p w:rsidR="00000000" w:rsidRPr="008B6752" w:rsidP="007A3A14">
      <w:pPr>
        <w:pStyle w:val="BodyText"/>
      </w:pPr>
      <w:r w:rsidRPr="008B6752">
        <w:t>Assessors of this unit must satisfy the requirements for assessors in applicable vocational education and training legislation, frameworks and/or standards.</w:t>
      </w:r>
    </w:p>
    <w:p w:rsidR="00000000" w:rsidRPr="008B6752" w:rsidP="008B6752">
      <w:pPr>
        <w:pStyle w:val="Heading1"/>
      </w:pPr>
      <w:bookmarkStart w:id="5" w:name="O_1037530"/>
      <w:bookmarkEnd w:id="5"/>
      <w:r w:rsidRPr="008B6752">
        <w:t>Links</w:t>
      </w:r>
    </w:p>
    <w:p w:rsidR="00000000" w:rsidRPr="008B6752" w:rsidP="007A3A14">
      <w:pPr>
        <w:pStyle w:val="BodyText"/>
      </w:pPr>
      <w:r w:rsidRPr="008B6752">
        <w:t>Companion Volumes, including Implementation Gu</w:t>
      </w:r>
      <w:r w:rsidRPr="008B6752">
        <w:t xml:space="preserve">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90AC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B6752" w:rsidP="008B6752"/>
    <w:sectPr w:rsidSect="008B67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52" w:rsidRPr="007A3A14" w:rsidP="007A3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14" w:rsidP="008B6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A14" w:rsidP="008B6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3A14" w:rsidP="008B6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752" w:rsidRPr="007A3A14" w:rsidP="007A3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14" w:rsidRPr="002D2AF8" w:rsidP="008B6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SFICPL203 Promote sustainable use of local marine and freshwater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A3A14" w:rsidP="008B6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24C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A5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E8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752"/>
  </w:style>
  <w:style w:type="character" w:customStyle="1" w:styleId="Heading1Char">
    <w:name w:val="Heading 1 Char"/>
    <w:basedOn w:val="DefaultParagraphFont"/>
    <w:link w:val="Heading1"/>
    <w:rsid w:val="008B6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7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67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6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6752"/>
    <w:rPr>
      <w:b/>
    </w:rPr>
  </w:style>
  <w:style w:type="character" w:customStyle="1" w:styleId="Heading2Char">
    <w:name w:val="Heading 2 Char"/>
    <w:basedOn w:val="DefaultParagraphFont"/>
    <w:link w:val="Heading2"/>
    <w:rsid w:val="008B6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6752"/>
    <w:rPr>
      <w:b/>
      <w:spacing w:val="0"/>
    </w:rPr>
  </w:style>
  <w:style w:type="paragraph" w:customStyle="1" w:styleId="SuperTitle">
    <w:name w:val="SuperTitle"/>
    <w:basedOn w:val="Title"/>
    <w:rsid w:val="008B6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7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752"/>
    <w:rPr>
      <w:i/>
    </w:rPr>
  </w:style>
  <w:style w:type="paragraph" w:styleId="Caption">
    <w:name w:val="caption"/>
    <w:basedOn w:val="BodyText"/>
    <w:next w:val="Normal"/>
    <w:qFormat/>
    <w:rsid w:val="008B6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752"/>
  </w:style>
  <w:style w:type="paragraph" w:styleId="TableofFigures">
    <w:name w:val="table of figures"/>
    <w:basedOn w:val="Normal"/>
    <w:next w:val="Normal"/>
    <w:semiHidden/>
    <w:rsid w:val="008B6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7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6752"/>
    <w:rPr>
      <w:rFonts w:ascii="Wingdings" w:hAnsi="Wingdings"/>
    </w:rPr>
  </w:style>
  <w:style w:type="paragraph" w:customStyle="1" w:styleId="TableHeading">
    <w:name w:val="Table Heading"/>
    <w:basedOn w:val="HeadingBase"/>
    <w:rsid w:val="008B6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752"/>
    <w:rPr>
      <w:color w:val="0033CC"/>
      <w:u w:val="none"/>
    </w:rPr>
  </w:style>
  <w:style w:type="paragraph" w:customStyle="1" w:styleId="BodyTextRight">
    <w:name w:val="Body Text Right"/>
    <w:basedOn w:val="BodyText"/>
    <w:rsid w:val="008B6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7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752"/>
    <w:rPr>
      <w:sz w:val="32"/>
    </w:rPr>
  </w:style>
  <w:style w:type="paragraph" w:customStyle="1" w:styleId="HeadingProcedure">
    <w:name w:val="Heading Procedure"/>
    <w:basedOn w:val="HeadingBase"/>
    <w:next w:val="Normal"/>
    <w:rsid w:val="008B6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752"/>
    <w:pPr>
      <w:spacing w:before="60" w:after="60"/>
    </w:pPr>
  </w:style>
  <w:style w:type="paragraph" w:styleId="ListContinue">
    <w:name w:val="List Continue"/>
    <w:basedOn w:val="List"/>
    <w:rsid w:val="008B6752"/>
    <w:pPr>
      <w:ind w:firstLine="0"/>
    </w:pPr>
  </w:style>
  <w:style w:type="paragraph" w:customStyle="1" w:styleId="ListNote">
    <w:name w:val="List Note"/>
    <w:basedOn w:val="List"/>
    <w:rsid w:val="008B6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752"/>
    <w:rPr>
      <w:rFonts w:ascii="Courier New" w:hAnsi="Courier New"/>
    </w:rPr>
  </w:style>
  <w:style w:type="paragraph" w:customStyle="1" w:styleId="NoteBullet">
    <w:name w:val="Note Bullet"/>
    <w:basedOn w:val="Note"/>
    <w:rsid w:val="008B6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7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752"/>
    <w:rPr>
      <w:b/>
      <w:smallCaps/>
    </w:rPr>
  </w:style>
  <w:style w:type="paragraph" w:customStyle="1" w:styleId="TableListNumber">
    <w:name w:val="Table List Number"/>
    <w:basedOn w:val="ListNumber"/>
    <w:rsid w:val="008B6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752"/>
    <w:pPr>
      <w:numPr>
        <w:numId w:val="9"/>
      </w:numPr>
    </w:pPr>
  </w:style>
  <w:style w:type="paragraph" w:customStyle="1" w:styleId="ListAlpha2">
    <w:name w:val="List Alpha 2"/>
    <w:basedOn w:val="List2"/>
    <w:rsid w:val="008B6752"/>
    <w:pPr>
      <w:numPr>
        <w:numId w:val="8"/>
      </w:numPr>
    </w:pPr>
  </w:style>
  <w:style w:type="paragraph" w:styleId="List2">
    <w:name w:val="List 2"/>
    <w:basedOn w:val="BodyText"/>
    <w:rsid w:val="008B6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7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7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752"/>
    <w:pPr>
      <w:numPr>
        <w:numId w:val="4"/>
      </w:numPr>
    </w:pPr>
  </w:style>
  <w:style w:type="paragraph" w:styleId="ListContinue2">
    <w:name w:val="List Continue 2"/>
    <w:basedOn w:val="List2"/>
    <w:rsid w:val="008B6752"/>
    <w:pPr>
      <w:ind w:firstLine="0"/>
    </w:pPr>
  </w:style>
  <w:style w:type="paragraph" w:styleId="ListContinue3">
    <w:name w:val="List Continue 3"/>
    <w:basedOn w:val="List3"/>
    <w:rsid w:val="008B6752"/>
    <w:pPr>
      <w:ind w:left="1021" w:firstLine="0"/>
    </w:pPr>
  </w:style>
  <w:style w:type="paragraph" w:styleId="ListContinue4">
    <w:name w:val="List Continue 4"/>
    <w:basedOn w:val="List4"/>
    <w:rsid w:val="008B6752"/>
    <w:pPr>
      <w:ind w:firstLine="0"/>
    </w:pPr>
  </w:style>
  <w:style w:type="paragraph" w:styleId="ListContinue5">
    <w:name w:val="List Continue 5"/>
    <w:basedOn w:val="List5"/>
    <w:rsid w:val="008B6752"/>
    <w:pPr>
      <w:ind w:firstLine="0"/>
    </w:pPr>
  </w:style>
  <w:style w:type="paragraph" w:styleId="ListNumber3">
    <w:name w:val="List Number 3"/>
    <w:basedOn w:val="List3"/>
    <w:rsid w:val="008B6752"/>
    <w:pPr>
      <w:numPr>
        <w:numId w:val="5"/>
      </w:numPr>
    </w:pPr>
  </w:style>
  <w:style w:type="paragraph" w:styleId="ListNumber4">
    <w:name w:val="List Number 4"/>
    <w:basedOn w:val="List4"/>
    <w:rsid w:val="008B6752"/>
    <w:pPr>
      <w:numPr>
        <w:numId w:val="6"/>
      </w:numPr>
    </w:pPr>
  </w:style>
  <w:style w:type="paragraph" w:styleId="ListNumber5">
    <w:name w:val="List Number 5"/>
    <w:basedOn w:val="List5"/>
    <w:rsid w:val="008B6752"/>
    <w:pPr>
      <w:numPr>
        <w:numId w:val="7"/>
      </w:numPr>
    </w:pPr>
  </w:style>
  <w:style w:type="paragraph" w:styleId="BlockText">
    <w:name w:val="Block Text"/>
    <w:basedOn w:val="Normal"/>
    <w:rsid w:val="008B6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752"/>
    <w:rPr>
      <w:sz w:val="16"/>
      <w:vertAlign w:val="superscript"/>
    </w:rPr>
  </w:style>
  <w:style w:type="character" w:customStyle="1" w:styleId="Symbols">
    <w:name w:val="Symbols"/>
    <w:basedOn w:val="DefaultParagraphFont"/>
    <w:rsid w:val="008B6752"/>
    <w:rPr>
      <w:rFonts w:ascii="Symbol" w:hAnsi="Symbol"/>
    </w:rPr>
  </w:style>
  <w:style w:type="character" w:customStyle="1" w:styleId="MenuOptions">
    <w:name w:val="Menu Options"/>
    <w:basedOn w:val="DefaultParagraphFont"/>
    <w:rsid w:val="008B6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752"/>
    <w:rPr>
      <w:b/>
    </w:rPr>
  </w:style>
  <w:style w:type="character" w:customStyle="1" w:styleId="Underlined">
    <w:name w:val="Underlined"/>
    <w:basedOn w:val="DefaultParagraphFont"/>
    <w:rsid w:val="008B6752"/>
    <w:rPr>
      <w:u w:val="single"/>
    </w:rPr>
  </w:style>
  <w:style w:type="paragraph" w:customStyle="1" w:styleId="TableBodyTextRight">
    <w:name w:val="Table Body Text Right"/>
    <w:basedOn w:val="TableBodyText"/>
    <w:rsid w:val="008B6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752"/>
    <w:rPr>
      <w:sz w:val="18"/>
    </w:rPr>
  </w:style>
  <w:style w:type="paragraph" w:customStyle="1" w:styleId="BodySmallRight">
    <w:name w:val="Body Small Right"/>
    <w:basedOn w:val="BodyTextRight"/>
    <w:rsid w:val="008B6752"/>
    <w:rPr>
      <w:sz w:val="18"/>
      <w:szCs w:val="18"/>
    </w:rPr>
  </w:style>
  <w:style w:type="paragraph" w:customStyle="1" w:styleId="MarginEdition">
    <w:name w:val="Margin Edition"/>
    <w:basedOn w:val="MarginNote"/>
    <w:rsid w:val="008B6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752"/>
    <w:rPr>
      <w:sz w:val="2"/>
      <w:szCs w:val="2"/>
    </w:rPr>
  </w:style>
  <w:style w:type="character" w:customStyle="1" w:styleId="Small">
    <w:name w:val="Small"/>
    <w:basedOn w:val="DefaultParagraphFont"/>
    <w:rsid w:val="008B6752"/>
    <w:rPr>
      <w:sz w:val="16"/>
    </w:rPr>
  </w:style>
  <w:style w:type="paragraph" w:customStyle="1" w:styleId="WideTable">
    <w:name w:val="Wide Table"/>
    <w:basedOn w:val="Normal"/>
    <w:rsid w:val="008B6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752"/>
  </w:style>
  <w:style w:type="paragraph" w:styleId="Quote">
    <w:name w:val="Quote"/>
    <w:basedOn w:val="Heading1"/>
    <w:link w:val="QuoteChar"/>
    <w:qFormat/>
    <w:rsid w:val="008B6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752"/>
    <w:pPr>
      <w:pageBreakBefore/>
    </w:pPr>
  </w:style>
  <w:style w:type="paragraph" w:customStyle="1" w:styleId="Border">
    <w:name w:val="Border"/>
    <w:basedOn w:val="Normal"/>
    <w:qFormat/>
    <w:rsid w:val="008B6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752"/>
    <w:rPr>
      <w:u w:val="single"/>
    </w:rPr>
  </w:style>
  <w:style w:type="character" w:customStyle="1" w:styleId="BoldandItalics">
    <w:name w:val="Bold and Italics"/>
    <w:qFormat/>
    <w:rsid w:val="008B6752"/>
    <w:rPr>
      <w:b/>
      <w:i/>
      <w:u w:val="none"/>
    </w:rPr>
  </w:style>
  <w:style w:type="paragraph" w:styleId="BalloonText">
    <w:name w:val="Balloon Text"/>
    <w:basedOn w:val="Normal"/>
    <w:link w:val="BalloonTextChar"/>
    <w:rsid w:val="008B6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7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3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2878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SFICPL203 Promote sustainable use of local marine and freshwater environments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