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B74" w:rsidP="00982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SFIAQU415 Operate ROVs</w:t>
      </w:r>
      <w:r>
        <w:fldChar w:fldCharType="end"/>
      </w:r>
    </w:p>
    <w:p w:rsidR="00982B74" w:rsidP="00982B74">
      <w:pPr>
        <w:pStyle w:val="Version"/>
        <w:sectPr w:rsidSect="00CB1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C5D" w:rsidP="00CB1C5D">
      <w:pPr>
        <w:pStyle w:val="SuperHeading"/>
      </w:pPr>
      <w:r w:rsidRPr="00CB1C5D">
        <w:t>SFIAQU415 Operate ROVs</w:t>
      </w:r>
    </w:p>
    <w:p w:rsidR="00000000" w:rsidRPr="00CB1C5D" w:rsidP="00CB1C5D">
      <w:pPr>
        <w:pStyle w:val="Heading1"/>
      </w:pPr>
      <w:bookmarkStart w:id="1" w:name="O_1099742"/>
      <w:bookmarkEnd w:id="1"/>
      <w:r w:rsidRPr="00CB1C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Comments</w:t>
            </w:r>
          </w:p>
        </w:tc>
      </w:tr>
      <w:tr w:rsidTr="00CB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D" w:rsidP="00CB1C5D">
            <w:pPr>
              <w:pStyle w:val="BodyText"/>
            </w:pPr>
            <w:r w:rsidRPr="00CB1C5D">
              <w:t>This version released with SFI Seafood Industry Training Package Version 2.0.</w:t>
            </w:r>
          </w:p>
        </w:tc>
      </w:tr>
    </w:tbl>
    <w:p w:rsidR="00000000" w:rsidRPr="00CB1C5D" w:rsidP="00CB1C5D">
      <w:pPr>
        <w:pStyle w:val="BodyText"/>
      </w:pPr>
    </w:p>
    <w:p w:rsidR="00000000" w:rsidRPr="00CB1C5D" w:rsidP="00CB1C5D">
      <w:pPr>
        <w:pStyle w:val="AllowPageBreak"/>
      </w:pPr>
    </w:p>
    <w:p w:rsidR="00000000" w:rsidRPr="00CB1C5D" w:rsidP="00CB1C5D">
      <w:pPr>
        <w:pStyle w:val="Heading1"/>
      </w:pPr>
      <w:bookmarkStart w:id="2" w:name="O_1099743"/>
      <w:bookmarkEnd w:id="2"/>
      <w:r w:rsidRPr="00CB1C5D">
        <w:t>Application</w:t>
      </w:r>
    </w:p>
    <w:p w:rsidR="00000000" w:rsidRPr="00CB1C5D" w:rsidP="00982B74">
      <w:pPr>
        <w:pStyle w:val="BodyText"/>
      </w:pPr>
      <w:r w:rsidRPr="00CB1C5D">
        <w:t xml:space="preserve">This unit of competency describes the skills and knowledge required to operate underwater remotely operated vehicle </w:t>
      </w:r>
      <w:r w:rsidRPr="00CB1C5D">
        <w:t xml:space="preserve">(ROV) technology. </w:t>
      </w:r>
    </w:p>
    <w:p w:rsidR="00000000" w:rsidRPr="00CB1C5D" w:rsidP="00982B74">
      <w:pPr>
        <w:pStyle w:val="BodyText"/>
      </w:pPr>
      <w:r w:rsidRPr="00CB1C5D">
        <w:t>The unit applies to individuals who operate underwater aquatic ROV technology processes.</w:t>
      </w:r>
    </w:p>
    <w:p w:rsidR="00000000" w:rsidRPr="00CB1C5D" w:rsidP="00982B74">
      <w:pPr>
        <w:pStyle w:val="BodyText"/>
      </w:pPr>
      <w:r w:rsidRPr="00CB1C5D">
        <w:t>All work must be carried out to comply with workplace procedures, according to state/territory health and safety, food safety, biosecurity and envir</w:t>
      </w:r>
      <w:r w:rsidRPr="00CB1C5D">
        <w:t>onmental regulations, legislation and standards that apply to the workplace.</w:t>
      </w:r>
    </w:p>
    <w:p w:rsidR="00000000" w:rsidRPr="00CB1C5D" w:rsidP="00982B74">
      <w:pPr>
        <w:pStyle w:val="BodyText"/>
      </w:pPr>
      <w:r w:rsidRPr="00CB1C5D">
        <w:t xml:space="preserve">No licensing, legislative or certification requirements apply to this unit at the time of publication. </w:t>
      </w:r>
    </w:p>
    <w:p w:rsidR="00000000" w:rsidRPr="00CB1C5D" w:rsidP="00CB1C5D">
      <w:pPr>
        <w:pStyle w:val="Heading1"/>
      </w:pPr>
      <w:bookmarkStart w:id="3" w:name="O_1099744"/>
      <w:bookmarkEnd w:id="3"/>
      <w:r w:rsidRPr="00CB1C5D">
        <w:t>Pre-requisite Unit</w:t>
      </w:r>
    </w:p>
    <w:p w:rsidR="00000000" w:rsidRPr="00CB1C5D" w:rsidP="00982B74">
      <w:pPr>
        <w:pStyle w:val="BodyText"/>
      </w:pPr>
      <w:r w:rsidRPr="00CB1C5D">
        <w:t>Nil</w:t>
      </w:r>
    </w:p>
    <w:p w:rsidR="00000000" w:rsidRPr="00CB1C5D" w:rsidP="00CB1C5D">
      <w:pPr>
        <w:pStyle w:val="Heading1"/>
      </w:pPr>
      <w:bookmarkStart w:id="4" w:name="O_1099746"/>
      <w:bookmarkEnd w:id="4"/>
      <w:r w:rsidRPr="00CB1C5D">
        <w:t>Unit Sector</w:t>
      </w:r>
    </w:p>
    <w:p w:rsidR="00000000" w:rsidRPr="00CB1C5D" w:rsidP="00982B74">
      <w:pPr>
        <w:pStyle w:val="BodyText"/>
      </w:pPr>
      <w:r w:rsidRPr="00CB1C5D">
        <w:t>Aquaculture (AQU)</w:t>
      </w:r>
    </w:p>
    <w:p w:rsidR="00000000" w:rsidRPr="00CB1C5D" w:rsidP="00CB1C5D">
      <w:pPr>
        <w:pStyle w:val="Heading1"/>
      </w:pPr>
      <w:bookmarkStart w:id="5" w:name="O_1099747"/>
      <w:bookmarkEnd w:id="5"/>
      <w:r w:rsidRPr="00CB1C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2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Performance Criteria</w:t>
            </w:r>
          </w:p>
        </w:tc>
      </w:tr>
      <w:tr w:rsidTr="00982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D" w:rsidP="00CB1C5D">
            <w:pPr>
              <w:pStyle w:val="BodyText"/>
            </w:pPr>
            <w:r w:rsidRPr="00CB1C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1. Plan the use of an ROV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D" w:rsidP="00CB1C5D">
            <w:pPr>
              <w:pStyle w:val="BodyText"/>
            </w:pPr>
            <w:r w:rsidRPr="00CB1C5D">
              <w:t>1.1 Determine the dive task, the suitability and the conditions of the dive site and whether the conditions are suitable for the use of an ROV</w:t>
            </w:r>
          </w:p>
          <w:p w:rsidR="00000000" w:rsidRPr="00CB1C5D" w:rsidP="00CB1C5D">
            <w:pPr>
              <w:pStyle w:val="BodyText"/>
            </w:pPr>
            <w:r w:rsidRPr="00CB1C5D">
              <w:t>1.2 Assess personnel skill level requirements and whether the personnel available are s</w:t>
            </w:r>
            <w:r w:rsidRPr="00CB1C5D">
              <w:t xml:space="preserve">ufficiently trained for vessel management, piloting, tether handling, vehicle maintenance, recording data or </w:t>
            </w:r>
            <w:r w:rsidRPr="00CB1C5D">
              <w:t xml:space="preserve">controlling an inspection </w:t>
            </w:r>
          </w:p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1.3 Consider the general features and capabilities of the designated ROV for the task requirement and conditions</w:t>
            </w:r>
          </w:p>
        </w:tc>
      </w:tr>
      <w:tr w:rsidTr="00982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2. Pre</w:t>
            </w:r>
            <w:r w:rsidRPr="00CB1C5D">
              <w:t xml:space="preserve">pare to operate ROV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D" w:rsidP="00CB1C5D">
            <w:pPr>
              <w:pStyle w:val="BodyText"/>
            </w:pPr>
            <w:r w:rsidRPr="00CB1C5D">
              <w:t>2.1 Determine activity to be undertaken and the available launch method</w:t>
            </w:r>
          </w:p>
          <w:p w:rsidR="00000000" w:rsidRPr="00CB1C5D" w:rsidP="00CB1C5D">
            <w:pPr>
              <w:pStyle w:val="BodyText"/>
            </w:pPr>
            <w:r w:rsidRPr="00CB1C5D">
              <w:t>2.2 Identify potential hazards and risks and workplace health and safety standards</w:t>
            </w:r>
          </w:p>
          <w:p w:rsidR="00000000" w:rsidRPr="00CB1C5D" w:rsidP="00CB1C5D">
            <w:pPr>
              <w:pStyle w:val="BodyText"/>
            </w:pPr>
            <w:r w:rsidRPr="00CB1C5D">
              <w:t>2.3 Identify the operational features of the ROV technology and its u</w:t>
            </w:r>
            <w:r w:rsidRPr="00CB1C5D">
              <w:t xml:space="preserve">se in aquatic operations </w:t>
            </w:r>
          </w:p>
          <w:p w:rsidR="00000000" w:rsidRPr="00CB1C5D" w:rsidP="00CB1C5D">
            <w:pPr>
              <w:pStyle w:val="BodyText"/>
            </w:pPr>
            <w:r w:rsidRPr="00CB1C5D">
              <w:t>2.4 Conduct ROV technology routine pre-operational checks</w:t>
            </w:r>
          </w:p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2.5 Determine how the site conditions will affect the dive task</w:t>
            </w:r>
          </w:p>
        </w:tc>
      </w:tr>
      <w:tr w:rsidTr="00982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 xml:space="preserve">3. Use ROV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D" w:rsidP="00CB1C5D">
            <w:pPr>
              <w:pStyle w:val="BodyText"/>
            </w:pPr>
            <w:r w:rsidRPr="00CB1C5D">
              <w:t>3.1 Conduct pre-check and start-up procedures according to workplace practices</w:t>
            </w:r>
          </w:p>
          <w:p w:rsidR="00000000" w:rsidRPr="00CB1C5D" w:rsidP="00CB1C5D">
            <w:pPr>
              <w:pStyle w:val="BodyText"/>
            </w:pPr>
            <w:r w:rsidRPr="00CB1C5D">
              <w:t>3.2 O</w:t>
            </w:r>
            <w:r w:rsidRPr="00CB1C5D">
              <w:t>perate ROV technology to meet activity requirements according to manufacturer specifications and aquatic health and safety standards</w:t>
            </w:r>
          </w:p>
          <w:p w:rsidR="00000000" w:rsidRPr="00CB1C5D" w:rsidP="00CB1C5D">
            <w:pPr>
              <w:pStyle w:val="BodyText"/>
            </w:pPr>
            <w:r w:rsidRPr="00CB1C5D">
              <w:t>3.3 Maintain ROV technology position within the range and level of exposure to prevailing and anticipated environmental con</w:t>
            </w:r>
            <w:r w:rsidRPr="00CB1C5D">
              <w:t>ditions</w:t>
            </w:r>
          </w:p>
          <w:p w:rsidR="00000000" w:rsidRPr="00CB1C5D" w:rsidP="00CB1C5D">
            <w:pPr>
              <w:pStyle w:val="BodyText"/>
            </w:pPr>
            <w:r w:rsidRPr="00CB1C5D">
              <w:t>3.4 Manage the tether effectively according to environmental conditions</w:t>
            </w:r>
          </w:p>
          <w:p w:rsidR="00000000" w:rsidRPr="00CB1C5D" w:rsidP="00CB1C5D">
            <w:pPr>
              <w:pStyle w:val="BodyText"/>
            </w:pPr>
            <w:r w:rsidRPr="00CB1C5D">
              <w:t>3.5 Monitor ROV technology for performance with regard to activity requirements and conditions</w:t>
            </w:r>
          </w:p>
          <w:p w:rsidR="00000000" w:rsidRPr="00CB1C5D" w:rsidP="00CB1C5D">
            <w:pPr>
              <w:pStyle w:val="BodyText"/>
            </w:pPr>
            <w:r w:rsidRPr="00CB1C5D">
              <w:t xml:space="preserve">3.6 Identify environmental and biosecurity implications associated with use of ROV technology, and undertake processes to minimise impact </w:t>
            </w:r>
          </w:p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3.7 Continually monitor hazards and risks and ensure safe use of technology</w:t>
            </w:r>
          </w:p>
        </w:tc>
      </w:tr>
      <w:tr w:rsidTr="00982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4. Complete use of ROV technology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D" w:rsidP="00CB1C5D">
            <w:pPr>
              <w:pStyle w:val="BodyText"/>
            </w:pPr>
            <w:r w:rsidRPr="00CB1C5D">
              <w:t>4.1 Es</w:t>
            </w:r>
            <w:r w:rsidRPr="00CB1C5D">
              <w:t>tablish return and communicate intentions with the tether handler and/or vessel coxswain</w:t>
            </w:r>
          </w:p>
          <w:p w:rsidR="00000000" w:rsidRPr="00CB1C5D" w:rsidP="00CB1C5D">
            <w:pPr>
              <w:pStyle w:val="BodyText"/>
            </w:pPr>
            <w:r w:rsidRPr="00CB1C5D">
              <w:t xml:space="preserve">4.2 Locate the tether and follow it to the return position while taking the tether in and ensuring to take out the tether turns </w:t>
            </w:r>
          </w:p>
          <w:p w:rsidR="00000000" w:rsidRPr="00CB1C5D" w:rsidP="00CB1C5D">
            <w:pPr>
              <w:pStyle w:val="BodyText"/>
            </w:pPr>
            <w:r w:rsidRPr="00CB1C5D">
              <w:t xml:space="preserve">4.3 Surface and power down, disarming </w:t>
            </w:r>
            <w:r w:rsidRPr="00CB1C5D">
              <w:t>after the vehicle is secure, and recover to deck or shore</w:t>
            </w:r>
          </w:p>
          <w:p w:rsidR="00000000" w:rsidRPr="00CB1C5D" w:rsidP="00CB1C5D">
            <w:pPr>
              <w:pStyle w:val="BodyText"/>
            </w:pPr>
            <w:r w:rsidRPr="00CB1C5D">
              <w:t xml:space="preserve">4.4 Rinse with freshwater and carry out post-dive checks and maintenance according to manufacturer specifications </w:t>
            </w:r>
          </w:p>
          <w:p w:rsidR="00000000" w:rsidRPr="00CB1C5D" w:rsidP="00CB1C5D">
            <w:pPr>
              <w:pStyle w:val="BodyText"/>
            </w:pPr>
            <w:r w:rsidRPr="00CB1C5D">
              <w:t>4.5 Store ROV technology in line with workplace procedures</w:t>
            </w:r>
          </w:p>
          <w:p w:rsidR="00000000" w:rsidRPr="00CB1C5D" w:rsidP="00CB1C5D">
            <w:pPr>
              <w:pStyle w:val="BodyText"/>
            </w:pPr>
            <w:r w:rsidRPr="00CB1C5D">
              <w:t xml:space="preserve">4.6 Identify and report </w:t>
            </w:r>
            <w:r w:rsidRPr="00CB1C5D">
              <w:t>faults, irregular performance or damage according to workplace procedures</w:t>
            </w:r>
          </w:p>
          <w:p w:rsidR="00000000" w:rsidRPr="00CB1C5D" w:rsidP="00CB1C5D">
            <w:pPr>
              <w:pStyle w:val="BodyText"/>
            </w:pPr>
            <w:r w:rsidRPr="00CB1C5D">
              <w:t>4.7 Document findings following the use of ROV technology</w:t>
            </w:r>
          </w:p>
        </w:tc>
      </w:tr>
    </w:tbl>
    <w:p w:rsidR="00000000" w:rsidRPr="00CB1C5D" w:rsidP="00CB1C5D">
      <w:pPr>
        <w:pStyle w:val="BodyText"/>
      </w:pPr>
    </w:p>
    <w:p w:rsidR="00000000" w:rsidRPr="00CB1C5D" w:rsidP="00CB1C5D">
      <w:pPr>
        <w:pStyle w:val="AllowPageBreak"/>
      </w:pPr>
    </w:p>
    <w:p w:rsidR="00000000" w:rsidRPr="00CB1C5D" w:rsidP="00CB1C5D">
      <w:pPr>
        <w:pStyle w:val="Heading1"/>
      </w:pPr>
      <w:bookmarkStart w:id="6" w:name="O_1099748"/>
      <w:bookmarkEnd w:id="6"/>
      <w:r w:rsidRPr="00CB1C5D">
        <w:t>Foundation Skills</w:t>
      </w:r>
    </w:p>
    <w:p w:rsidR="00000000" w:rsidRPr="00982B74" w:rsidP="00982B74">
      <w:pPr>
        <w:pStyle w:val="BodyText"/>
        <w:rPr>
          <w:i/>
        </w:rPr>
      </w:pPr>
      <w:r w:rsidRPr="00982B74">
        <w:rPr>
          <w:rStyle w:val="Emphasis"/>
        </w:rPr>
        <w:t xml:space="preserve">This section describes those language, literacy, numeracy and employment skills that </w:t>
      </w:r>
      <w:r w:rsidRPr="00982B74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Description</w:t>
            </w:r>
          </w:p>
        </w:tc>
      </w:tr>
      <w:tr w:rsidTr="00CB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ListBullet"/>
              <w:rPr>
                <w:lang w:val="en-NZ"/>
              </w:rPr>
            </w:pPr>
            <w:r w:rsidRPr="00CB1C5D">
              <w:t>Identify and interpret relevant manufacturer specifications</w:t>
            </w:r>
          </w:p>
        </w:tc>
      </w:tr>
      <w:tr w:rsidTr="00CB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ListBullet"/>
              <w:rPr>
                <w:lang w:val="en-NZ"/>
              </w:rPr>
            </w:pPr>
            <w:r w:rsidRPr="00CB1C5D">
              <w:t>Record ROV technology performance with appropriate technical detail</w:t>
            </w:r>
          </w:p>
        </w:tc>
      </w:tr>
      <w:tr w:rsidTr="00CB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D" w:rsidP="00CB1C5D">
            <w:pPr>
              <w:pStyle w:val="ListBullet"/>
            </w:pPr>
            <w:r w:rsidRPr="00CB1C5D">
              <w:t>Communicate effectively and directly using appropriate technological terminology</w:t>
            </w:r>
          </w:p>
        </w:tc>
      </w:tr>
    </w:tbl>
    <w:p w:rsidR="00000000" w:rsidRPr="00CB1C5D" w:rsidP="00CB1C5D">
      <w:pPr>
        <w:pStyle w:val="BodyText"/>
      </w:pPr>
    </w:p>
    <w:p w:rsidR="00000000" w:rsidRPr="00CB1C5D" w:rsidP="00CB1C5D">
      <w:pPr>
        <w:pStyle w:val="AllowPageBreak"/>
      </w:pPr>
    </w:p>
    <w:p w:rsidR="00000000" w:rsidRPr="00CB1C5D" w:rsidP="00CB1C5D">
      <w:pPr>
        <w:pStyle w:val="Heading1"/>
      </w:pPr>
      <w:bookmarkStart w:id="7" w:name="O_1099750"/>
      <w:bookmarkEnd w:id="7"/>
      <w:r w:rsidRPr="00CB1C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Bold"/>
              <w:rPr>
                <w:lang w:val="en-NZ"/>
              </w:rPr>
            </w:pPr>
            <w:r w:rsidRPr="00CB1C5D">
              <w:t>Equivalence status</w:t>
            </w:r>
          </w:p>
        </w:tc>
      </w:tr>
      <w:tr w:rsidTr="00CB1C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 xml:space="preserve">SFIAQU415 Operate ROVs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5D">
            <w:pPr>
              <w:pStyle w:val="BodyText"/>
              <w:rPr>
                <w:lang w:val="en-NZ"/>
              </w:rPr>
            </w:pPr>
            <w:r w:rsidRPr="00CB1C5D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5D" w:rsidP="00CB1C5D">
            <w:pPr>
              <w:pStyle w:val="BodyText"/>
            </w:pPr>
            <w:r w:rsidRPr="00CB1C5D">
              <w:t>Newly created</w:t>
            </w:r>
          </w:p>
        </w:tc>
      </w:tr>
    </w:tbl>
    <w:p w:rsidR="00000000" w:rsidRPr="00CB1C5D" w:rsidP="00CB1C5D">
      <w:pPr>
        <w:pStyle w:val="BodyText"/>
      </w:pPr>
    </w:p>
    <w:p w:rsidR="00000000" w:rsidRPr="00CB1C5D" w:rsidP="00CB1C5D">
      <w:pPr>
        <w:pStyle w:val="AllowPageBreak"/>
      </w:pPr>
    </w:p>
    <w:p w:rsidR="00000000" w:rsidRPr="00CB1C5D" w:rsidP="00CB1C5D">
      <w:pPr>
        <w:pStyle w:val="Heading1"/>
      </w:pPr>
      <w:bookmarkStart w:id="8" w:name="O_1099757"/>
      <w:bookmarkEnd w:id="8"/>
      <w:r w:rsidRPr="00CB1C5D">
        <w:t>Links</w:t>
      </w:r>
    </w:p>
    <w:p w:rsidR="00000000" w:rsidRPr="00CB1C5D" w:rsidP="00982B74">
      <w:pPr>
        <w:pStyle w:val="BodyText"/>
      </w:pPr>
      <w:r w:rsidRPr="00CB1C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862F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B1C5D" w:rsidP="00CB1C5D"/>
    <w:sectPr w:rsidSect="00CB1C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D" w:rsidRPr="00982B74" w:rsidP="00982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74" w:rsidP="00CB1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B74" w:rsidP="00CB1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2B74" w:rsidP="00CB1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C5D" w:rsidRPr="00982B74" w:rsidP="00982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B74" w:rsidRPr="002D2AF8" w:rsidP="00CB1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SFIAQU415 Operate ROVs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82B74" w:rsidP="00CB1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944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AA2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C5D"/>
  </w:style>
  <w:style w:type="character" w:customStyle="1" w:styleId="Heading1Char">
    <w:name w:val="Heading 1 Char"/>
    <w:basedOn w:val="DefaultParagraphFont"/>
    <w:link w:val="Heading1"/>
    <w:rsid w:val="00CB1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C5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1C5D"/>
    <w:rPr>
      <w:i/>
    </w:rPr>
  </w:style>
  <w:style w:type="paragraph" w:customStyle="1" w:styleId="SuperHeading">
    <w:name w:val="SuperHeading"/>
    <w:basedOn w:val="Normal"/>
    <w:rsid w:val="00CB1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1C5D"/>
    <w:rPr>
      <w:b/>
    </w:rPr>
  </w:style>
  <w:style w:type="character" w:customStyle="1" w:styleId="Heading2Char">
    <w:name w:val="Heading 2 Char"/>
    <w:basedOn w:val="DefaultParagraphFont"/>
    <w:link w:val="Heading2"/>
    <w:rsid w:val="00CB1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C5D"/>
    <w:rPr>
      <w:b/>
      <w:spacing w:val="0"/>
    </w:rPr>
  </w:style>
  <w:style w:type="paragraph" w:customStyle="1" w:styleId="SuperTitle">
    <w:name w:val="SuperTitle"/>
    <w:basedOn w:val="Title"/>
    <w:rsid w:val="00CB1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C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C5D"/>
  </w:style>
  <w:style w:type="paragraph" w:styleId="TableofFigures">
    <w:name w:val="table of figures"/>
    <w:basedOn w:val="Normal"/>
    <w:next w:val="Normal"/>
    <w:semiHidden/>
    <w:rsid w:val="00CB1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1C5D"/>
    <w:rPr>
      <w:rFonts w:ascii="Wingdings" w:hAnsi="Wingdings"/>
    </w:rPr>
  </w:style>
  <w:style w:type="paragraph" w:customStyle="1" w:styleId="TableHeading">
    <w:name w:val="Table Heading"/>
    <w:basedOn w:val="HeadingBase"/>
    <w:rsid w:val="00CB1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C5D"/>
    <w:rPr>
      <w:color w:val="0033CC"/>
      <w:u w:val="none"/>
    </w:rPr>
  </w:style>
  <w:style w:type="paragraph" w:customStyle="1" w:styleId="BodyTextRight">
    <w:name w:val="Body Text Right"/>
    <w:basedOn w:val="BodyText"/>
    <w:rsid w:val="00CB1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C5D"/>
    <w:rPr>
      <w:sz w:val="32"/>
    </w:rPr>
  </w:style>
  <w:style w:type="paragraph" w:customStyle="1" w:styleId="HeadingProcedure">
    <w:name w:val="Heading Procedure"/>
    <w:basedOn w:val="HeadingBase"/>
    <w:next w:val="Normal"/>
    <w:rsid w:val="00CB1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C5D"/>
    <w:pPr>
      <w:spacing w:before="60" w:after="60"/>
    </w:pPr>
  </w:style>
  <w:style w:type="paragraph" w:styleId="ListContinue">
    <w:name w:val="List Continue"/>
    <w:basedOn w:val="List"/>
    <w:rsid w:val="00CB1C5D"/>
    <w:pPr>
      <w:ind w:firstLine="0"/>
    </w:pPr>
  </w:style>
  <w:style w:type="paragraph" w:customStyle="1" w:styleId="ListNote">
    <w:name w:val="List Note"/>
    <w:basedOn w:val="List"/>
    <w:rsid w:val="00CB1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C5D"/>
    <w:rPr>
      <w:rFonts w:ascii="Courier New" w:hAnsi="Courier New"/>
    </w:rPr>
  </w:style>
  <w:style w:type="paragraph" w:customStyle="1" w:styleId="NoteBullet">
    <w:name w:val="Note Bullet"/>
    <w:basedOn w:val="Note"/>
    <w:rsid w:val="00CB1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1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C5D"/>
    <w:rPr>
      <w:b/>
      <w:smallCaps/>
    </w:rPr>
  </w:style>
  <w:style w:type="paragraph" w:customStyle="1" w:styleId="TableListNumber">
    <w:name w:val="Table List Number"/>
    <w:basedOn w:val="ListNumber"/>
    <w:rsid w:val="00CB1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C5D"/>
    <w:pPr>
      <w:numPr>
        <w:numId w:val="8"/>
      </w:numPr>
    </w:pPr>
  </w:style>
  <w:style w:type="paragraph" w:customStyle="1" w:styleId="ListAlpha2">
    <w:name w:val="List Alpha 2"/>
    <w:basedOn w:val="List2"/>
    <w:rsid w:val="00CB1C5D"/>
    <w:pPr>
      <w:numPr>
        <w:numId w:val="7"/>
      </w:numPr>
    </w:pPr>
  </w:style>
  <w:style w:type="paragraph" w:styleId="List2">
    <w:name w:val="List 2"/>
    <w:basedOn w:val="BodyText"/>
    <w:rsid w:val="00CB1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C5D"/>
    <w:pPr>
      <w:numPr>
        <w:numId w:val="3"/>
      </w:numPr>
    </w:pPr>
  </w:style>
  <w:style w:type="paragraph" w:styleId="ListContinue2">
    <w:name w:val="List Continue 2"/>
    <w:basedOn w:val="List2"/>
    <w:rsid w:val="00CB1C5D"/>
    <w:pPr>
      <w:ind w:firstLine="0"/>
    </w:pPr>
  </w:style>
  <w:style w:type="paragraph" w:styleId="ListContinue3">
    <w:name w:val="List Continue 3"/>
    <w:basedOn w:val="List3"/>
    <w:rsid w:val="00CB1C5D"/>
    <w:pPr>
      <w:ind w:left="1021" w:firstLine="0"/>
    </w:pPr>
  </w:style>
  <w:style w:type="paragraph" w:styleId="ListContinue4">
    <w:name w:val="List Continue 4"/>
    <w:basedOn w:val="List4"/>
    <w:rsid w:val="00CB1C5D"/>
    <w:pPr>
      <w:ind w:firstLine="0"/>
    </w:pPr>
  </w:style>
  <w:style w:type="paragraph" w:styleId="ListContinue5">
    <w:name w:val="List Continue 5"/>
    <w:basedOn w:val="List5"/>
    <w:rsid w:val="00CB1C5D"/>
    <w:pPr>
      <w:ind w:firstLine="0"/>
    </w:pPr>
  </w:style>
  <w:style w:type="paragraph" w:styleId="ListNumber3">
    <w:name w:val="List Number 3"/>
    <w:basedOn w:val="List3"/>
    <w:rsid w:val="00CB1C5D"/>
    <w:pPr>
      <w:numPr>
        <w:numId w:val="4"/>
      </w:numPr>
    </w:pPr>
  </w:style>
  <w:style w:type="paragraph" w:styleId="ListNumber4">
    <w:name w:val="List Number 4"/>
    <w:basedOn w:val="List4"/>
    <w:rsid w:val="00CB1C5D"/>
    <w:pPr>
      <w:numPr>
        <w:numId w:val="5"/>
      </w:numPr>
    </w:pPr>
  </w:style>
  <w:style w:type="paragraph" w:styleId="ListNumber5">
    <w:name w:val="List Number 5"/>
    <w:basedOn w:val="List5"/>
    <w:rsid w:val="00CB1C5D"/>
    <w:pPr>
      <w:numPr>
        <w:numId w:val="6"/>
      </w:numPr>
    </w:pPr>
  </w:style>
  <w:style w:type="paragraph" w:styleId="BlockText">
    <w:name w:val="Block Text"/>
    <w:basedOn w:val="Normal"/>
    <w:rsid w:val="00CB1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C5D"/>
    <w:rPr>
      <w:sz w:val="16"/>
      <w:vertAlign w:val="superscript"/>
    </w:rPr>
  </w:style>
  <w:style w:type="character" w:customStyle="1" w:styleId="Symbols">
    <w:name w:val="Symbols"/>
    <w:basedOn w:val="DefaultParagraphFont"/>
    <w:rsid w:val="00CB1C5D"/>
    <w:rPr>
      <w:rFonts w:ascii="Symbol" w:hAnsi="Symbol"/>
    </w:rPr>
  </w:style>
  <w:style w:type="character" w:customStyle="1" w:styleId="MenuOptions">
    <w:name w:val="Menu Options"/>
    <w:basedOn w:val="DefaultParagraphFont"/>
    <w:rsid w:val="00CB1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C5D"/>
    <w:rPr>
      <w:b/>
    </w:rPr>
  </w:style>
  <w:style w:type="character" w:customStyle="1" w:styleId="Underlined">
    <w:name w:val="Underlined"/>
    <w:basedOn w:val="DefaultParagraphFont"/>
    <w:rsid w:val="00CB1C5D"/>
    <w:rPr>
      <w:u w:val="single"/>
    </w:rPr>
  </w:style>
  <w:style w:type="paragraph" w:customStyle="1" w:styleId="TableBodyTextRight">
    <w:name w:val="Table Body Text Right"/>
    <w:basedOn w:val="TableBodyText"/>
    <w:rsid w:val="00CB1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C5D"/>
    <w:rPr>
      <w:sz w:val="18"/>
    </w:rPr>
  </w:style>
  <w:style w:type="paragraph" w:customStyle="1" w:styleId="BodySmallRight">
    <w:name w:val="Body Small Right"/>
    <w:basedOn w:val="BodyTextRight"/>
    <w:rsid w:val="00CB1C5D"/>
    <w:rPr>
      <w:sz w:val="18"/>
      <w:szCs w:val="18"/>
    </w:rPr>
  </w:style>
  <w:style w:type="paragraph" w:customStyle="1" w:styleId="MarginEdition">
    <w:name w:val="Margin Edition"/>
    <w:basedOn w:val="MarginNote"/>
    <w:rsid w:val="00CB1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C5D"/>
    <w:rPr>
      <w:sz w:val="2"/>
      <w:szCs w:val="2"/>
    </w:rPr>
  </w:style>
  <w:style w:type="character" w:customStyle="1" w:styleId="Small">
    <w:name w:val="Small"/>
    <w:basedOn w:val="DefaultParagraphFont"/>
    <w:rsid w:val="00CB1C5D"/>
    <w:rPr>
      <w:sz w:val="16"/>
    </w:rPr>
  </w:style>
  <w:style w:type="paragraph" w:customStyle="1" w:styleId="WideTable">
    <w:name w:val="Wide Table"/>
    <w:basedOn w:val="Normal"/>
    <w:rsid w:val="00CB1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C5D"/>
  </w:style>
  <w:style w:type="paragraph" w:styleId="Quote">
    <w:name w:val="Quote"/>
    <w:basedOn w:val="Heading1"/>
    <w:link w:val="QuoteChar"/>
    <w:qFormat/>
    <w:rsid w:val="00CB1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C5D"/>
    <w:pPr>
      <w:pageBreakBefore/>
    </w:pPr>
  </w:style>
  <w:style w:type="paragraph" w:customStyle="1" w:styleId="Border">
    <w:name w:val="Border"/>
    <w:basedOn w:val="Normal"/>
    <w:qFormat/>
    <w:rsid w:val="00CB1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C5D"/>
    <w:rPr>
      <w:u w:val="single"/>
    </w:rPr>
  </w:style>
  <w:style w:type="character" w:customStyle="1" w:styleId="BoldandItalics">
    <w:name w:val="Bold and Italics"/>
    <w:qFormat/>
    <w:rsid w:val="00CB1C5D"/>
    <w:rPr>
      <w:b/>
      <w:i/>
      <w:u w:val="none"/>
    </w:rPr>
  </w:style>
  <w:style w:type="paragraph" w:styleId="BalloonText">
    <w:name w:val="Balloon Text"/>
    <w:basedOn w:val="Normal"/>
    <w:link w:val="BalloonTextChar"/>
    <w:rsid w:val="00CB1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C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2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3820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SFIAQU415 Operate ROVs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