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CA7" w:rsidP="007E0C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SFIAQU415 Operate ROVs</w:t>
      </w:r>
      <w:r>
        <w:fldChar w:fldCharType="end"/>
      </w:r>
    </w:p>
    <w:p w:rsidR="007E0CA7" w:rsidP="007E0CA7">
      <w:pPr>
        <w:pStyle w:val="Version"/>
        <w:sectPr w:rsidSect="00D32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B69" w:rsidP="00D32B69">
      <w:pPr>
        <w:pStyle w:val="SuperHeading"/>
      </w:pPr>
      <w:r w:rsidRPr="00D32B69">
        <w:t>Assessment Requirements for SFIAQU415 Operate ROVs</w:t>
      </w:r>
    </w:p>
    <w:p w:rsidR="00000000" w:rsidRPr="00D32B69" w:rsidP="00D32B69">
      <w:pPr>
        <w:pStyle w:val="Heading1"/>
      </w:pPr>
      <w:bookmarkStart w:id="1" w:name="O_1099752"/>
      <w:bookmarkEnd w:id="1"/>
      <w:r w:rsidRPr="00D32B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2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69">
            <w:pPr>
              <w:pStyle w:val="BodyTextBold"/>
              <w:rPr>
                <w:lang w:val="en-NZ"/>
              </w:rPr>
            </w:pPr>
            <w:r w:rsidRPr="00D32B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69">
            <w:pPr>
              <w:pStyle w:val="BodyTextBold"/>
              <w:rPr>
                <w:lang w:val="en-NZ"/>
              </w:rPr>
            </w:pPr>
            <w:r w:rsidRPr="00D32B69">
              <w:t>Comments</w:t>
            </w:r>
          </w:p>
        </w:tc>
      </w:tr>
      <w:tr w:rsidTr="00D32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B69">
            <w:pPr>
              <w:pStyle w:val="BodyText"/>
              <w:rPr>
                <w:lang w:val="en-NZ"/>
              </w:rPr>
            </w:pPr>
            <w:r w:rsidRPr="00D32B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B69" w:rsidP="00D32B69">
            <w:pPr>
              <w:pStyle w:val="BodyText"/>
            </w:pPr>
            <w:r w:rsidRPr="00D32B69">
              <w:t>This version released with SFI Seafood Industry Training Package Version 2.0.</w:t>
            </w:r>
          </w:p>
        </w:tc>
      </w:tr>
    </w:tbl>
    <w:p w:rsidR="00000000" w:rsidRPr="00D32B69" w:rsidP="00D32B69">
      <w:pPr>
        <w:pStyle w:val="BodyText"/>
      </w:pPr>
    </w:p>
    <w:p w:rsidR="00000000" w:rsidRPr="00D32B69" w:rsidP="00D32B69">
      <w:pPr>
        <w:pStyle w:val="AllowPageBreak"/>
      </w:pPr>
    </w:p>
    <w:p w:rsidR="00000000" w:rsidRPr="00D32B69" w:rsidP="00D32B69">
      <w:pPr>
        <w:pStyle w:val="Heading1"/>
      </w:pPr>
      <w:bookmarkStart w:id="2" w:name="O_1099753"/>
      <w:bookmarkEnd w:id="2"/>
      <w:r w:rsidRPr="00D32B69">
        <w:t>Performance Evidence</w:t>
      </w:r>
    </w:p>
    <w:p w:rsidR="00000000" w:rsidRPr="00D32B69" w:rsidP="007E0CA7">
      <w:pPr>
        <w:pStyle w:val="BodyText"/>
      </w:pPr>
      <w:r w:rsidRPr="00D32B69">
        <w:t>An individual demonstrating competency must satisfy all of the elements and pe</w:t>
      </w:r>
      <w:r w:rsidRPr="00D32B69">
        <w:t xml:space="preserve">rformance criteria in this unit. </w:t>
      </w:r>
    </w:p>
    <w:p w:rsidR="00000000" w:rsidRPr="00D32B69" w:rsidP="007E0CA7">
      <w:pPr>
        <w:pStyle w:val="BodyText"/>
      </w:pPr>
      <w:r w:rsidRPr="00D32B69">
        <w:t>There must be evidence that the individual has operated remotely operated vehicle (ROV) technology in aquatic processes on at least four occasions.</w:t>
      </w:r>
    </w:p>
    <w:p w:rsidR="00000000" w:rsidRPr="00D32B69" w:rsidP="007E0CA7">
      <w:pPr>
        <w:pStyle w:val="BodyText"/>
      </w:pPr>
      <w:r w:rsidRPr="00D32B69">
        <w:t>In doing the above, there must also be evidence that the individual has:</w:t>
      </w:r>
    </w:p>
    <w:p w:rsidR="00000000" w:rsidRPr="00D32B69" w:rsidP="00D32B69">
      <w:pPr>
        <w:pStyle w:val="ListBullet"/>
      </w:pPr>
      <w:r w:rsidRPr="00D32B69">
        <w:t>identified hazards and controlled risks</w:t>
      </w:r>
    </w:p>
    <w:p w:rsidR="00000000" w:rsidRPr="00D32B69" w:rsidP="00D32B69">
      <w:pPr>
        <w:pStyle w:val="ListBullet"/>
      </w:pPr>
      <w:r w:rsidRPr="00D32B69">
        <w:t>monitored the use of ROV technology</w:t>
      </w:r>
    </w:p>
    <w:p w:rsidR="00000000" w:rsidRPr="00D32B69" w:rsidP="00D32B69">
      <w:pPr>
        <w:pStyle w:val="ListBullet"/>
      </w:pPr>
      <w:r w:rsidRPr="00D32B69">
        <w:t>observed manufacturer specifications, workplace health and safety standards and biosecurity implications.</w:t>
      </w:r>
    </w:p>
    <w:p w:rsidR="00000000" w:rsidRPr="00D32B69" w:rsidP="00D32B69">
      <w:pPr>
        <w:pStyle w:val="AllowPageBreak"/>
      </w:pPr>
    </w:p>
    <w:p w:rsidR="00000000" w:rsidRPr="00D32B69" w:rsidP="00D32B69">
      <w:pPr>
        <w:pStyle w:val="Heading1"/>
      </w:pPr>
      <w:bookmarkStart w:id="3" w:name="O_1099754"/>
      <w:bookmarkEnd w:id="3"/>
      <w:r w:rsidRPr="00D32B69">
        <w:t>Knowledge Evidence</w:t>
      </w:r>
    </w:p>
    <w:p w:rsidR="00000000" w:rsidRPr="00D32B69" w:rsidP="007E0CA7">
      <w:pPr>
        <w:pStyle w:val="BodyText"/>
      </w:pPr>
      <w:r w:rsidRPr="00D32B69">
        <w:t>An individual must be able to demonstrate the knowledge required to perform the tasks outlined in the elements and performance criteria of this unit. This includes knowledge of:</w:t>
      </w:r>
    </w:p>
    <w:p w:rsidR="00000000" w:rsidRPr="00D32B69" w:rsidP="00D32B69">
      <w:pPr>
        <w:pStyle w:val="ListBullet"/>
      </w:pPr>
      <w:r w:rsidRPr="00D32B69">
        <w:t>suitability of the shore or vessel launch method</w:t>
      </w:r>
    </w:p>
    <w:p w:rsidR="00000000" w:rsidRPr="00D32B69" w:rsidP="00D32B69">
      <w:pPr>
        <w:pStyle w:val="ListBullet"/>
      </w:pPr>
      <w:r w:rsidRPr="00D32B69">
        <w:t>ROV suitability for task and</w:t>
      </w:r>
      <w:r w:rsidRPr="00D32B69">
        <w:t xml:space="preserve"> conditions</w:t>
      </w:r>
    </w:p>
    <w:p w:rsidR="00000000" w:rsidRPr="00D32B69" w:rsidP="00D32B69">
      <w:pPr>
        <w:pStyle w:val="ListBullet"/>
      </w:pPr>
      <w:r w:rsidRPr="00D32B69">
        <w:t>ROV dive processes</w:t>
      </w:r>
    </w:p>
    <w:p w:rsidR="00000000" w:rsidRPr="00D32B69" w:rsidP="00D32B69">
      <w:pPr>
        <w:pStyle w:val="ListBullet"/>
      </w:pPr>
      <w:r w:rsidRPr="00D32B69">
        <w:t>tether management</w:t>
      </w:r>
    </w:p>
    <w:p w:rsidR="00000000" w:rsidRPr="00D32B69" w:rsidP="00D32B69">
      <w:pPr>
        <w:pStyle w:val="ListBullet"/>
      </w:pPr>
      <w:r w:rsidRPr="00D32B69">
        <w:t xml:space="preserve">the general features and capabilities of ROV technology and auxiliary equipment </w:t>
      </w:r>
    </w:p>
    <w:p w:rsidR="00000000" w:rsidRPr="00D32B69" w:rsidP="00D32B69">
      <w:pPr>
        <w:pStyle w:val="ListBullet"/>
      </w:pPr>
      <w:r w:rsidRPr="00D32B69">
        <w:t>ROV care and maintenance processes</w:t>
      </w:r>
    </w:p>
    <w:p w:rsidR="00000000" w:rsidRPr="00D32B69" w:rsidP="00D32B69">
      <w:pPr>
        <w:pStyle w:val="ListBullet"/>
      </w:pPr>
      <w:r w:rsidRPr="00D32B69">
        <w:t>operation of position fixing equipment and methods</w:t>
      </w:r>
    </w:p>
    <w:p w:rsidR="00000000" w:rsidRPr="00D32B69" w:rsidP="00D32B69">
      <w:pPr>
        <w:pStyle w:val="ListBullet"/>
      </w:pPr>
      <w:r w:rsidRPr="00D32B69">
        <w:t>relevant manufacturer specifications</w:t>
      </w:r>
    </w:p>
    <w:p w:rsidR="00000000" w:rsidRPr="00D32B69" w:rsidP="00D32B69">
      <w:pPr>
        <w:pStyle w:val="ListBullet"/>
      </w:pPr>
      <w:r w:rsidRPr="00D32B69">
        <w:t>aqu</w:t>
      </w:r>
      <w:r w:rsidRPr="00D32B69">
        <w:t xml:space="preserve">atic health and safety standards </w:t>
      </w:r>
    </w:p>
    <w:p w:rsidR="00000000" w:rsidRPr="00D32B69" w:rsidP="00D32B69">
      <w:pPr>
        <w:pStyle w:val="ListBullet"/>
      </w:pPr>
      <w:r w:rsidRPr="00D32B69">
        <w:t>environmental and biosecurity impacts of ROVs</w:t>
      </w:r>
    </w:p>
    <w:p w:rsidR="00000000" w:rsidRPr="00D32B69" w:rsidP="00D32B69">
      <w:pPr>
        <w:pStyle w:val="ListBullet"/>
      </w:pPr>
      <w:r w:rsidRPr="00D32B69">
        <w:t>risk and hazards associated with the use of ROV technology</w:t>
      </w:r>
    </w:p>
    <w:p w:rsidR="00000000" w:rsidRPr="00D32B69" w:rsidP="00D32B69">
      <w:pPr>
        <w:pStyle w:val="ListBullet"/>
      </w:pPr>
      <w:r w:rsidRPr="00D32B69">
        <w:t>aquatic operational processes, including:</w:t>
      </w:r>
    </w:p>
    <w:p w:rsidR="00000000" w:rsidRPr="00D32B69" w:rsidP="00D32B69">
      <w:pPr>
        <w:pStyle w:val="ListBullet2"/>
      </w:pPr>
      <w:r w:rsidRPr="00D32B69">
        <w:t>visual indication of stock concentration</w:t>
      </w:r>
    </w:p>
    <w:p w:rsidR="00000000" w:rsidRPr="00D32B69" w:rsidP="00D32B69">
      <w:pPr>
        <w:pStyle w:val="ListBullet2"/>
      </w:pPr>
      <w:r w:rsidRPr="00D32B69">
        <w:t>underwater survey missions</w:t>
      </w:r>
    </w:p>
    <w:p w:rsidR="00000000" w:rsidRPr="00D32B69" w:rsidP="00D32B69">
      <w:pPr>
        <w:pStyle w:val="ListBullet2"/>
      </w:pPr>
      <w:r w:rsidRPr="00D32B69">
        <w:t>observational studies</w:t>
      </w:r>
    </w:p>
    <w:p w:rsidR="00000000" w:rsidRPr="00D32B69" w:rsidP="00D32B69">
      <w:pPr>
        <w:pStyle w:val="ListBullet2"/>
      </w:pPr>
      <w:r w:rsidRPr="00D32B69">
        <w:t>offshore structure cleaning</w:t>
      </w:r>
    </w:p>
    <w:p w:rsidR="00000000" w:rsidRPr="00D32B69" w:rsidP="00D32B69">
      <w:pPr>
        <w:pStyle w:val="ListBullet2"/>
      </w:pPr>
      <w:r w:rsidRPr="00D32B69">
        <w:t>vessel hull inspection</w:t>
      </w:r>
    </w:p>
    <w:p w:rsidR="00000000" w:rsidRPr="00D32B69" w:rsidP="00D32B69">
      <w:pPr>
        <w:pStyle w:val="ListBullet2"/>
      </w:pPr>
      <w:r w:rsidRPr="00D32B69">
        <w:t xml:space="preserve">net inspection and repair </w:t>
      </w:r>
    </w:p>
    <w:p w:rsidR="00000000" w:rsidRPr="00D32B69" w:rsidP="00D32B69">
      <w:pPr>
        <w:pStyle w:val="ListBullet2"/>
      </w:pPr>
      <w:r w:rsidRPr="00D32B69">
        <w:t xml:space="preserve">net cleaning </w:t>
      </w:r>
    </w:p>
    <w:p w:rsidR="00000000" w:rsidRPr="00D32B69" w:rsidP="00D32B69">
      <w:pPr>
        <w:pStyle w:val="ListBullet"/>
      </w:pPr>
      <w:r w:rsidRPr="00D32B69">
        <w:t>personnel skill level requirements.</w:t>
      </w:r>
    </w:p>
    <w:p w:rsidR="00000000" w:rsidRPr="00D32B69" w:rsidP="00D32B69">
      <w:pPr>
        <w:pStyle w:val="AllowPageBreak"/>
      </w:pPr>
    </w:p>
    <w:p w:rsidR="00000000" w:rsidRPr="00D32B69" w:rsidP="00D32B69">
      <w:pPr>
        <w:pStyle w:val="Heading1"/>
      </w:pPr>
      <w:bookmarkStart w:id="4" w:name="O_1099755"/>
      <w:bookmarkEnd w:id="4"/>
      <w:r w:rsidRPr="00D32B69">
        <w:t>Assessment Conditions</w:t>
      </w:r>
    </w:p>
    <w:p w:rsidR="00000000" w:rsidRPr="00D32B69" w:rsidP="007E0CA7">
      <w:pPr>
        <w:pStyle w:val="BodyText"/>
      </w:pPr>
      <w:r w:rsidRPr="00D32B69">
        <w:t>Assessment of the skills in this unit of competency must take pl</w:t>
      </w:r>
      <w:r w:rsidRPr="00D32B69">
        <w:t xml:space="preserve">ace under the following conditions: </w:t>
      </w:r>
    </w:p>
    <w:p w:rsidR="00000000" w:rsidRPr="00D32B69" w:rsidP="00D32B69">
      <w:pPr>
        <w:pStyle w:val="ListBullet"/>
      </w:pPr>
      <w:r w:rsidRPr="00D32B69">
        <w:t>physical conditions:</w:t>
      </w:r>
    </w:p>
    <w:p w:rsidR="00000000" w:rsidRPr="00D32B69" w:rsidP="00D32B69">
      <w:pPr>
        <w:pStyle w:val="ListBullet2"/>
      </w:pPr>
      <w:r w:rsidRPr="00D32B69">
        <w:t xml:space="preserve">skills must be demonstrated in an aquatic setting </w:t>
      </w:r>
    </w:p>
    <w:p w:rsidR="00000000" w:rsidRPr="00D32B69" w:rsidP="00D32B69">
      <w:pPr>
        <w:pStyle w:val="ListBullet"/>
      </w:pPr>
      <w:r w:rsidRPr="00D32B69">
        <w:t>resources, equipment and materials:</w:t>
      </w:r>
    </w:p>
    <w:p w:rsidR="00000000" w:rsidRPr="00D32B69" w:rsidP="00D32B69">
      <w:pPr>
        <w:pStyle w:val="ListBullet2"/>
      </w:pPr>
      <w:r w:rsidRPr="00D32B69">
        <w:t>ROV technology</w:t>
      </w:r>
    </w:p>
    <w:p w:rsidR="00000000" w:rsidRPr="00D32B69" w:rsidP="00D32B69">
      <w:pPr>
        <w:pStyle w:val="ListBullet"/>
      </w:pPr>
      <w:r w:rsidRPr="00D32B69">
        <w:t>specifications:</w:t>
      </w:r>
    </w:p>
    <w:p w:rsidR="00000000" w:rsidRPr="00D32B69" w:rsidP="00D32B69">
      <w:pPr>
        <w:pStyle w:val="ListBullet2"/>
      </w:pPr>
      <w:r w:rsidRPr="00D32B69">
        <w:t>relevant manufacturer specifications.</w:t>
      </w:r>
    </w:p>
    <w:p w:rsidR="00000000" w:rsidRPr="00D32B69" w:rsidP="007E0CA7">
      <w:pPr>
        <w:pStyle w:val="BodyText"/>
      </w:pPr>
      <w:r w:rsidRPr="00D32B69">
        <w:t>Assessors of this unit must satisfy the requirements for assessors in applicable vocational education and training legislation, frameworks and/or standards.</w:t>
      </w:r>
    </w:p>
    <w:p w:rsidR="00000000" w:rsidRPr="00D32B69" w:rsidP="00D32B69">
      <w:pPr>
        <w:pStyle w:val="Heading1"/>
      </w:pPr>
      <w:bookmarkStart w:id="5" w:name="O_1099758"/>
      <w:bookmarkEnd w:id="5"/>
      <w:r w:rsidRPr="00D32B69">
        <w:t>Links</w:t>
      </w:r>
    </w:p>
    <w:p w:rsidR="00000000" w:rsidRPr="00D32B69" w:rsidP="007E0CA7">
      <w:pPr>
        <w:pStyle w:val="BodyText"/>
      </w:pPr>
      <w:r w:rsidRPr="00D32B69">
        <w:t>Companion Volumes, including Implementation Guides, are available at VETNe</w:t>
      </w:r>
      <w:r w:rsidRPr="00D32B69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A56F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32B69" w:rsidP="00D32B69"/>
    <w:sectPr w:rsidSect="00D32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69" w:rsidRPr="007E0CA7" w:rsidP="007E0C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A7" w:rsidP="00D32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0CA7" w:rsidP="00D32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0CA7" w:rsidP="00D32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B69" w:rsidRPr="007E0CA7" w:rsidP="007E0C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A7" w:rsidRPr="002D2AF8" w:rsidP="00D32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SFIAQU415 Operate ROVs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E0CA7" w:rsidP="00D32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DC72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FC5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601C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B69"/>
  </w:style>
  <w:style w:type="character" w:customStyle="1" w:styleId="Heading1Char">
    <w:name w:val="Heading 1 Char"/>
    <w:basedOn w:val="DefaultParagraphFont"/>
    <w:link w:val="Heading1"/>
    <w:rsid w:val="00D32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B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2B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2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2B69"/>
    <w:rPr>
      <w:b/>
    </w:rPr>
  </w:style>
  <w:style w:type="character" w:customStyle="1" w:styleId="Heading2Char">
    <w:name w:val="Heading 2 Char"/>
    <w:basedOn w:val="DefaultParagraphFont"/>
    <w:link w:val="Heading2"/>
    <w:rsid w:val="00D32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2B69"/>
    <w:rPr>
      <w:b/>
      <w:spacing w:val="0"/>
    </w:rPr>
  </w:style>
  <w:style w:type="paragraph" w:customStyle="1" w:styleId="SuperTitle">
    <w:name w:val="SuperTitle"/>
    <w:basedOn w:val="Title"/>
    <w:rsid w:val="00D32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B69"/>
    <w:rPr>
      <w:i/>
    </w:rPr>
  </w:style>
  <w:style w:type="paragraph" w:styleId="Caption">
    <w:name w:val="caption"/>
    <w:basedOn w:val="BodyText"/>
    <w:next w:val="Normal"/>
    <w:qFormat/>
    <w:rsid w:val="00D32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B69"/>
  </w:style>
  <w:style w:type="paragraph" w:styleId="TableofFigures">
    <w:name w:val="table of figures"/>
    <w:basedOn w:val="Normal"/>
    <w:next w:val="Normal"/>
    <w:semiHidden/>
    <w:rsid w:val="00D32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B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2B69"/>
    <w:rPr>
      <w:rFonts w:ascii="Wingdings" w:hAnsi="Wingdings"/>
    </w:rPr>
  </w:style>
  <w:style w:type="paragraph" w:customStyle="1" w:styleId="TableHeading">
    <w:name w:val="Table Heading"/>
    <w:basedOn w:val="HeadingBase"/>
    <w:rsid w:val="00D32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B69"/>
    <w:rPr>
      <w:color w:val="0033CC"/>
      <w:u w:val="none"/>
    </w:rPr>
  </w:style>
  <w:style w:type="paragraph" w:customStyle="1" w:styleId="BodyTextRight">
    <w:name w:val="Body Text Right"/>
    <w:basedOn w:val="BodyText"/>
    <w:rsid w:val="00D32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B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B69"/>
    <w:rPr>
      <w:sz w:val="32"/>
    </w:rPr>
  </w:style>
  <w:style w:type="paragraph" w:customStyle="1" w:styleId="HeadingProcedure">
    <w:name w:val="Heading Procedure"/>
    <w:basedOn w:val="HeadingBase"/>
    <w:next w:val="Normal"/>
    <w:rsid w:val="00D32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B69"/>
    <w:pPr>
      <w:spacing w:before="60" w:after="60"/>
    </w:pPr>
  </w:style>
  <w:style w:type="paragraph" w:styleId="ListContinue">
    <w:name w:val="List Continue"/>
    <w:basedOn w:val="List"/>
    <w:rsid w:val="00D32B69"/>
    <w:pPr>
      <w:ind w:firstLine="0"/>
    </w:pPr>
  </w:style>
  <w:style w:type="paragraph" w:customStyle="1" w:styleId="ListNote">
    <w:name w:val="List Note"/>
    <w:basedOn w:val="List"/>
    <w:rsid w:val="00D32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B69"/>
    <w:rPr>
      <w:rFonts w:ascii="Courier New" w:hAnsi="Courier New"/>
    </w:rPr>
  </w:style>
  <w:style w:type="paragraph" w:customStyle="1" w:styleId="NoteBullet">
    <w:name w:val="Note Bullet"/>
    <w:basedOn w:val="Note"/>
    <w:rsid w:val="00D32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B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B69"/>
    <w:rPr>
      <w:b/>
      <w:smallCaps/>
    </w:rPr>
  </w:style>
  <w:style w:type="paragraph" w:customStyle="1" w:styleId="TableListNumber">
    <w:name w:val="Table List Number"/>
    <w:basedOn w:val="ListNumber"/>
    <w:rsid w:val="00D32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B69"/>
    <w:pPr>
      <w:numPr>
        <w:numId w:val="9"/>
      </w:numPr>
    </w:pPr>
  </w:style>
  <w:style w:type="paragraph" w:customStyle="1" w:styleId="ListAlpha2">
    <w:name w:val="List Alpha 2"/>
    <w:basedOn w:val="List2"/>
    <w:rsid w:val="00D32B69"/>
    <w:pPr>
      <w:numPr>
        <w:numId w:val="8"/>
      </w:numPr>
    </w:pPr>
  </w:style>
  <w:style w:type="paragraph" w:styleId="List2">
    <w:name w:val="List 2"/>
    <w:basedOn w:val="BodyText"/>
    <w:rsid w:val="00D32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B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B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B69"/>
    <w:pPr>
      <w:numPr>
        <w:numId w:val="4"/>
      </w:numPr>
    </w:pPr>
  </w:style>
  <w:style w:type="paragraph" w:styleId="ListContinue2">
    <w:name w:val="List Continue 2"/>
    <w:basedOn w:val="List2"/>
    <w:rsid w:val="00D32B69"/>
    <w:pPr>
      <w:ind w:firstLine="0"/>
    </w:pPr>
  </w:style>
  <w:style w:type="paragraph" w:styleId="ListContinue3">
    <w:name w:val="List Continue 3"/>
    <w:basedOn w:val="List3"/>
    <w:rsid w:val="00D32B69"/>
    <w:pPr>
      <w:ind w:left="1021" w:firstLine="0"/>
    </w:pPr>
  </w:style>
  <w:style w:type="paragraph" w:styleId="ListContinue4">
    <w:name w:val="List Continue 4"/>
    <w:basedOn w:val="List4"/>
    <w:rsid w:val="00D32B69"/>
    <w:pPr>
      <w:ind w:firstLine="0"/>
    </w:pPr>
  </w:style>
  <w:style w:type="paragraph" w:styleId="ListContinue5">
    <w:name w:val="List Continue 5"/>
    <w:basedOn w:val="List5"/>
    <w:rsid w:val="00D32B69"/>
    <w:pPr>
      <w:ind w:firstLine="0"/>
    </w:pPr>
  </w:style>
  <w:style w:type="paragraph" w:styleId="ListNumber3">
    <w:name w:val="List Number 3"/>
    <w:basedOn w:val="List3"/>
    <w:rsid w:val="00D32B69"/>
    <w:pPr>
      <w:numPr>
        <w:numId w:val="5"/>
      </w:numPr>
    </w:pPr>
  </w:style>
  <w:style w:type="paragraph" w:styleId="ListNumber4">
    <w:name w:val="List Number 4"/>
    <w:basedOn w:val="List4"/>
    <w:rsid w:val="00D32B69"/>
    <w:pPr>
      <w:numPr>
        <w:numId w:val="6"/>
      </w:numPr>
    </w:pPr>
  </w:style>
  <w:style w:type="paragraph" w:styleId="ListNumber5">
    <w:name w:val="List Number 5"/>
    <w:basedOn w:val="List5"/>
    <w:rsid w:val="00D32B69"/>
    <w:pPr>
      <w:numPr>
        <w:numId w:val="7"/>
      </w:numPr>
    </w:pPr>
  </w:style>
  <w:style w:type="paragraph" w:styleId="BlockText">
    <w:name w:val="Block Text"/>
    <w:basedOn w:val="Normal"/>
    <w:rsid w:val="00D32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B69"/>
    <w:rPr>
      <w:sz w:val="16"/>
      <w:vertAlign w:val="superscript"/>
    </w:rPr>
  </w:style>
  <w:style w:type="character" w:customStyle="1" w:styleId="Symbols">
    <w:name w:val="Symbols"/>
    <w:basedOn w:val="DefaultParagraphFont"/>
    <w:rsid w:val="00D32B69"/>
    <w:rPr>
      <w:rFonts w:ascii="Symbol" w:hAnsi="Symbol"/>
    </w:rPr>
  </w:style>
  <w:style w:type="character" w:customStyle="1" w:styleId="MenuOptions">
    <w:name w:val="Menu Options"/>
    <w:basedOn w:val="DefaultParagraphFont"/>
    <w:rsid w:val="00D32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B69"/>
    <w:rPr>
      <w:b/>
    </w:rPr>
  </w:style>
  <w:style w:type="character" w:customStyle="1" w:styleId="Underlined">
    <w:name w:val="Underlined"/>
    <w:basedOn w:val="DefaultParagraphFont"/>
    <w:rsid w:val="00D32B69"/>
    <w:rPr>
      <w:u w:val="single"/>
    </w:rPr>
  </w:style>
  <w:style w:type="paragraph" w:customStyle="1" w:styleId="TableBodyTextRight">
    <w:name w:val="Table Body Text Right"/>
    <w:basedOn w:val="TableBodyText"/>
    <w:rsid w:val="00D32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B69"/>
    <w:rPr>
      <w:sz w:val="18"/>
    </w:rPr>
  </w:style>
  <w:style w:type="paragraph" w:customStyle="1" w:styleId="BodySmallRight">
    <w:name w:val="Body Small Right"/>
    <w:basedOn w:val="BodyTextRight"/>
    <w:rsid w:val="00D32B69"/>
    <w:rPr>
      <w:sz w:val="18"/>
      <w:szCs w:val="18"/>
    </w:rPr>
  </w:style>
  <w:style w:type="paragraph" w:customStyle="1" w:styleId="MarginEdition">
    <w:name w:val="Margin Edition"/>
    <w:basedOn w:val="MarginNote"/>
    <w:rsid w:val="00D32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B69"/>
    <w:rPr>
      <w:sz w:val="2"/>
      <w:szCs w:val="2"/>
    </w:rPr>
  </w:style>
  <w:style w:type="character" w:customStyle="1" w:styleId="Small">
    <w:name w:val="Small"/>
    <w:basedOn w:val="DefaultParagraphFont"/>
    <w:rsid w:val="00D32B69"/>
    <w:rPr>
      <w:sz w:val="16"/>
    </w:rPr>
  </w:style>
  <w:style w:type="paragraph" w:customStyle="1" w:styleId="WideTable">
    <w:name w:val="Wide Table"/>
    <w:basedOn w:val="Normal"/>
    <w:rsid w:val="00D32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B69"/>
  </w:style>
  <w:style w:type="paragraph" w:styleId="Quote">
    <w:name w:val="Quote"/>
    <w:basedOn w:val="Heading1"/>
    <w:link w:val="QuoteChar"/>
    <w:qFormat/>
    <w:rsid w:val="00D32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B69"/>
    <w:pPr>
      <w:pageBreakBefore/>
    </w:pPr>
  </w:style>
  <w:style w:type="paragraph" w:customStyle="1" w:styleId="Border">
    <w:name w:val="Border"/>
    <w:basedOn w:val="Normal"/>
    <w:qFormat/>
    <w:rsid w:val="00D32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B69"/>
    <w:rPr>
      <w:u w:val="single"/>
    </w:rPr>
  </w:style>
  <w:style w:type="character" w:customStyle="1" w:styleId="BoldandItalics">
    <w:name w:val="Bold and Italics"/>
    <w:qFormat/>
    <w:rsid w:val="00D32B69"/>
    <w:rPr>
      <w:b/>
      <w:i/>
      <w:u w:val="none"/>
    </w:rPr>
  </w:style>
  <w:style w:type="paragraph" w:styleId="BalloonText">
    <w:name w:val="Balloon Text"/>
    <w:basedOn w:val="Normal"/>
    <w:link w:val="BalloonTextChar"/>
    <w:rsid w:val="00D32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B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0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2187</Characters>
  <Application>Microsoft Office Word</Application>
  <DocSecurity>0</DocSecurity>
  <Lines>68</Lines>
  <Paragraphs>58</Paragraphs>
  <ScaleCrop>false</ScaleCrop>
  <Company>Author-it Software Corporation Ltd.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SFIAQU415 Operate ROVs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