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007" w:rsidP="008150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SFIAQU403 Manage water quality and environmental monitoring in enclosed systems</w:t>
      </w:r>
      <w:r>
        <w:fldChar w:fldCharType="end"/>
      </w:r>
    </w:p>
    <w:p w:rsidR="00815007" w:rsidP="00815007">
      <w:pPr>
        <w:pStyle w:val="Version"/>
        <w:sectPr w:rsidSect="00C45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7AC" w:rsidP="00C457AC">
      <w:pPr>
        <w:pStyle w:val="SuperHeading"/>
      </w:pPr>
      <w:r w:rsidRPr="00C457AC">
        <w:t>SFIAQU403 Manage water quality and environmental monitoring in enclosed systems</w:t>
      </w:r>
    </w:p>
    <w:p w:rsidR="00000000" w:rsidRPr="00C457AC" w:rsidP="00C457AC">
      <w:pPr>
        <w:pStyle w:val="Heading1"/>
      </w:pPr>
      <w:bookmarkStart w:id="1" w:name="O_1035918"/>
      <w:bookmarkEnd w:id="1"/>
      <w:r w:rsidRPr="00C457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Comments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This version released with SFI Seafood Industry Training Package Version 1.0.</w:t>
            </w:r>
          </w:p>
        </w:tc>
      </w:tr>
    </w:tbl>
    <w:p w:rsidR="00000000" w:rsidRPr="00C457AC" w:rsidP="00C457AC">
      <w:pPr>
        <w:pStyle w:val="BodyText"/>
      </w:pP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2" w:name="O_1035919"/>
      <w:bookmarkEnd w:id="2"/>
      <w:r w:rsidRPr="00C457AC">
        <w:t>Application</w:t>
      </w:r>
    </w:p>
    <w:p w:rsidR="00000000" w:rsidRPr="00C457AC" w:rsidP="00815007">
      <w:pPr>
        <w:pStyle w:val="BodyText"/>
      </w:pPr>
      <w:r w:rsidRPr="00C457AC">
        <w:t>This unit of competency describes the skills and knowledge required to develop and implement a water quality and environmental monitoring program and procedures for enclosed systems.</w:t>
      </w:r>
    </w:p>
    <w:p w:rsidR="00000000" w:rsidRPr="00C457AC" w:rsidP="00815007">
      <w:pPr>
        <w:pStyle w:val="BodyText"/>
      </w:pPr>
      <w:r w:rsidRPr="00C457AC">
        <w:t>The unit applies to individuals who use specialised skills an</w:t>
      </w:r>
      <w:r w:rsidRPr="00C457AC">
        <w:t>d knowledge to analyse and monitor water quality and environmental data and manage maintenance activities within an aquaculture facility.</w:t>
      </w:r>
    </w:p>
    <w:p w:rsidR="00000000" w:rsidRPr="00C457AC" w:rsidP="00815007">
      <w:pPr>
        <w:pStyle w:val="BodyText"/>
      </w:pPr>
      <w:r w:rsidRPr="00C457AC">
        <w:t>No licensing, legislative or certification requirements apply to this unit at the time of publication.</w:t>
      </w:r>
    </w:p>
    <w:p w:rsidR="00000000" w:rsidRPr="00C457AC" w:rsidP="00C457AC">
      <w:pPr>
        <w:pStyle w:val="Heading1"/>
      </w:pPr>
      <w:bookmarkStart w:id="3" w:name="O_1035920"/>
      <w:bookmarkEnd w:id="3"/>
      <w:r w:rsidRPr="00C457AC">
        <w:t>Pre-requisite Unit</w:t>
      </w:r>
    </w:p>
    <w:p w:rsidR="00000000" w:rsidRPr="00C457AC" w:rsidP="00815007">
      <w:pPr>
        <w:pStyle w:val="BodyText"/>
      </w:pPr>
      <w:r w:rsidRPr="00C457AC">
        <w:t xml:space="preserve">Nil </w:t>
      </w:r>
    </w:p>
    <w:p w:rsidR="00000000" w:rsidRPr="00C457AC" w:rsidP="00C457AC">
      <w:pPr>
        <w:pStyle w:val="Heading1"/>
      </w:pPr>
      <w:bookmarkStart w:id="4" w:name="O_1035922"/>
      <w:bookmarkEnd w:id="4"/>
      <w:r w:rsidRPr="00C457AC">
        <w:t>Unit Sector</w:t>
      </w:r>
    </w:p>
    <w:p w:rsidR="00000000" w:rsidRPr="00C457AC" w:rsidP="00815007">
      <w:pPr>
        <w:pStyle w:val="BodyText"/>
      </w:pPr>
      <w:r w:rsidRPr="00C457AC">
        <w:t>Aquaculture (AQU)</w:t>
      </w:r>
    </w:p>
    <w:p w:rsidR="00000000" w:rsidRPr="00C457AC" w:rsidP="00C457AC">
      <w:pPr>
        <w:pStyle w:val="Heading1"/>
      </w:pPr>
      <w:bookmarkStart w:id="5" w:name="O_1035923"/>
      <w:bookmarkEnd w:id="5"/>
      <w:r w:rsidRPr="00C457A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Performance Criteria</w:t>
            </w:r>
          </w:p>
        </w:tc>
      </w:tr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1. Develop a water quality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1.1 Develop monitoring schedule and methods to identify routine water quality and environmental parameters</w:t>
            </w:r>
          </w:p>
          <w:p w:rsidR="00000000" w:rsidRPr="00C457AC" w:rsidP="00C457AC">
            <w:pPr>
              <w:pStyle w:val="BodyText"/>
            </w:pPr>
            <w:r w:rsidRPr="00C457AC">
              <w:t>1.2 De</w:t>
            </w:r>
            <w:r w:rsidRPr="00C457AC">
              <w:t xml:space="preserve">velop workplace procedures for routine water quality, environmental monitoring and management of culture or holding </w:t>
            </w:r>
            <w:r w:rsidRPr="00C457AC">
              <w:t>water</w:t>
            </w:r>
          </w:p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 xml:space="preserve">1.3 Organise data collection and record management activities </w:t>
            </w:r>
          </w:p>
        </w:tc>
      </w:tr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2. Oversee non-routine water quality monitoring, sampling and manipulation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 xml:space="preserve">2.1 Identify potential problematic non-routine water quality parameters and develop measurement methods </w:t>
            </w:r>
          </w:p>
          <w:p w:rsidR="00000000" w:rsidRPr="00C457AC" w:rsidP="00C457AC">
            <w:pPr>
              <w:pStyle w:val="BodyText"/>
            </w:pPr>
            <w:r w:rsidRPr="00C457AC">
              <w:t>2.2 Carry out monitoring and sampling and arrange external analysis accordin</w:t>
            </w:r>
            <w:r w:rsidRPr="00C457AC">
              <w:t>g to workplace procedures</w:t>
            </w:r>
          </w:p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2.3 Detect and manage effects of health treatments on the quality of the culture or holding water</w:t>
            </w:r>
          </w:p>
        </w:tc>
      </w:tr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3. Analyse and present data in tables and 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3.1 Check water quality and environmental data to identify transcription errors or</w:t>
            </w:r>
            <w:r w:rsidRPr="00C457AC">
              <w:t xml:space="preserve"> atypical entries</w:t>
            </w:r>
          </w:p>
          <w:p w:rsidR="00000000" w:rsidRPr="00C457AC" w:rsidP="00C457AC">
            <w:pPr>
              <w:pStyle w:val="BodyText"/>
            </w:pPr>
            <w:r w:rsidRPr="00C457AC">
              <w:t>3.2 Present data accurately in tables and graphs according to workplace practices</w:t>
            </w:r>
          </w:p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3.3 Analyse data and report on features and trends</w:t>
            </w:r>
          </w:p>
        </w:tc>
      </w:tr>
      <w:tr w:rsidTr="008150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4. Assess and adjust water for cultured or held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4.1 Assess the suitability of supply water for cul</w:t>
            </w:r>
            <w:r w:rsidRPr="00C457AC">
              <w:t>tured or held stock</w:t>
            </w:r>
          </w:p>
          <w:p w:rsidR="00000000" w:rsidRPr="00C457AC" w:rsidP="00C457AC">
            <w:pPr>
              <w:pStyle w:val="BodyText"/>
            </w:pPr>
            <w:r w:rsidRPr="00C457AC">
              <w:t>4.2 Detect aquaculture practices that impact adversely on water quality, and modify practices to minimise impacts</w:t>
            </w:r>
          </w:p>
          <w:p w:rsidR="00000000" w:rsidRPr="00C457AC" w:rsidP="00C457AC">
            <w:pPr>
              <w:pStyle w:val="BodyText"/>
            </w:pPr>
            <w:r w:rsidRPr="00C457AC">
              <w:t>4.3 Manipulate water chemistry to improve water quality according to workplace procedures</w:t>
            </w:r>
          </w:p>
          <w:p w:rsidR="00000000" w:rsidRPr="00C457AC" w:rsidP="00C457AC">
            <w:pPr>
              <w:pStyle w:val="BodyText"/>
            </w:pPr>
            <w:r w:rsidRPr="00C457AC">
              <w:t>4.4 Modify management strategies</w:t>
            </w:r>
            <w:r w:rsidRPr="00C457AC">
              <w:t xml:space="preserve"> based on data collected</w:t>
            </w:r>
          </w:p>
        </w:tc>
      </w:tr>
    </w:tbl>
    <w:p w:rsidR="00000000" w:rsidRPr="00C457AC" w:rsidP="00C457AC">
      <w:pPr>
        <w:pStyle w:val="BodyText"/>
      </w:pP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6" w:name="O_1035924"/>
      <w:bookmarkEnd w:id="6"/>
      <w:r w:rsidRPr="00C457AC">
        <w:t>Foundation Skills</w:t>
      </w:r>
    </w:p>
    <w:p w:rsidR="00000000" w:rsidRPr="00815007" w:rsidP="00815007">
      <w:pPr>
        <w:pStyle w:val="BodyText"/>
        <w:rPr>
          <w:i/>
        </w:rPr>
      </w:pPr>
      <w:r w:rsidRPr="008150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Description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ListBullet"/>
              <w:rPr>
                <w:lang w:val="en-NZ"/>
              </w:rPr>
            </w:pPr>
            <w:r w:rsidRPr="00C457AC">
              <w:t xml:space="preserve">Analyses data against quality parameters and interprets tables and graphs to determine trends 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ListBullet"/>
            </w:pPr>
            <w:r w:rsidRPr="00C457AC">
              <w:t>Records and presents data accurately and in required format</w:t>
            </w:r>
          </w:p>
          <w:p w:rsidR="00000000" w:rsidP="00C457AC">
            <w:pPr>
              <w:pStyle w:val="ListBullet"/>
              <w:rPr>
                <w:lang w:val="en-NZ"/>
              </w:rPr>
            </w:pPr>
            <w:r w:rsidRPr="00C457AC">
              <w:t>Documents wo</w:t>
            </w:r>
            <w:r w:rsidRPr="00C457AC">
              <w:t>rkplace procedures using clear structure, language and technical terminology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ListBullet"/>
            </w:pPr>
            <w:r w:rsidRPr="00C457AC">
              <w:t>Measures perimeters, areas, volumes and angles</w:t>
            </w:r>
          </w:p>
          <w:p w:rsidR="00000000" w:rsidP="00C457AC">
            <w:pPr>
              <w:pStyle w:val="ListBullet"/>
              <w:rPr>
                <w:lang w:val="en-NZ"/>
              </w:rPr>
            </w:pPr>
            <w:r w:rsidRPr="00C457AC">
              <w:t>Applies mathematical concepts of ratio, percentage, density, and standard deviation to monitoring activities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ListBullet"/>
              <w:rPr>
                <w:lang w:val="en-NZ"/>
              </w:rPr>
            </w:pPr>
            <w:r w:rsidRPr="00C457AC">
              <w:t>Participates in verbal exchanges to convey information relating to water quality and monitoring data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ListBullet"/>
              <w:rPr>
                <w:lang w:val="en-NZ"/>
              </w:rPr>
            </w:pPr>
            <w:r w:rsidRPr="00C457AC">
              <w:t>Works independently within broad parameters, taking responsibility for plans, decisions and outcomes relat</w:t>
            </w:r>
            <w:r w:rsidRPr="00C457AC">
              <w:t>ing to own role and area of responsibility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ListBullet"/>
            </w:pPr>
            <w:r w:rsidRPr="00C457AC">
              <w:t>Uses workplace digital systems and tools to access, organise, analyse and display information relevant to role and area of responsibility</w:t>
            </w:r>
          </w:p>
        </w:tc>
      </w:tr>
    </w:tbl>
    <w:p w:rsidR="00815007" w:rsidP="00C457AC">
      <w:pPr>
        <w:pStyle w:val="BodyText"/>
      </w:pPr>
    </w:p>
    <w:p w:rsidR="00815007" w:rsidP="00C457AC">
      <w:pPr>
        <w:pStyle w:val="BodyText"/>
      </w:pPr>
    </w:p>
    <w:p w:rsidR="00000000" w:rsidRPr="00C457AC" w:rsidP="00C457AC">
      <w:pPr>
        <w:pStyle w:val="Heading1"/>
      </w:pPr>
      <w:bookmarkStart w:id="7" w:name="O_1035926"/>
      <w:bookmarkEnd w:id="7"/>
      <w:r w:rsidRPr="00C457A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Equivalence status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SFIAQU403 Manage water quality and environmental monitoring in enclosed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SFIAQUA411A Manage water quality and environmental monitoring in enclosed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Up</w:t>
            </w:r>
            <w:r w:rsidRPr="00C457AC">
              <w:t>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Equivalent unit</w:t>
            </w:r>
          </w:p>
        </w:tc>
      </w:tr>
    </w:tbl>
    <w:p w:rsidR="00000000" w:rsidRPr="00C457AC" w:rsidP="00C457AC">
      <w:pPr>
        <w:pStyle w:val="BodyText"/>
      </w:pP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8" w:name="O_1035933"/>
      <w:bookmarkEnd w:id="8"/>
      <w:r w:rsidRPr="00C457AC">
        <w:t>Links</w:t>
      </w:r>
    </w:p>
    <w:p w:rsidR="00000000" w:rsidRPr="00C457AC" w:rsidP="00815007">
      <w:pPr>
        <w:pStyle w:val="BodyText"/>
      </w:pPr>
      <w:r w:rsidRPr="00C457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385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457AC" w:rsidP="00815007">
      <w:pPr>
        <w:pStyle w:val="BodyText"/>
        <w:sectPr w:rsidSect="00C457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7AC" w:rsidP="00C457AC">
      <w:pPr>
        <w:pStyle w:val="SuperHeading"/>
      </w:pPr>
      <w:r w:rsidRPr="00C457AC">
        <w:t>Assessment Requirements for SFIAQU403 Manage water quality and environmental monitoring in enclosed systems</w:t>
      </w:r>
    </w:p>
    <w:p w:rsidR="00000000" w:rsidRPr="00C457AC" w:rsidP="00C457AC">
      <w:pPr>
        <w:pStyle w:val="Heading1"/>
      </w:pPr>
      <w:bookmarkStart w:id="9" w:name="O_1035928"/>
      <w:bookmarkEnd w:id="9"/>
      <w:r w:rsidRPr="00C457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Bold"/>
              <w:rPr>
                <w:lang w:val="en-NZ"/>
              </w:rPr>
            </w:pPr>
            <w:r w:rsidRPr="00C457AC">
              <w:t>Comments</w:t>
            </w:r>
          </w:p>
        </w:tc>
      </w:tr>
      <w:tr w:rsidTr="00C45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AC">
            <w:pPr>
              <w:pStyle w:val="BodyText"/>
              <w:rPr>
                <w:lang w:val="en-NZ"/>
              </w:rPr>
            </w:pPr>
            <w:r w:rsidRPr="00C457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AC" w:rsidP="00C457AC">
            <w:pPr>
              <w:pStyle w:val="BodyText"/>
            </w:pPr>
            <w:r w:rsidRPr="00C457AC">
              <w:t>This version released with SFI Seaf</w:t>
            </w:r>
            <w:r w:rsidRPr="00C457AC">
              <w:t>ood Industry Training Package Version 1.0.</w:t>
            </w:r>
          </w:p>
        </w:tc>
      </w:tr>
    </w:tbl>
    <w:p w:rsidR="00000000" w:rsidRPr="00C457AC" w:rsidP="00C457AC">
      <w:pPr>
        <w:pStyle w:val="BodyText"/>
      </w:pP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10" w:name="O_1035929"/>
      <w:bookmarkEnd w:id="10"/>
      <w:r w:rsidRPr="00C457AC">
        <w:t>Performance Evidence</w:t>
      </w:r>
    </w:p>
    <w:p w:rsidR="00000000" w:rsidRPr="00C457AC" w:rsidP="00815007">
      <w:pPr>
        <w:pStyle w:val="BodyText"/>
      </w:pPr>
      <w:r w:rsidRPr="00C457AC">
        <w:t xml:space="preserve">An individual demonstrating competency must satisfy all of the elements and performance criteria in this unit. </w:t>
      </w:r>
    </w:p>
    <w:p w:rsidR="00000000" w:rsidRPr="00C457AC" w:rsidP="00815007">
      <w:pPr>
        <w:pStyle w:val="BodyText"/>
      </w:pPr>
      <w:r w:rsidRPr="00C457AC">
        <w:t>There must be evidence that the individual has developed an</w:t>
      </w:r>
      <w:r w:rsidRPr="00C457AC">
        <w:t>d managed a water quality and environmental monitoring program for an enclosed system on at least one occasion, including:</w:t>
      </w:r>
    </w:p>
    <w:p w:rsidR="00000000" w:rsidRPr="00C457AC" w:rsidP="00C457AC">
      <w:pPr>
        <w:pStyle w:val="ListBullet"/>
      </w:pPr>
      <w:r w:rsidRPr="00C457AC">
        <w:t>developing the monitoring schedule and procedures for routine monitoring</w:t>
      </w:r>
    </w:p>
    <w:p w:rsidR="00000000" w:rsidRPr="00C457AC" w:rsidP="00C457AC">
      <w:pPr>
        <w:pStyle w:val="ListBullet"/>
      </w:pPr>
      <w:r w:rsidRPr="00C457AC">
        <w:t>analysing and interpreting graphs and trends in data to det</w:t>
      </w:r>
      <w:r w:rsidRPr="00C457AC">
        <w:t>ermine required action for routine and non-routine data</w:t>
      </w:r>
    </w:p>
    <w:p w:rsidR="00000000" w:rsidRPr="00C457AC" w:rsidP="00C457AC">
      <w:pPr>
        <w:pStyle w:val="ListBullet"/>
      </w:pPr>
      <w:r w:rsidRPr="00C457AC">
        <w:t>implementing water quality and environmental management strategies based on analysis of data.</w:t>
      </w: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11" w:name="O_1035930"/>
      <w:bookmarkEnd w:id="11"/>
      <w:r w:rsidRPr="00C457AC">
        <w:t>Knowledge Evidence</w:t>
      </w:r>
    </w:p>
    <w:p w:rsidR="00000000" w:rsidRPr="00C457AC" w:rsidP="00815007">
      <w:pPr>
        <w:pStyle w:val="BodyText"/>
      </w:pPr>
      <w:r w:rsidRPr="00C457AC">
        <w:t>An individual must be able to demonstrate the knowledge required to perform the tasks outlined in the elements and performance criteria of this unit. This includes knowledge of:</w:t>
      </w:r>
    </w:p>
    <w:p w:rsidR="00000000" w:rsidRPr="00C457AC" w:rsidP="00C457AC">
      <w:pPr>
        <w:pStyle w:val="ListBullet"/>
      </w:pPr>
      <w:r w:rsidRPr="00C457AC">
        <w:t>purpose of a water quality management program</w:t>
      </w:r>
    </w:p>
    <w:p w:rsidR="00000000" w:rsidRPr="00C457AC" w:rsidP="00C457AC">
      <w:pPr>
        <w:pStyle w:val="ListBullet"/>
      </w:pPr>
      <w:r w:rsidRPr="00C457AC">
        <w:t>routine and non-routine water quality parameters</w:t>
      </w:r>
    </w:p>
    <w:p w:rsidR="00000000" w:rsidRPr="00C457AC" w:rsidP="00C457AC">
      <w:pPr>
        <w:pStyle w:val="ListBullet"/>
      </w:pPr>
      <w:r w:rsidRPr="00C457AC">
        <w:t>water chemistry and interaction between parameters</w:t>
      </w:r>
    </w:p>
    <w:p w:rsidR="00000000" w:rsidRPr="00C457AC" w:rsidP="00C457AC">
      <w:pPr>
        <w:pStyle w:val="ListBullet"/>
      </w:pPr>
      <w:r w:rsidRPr="00C457AC">
        <w:t>interaction between stock, water chemistry and aquaculture practices</w:t>
      </w:r>
    </w:p>
    <w:p w:rsidR="00000000" w:rsidRPr="00C457AC" w:rsidP="00C457AC">
      <w:pPr>
        <w:pStyle w:val="ListBullet"/>
      </w:pPr>
      <w:r w:rsidRPr="00C457AC">
        <w:t xml:space="preserve">types, features and purpose of a range of monitoring equipment used for managing water </w:t>
      </w:r>
      <w:r w:rsidRPr="00C457AC">
        <w:t>quality and environmental monitoring</w:t>
      </w:r>
    </w:p>
    <w:p w:rsidR="00000000" w:rsidRPr="00C457AC" w:rsidP="00C457AC">
      <w:pPr>
        <w:pStyle w:val="ListBullet"/>
      </w:pPr>
      <w:r w:rsidRPr="00C457AC">
        <w:t>procedures for collecting, storing, retrieving and communicating data</w:t>
      </w:r>
    </w:p>
    <w:p w:rsidR="00000000" w:rsidRPr="00C457AC" w:rsidP="00C457AC">
      <w:pPr>
        <w:pStyle w:val="ListBullet"/>
      </w:pPr>
      <w:r w:rsidRPr="00C457AC">
        <w:t>procedures for verifying data and rectifying mistakes</w:t>
      </w:r>
    </w:p>
    <w:p w:rsidR="00000000" w:rsidRPr="00C457AC" w:rsidP="00C457AC">
      <w:pPr>
        <w:pStyle w:val="ListBullet"/>
      </w:pPr>
      <w:r w:rsidRPr="00C457AC">
        <w:t>options for presenting and displaying data.</w:t>
      </w:r>
    </w:p>
    <w:p w:rsidR="00000000" w:rsidRPr="00C457AC" w:rsidP="00C457AC">
      <w:pPr>
        <w:pStyle w:val="AllowPageBreak"/>
      </w:pPr>
    </w:p>
    <w:p w:rsidR="00000000" w:rsidRPr="00C457AC" w:rsidP="00C457AC">
      <w:pPr>
        <w:pStyle w:val="Heading1"/>
      </w:pPr>
      <w:bookmarkStart w:id="12" w:name="O_1035931"/>
      <w:bookmarkEnd w:id="12"/>
      <w:r w:rsidRPr="00C457AC">
        <w:t>Assessment Conditions</w:t>
      </w:r>
    </w:p>
    <w:p w:rsidR="00000000" w:rsidRPr="00C457AC" w:rsidP="00815007">
      <w:pPr>
        <w:pStyle w:val="BodyText"/>
      </w:pPr>
      <w:r w:rsidRPr="00C457AC">
        <w:t>Assessment</w:t>
      </w:r>
      <w:r w:rsidRPr="00C457AC">
        <w:t xml:space="preserve"> of skills must take place under the following conditions: </w:t>
      </w:r>
    </w:p>
    <w:p w:rsidR="00000000" w:rsidRPr="00C457AC" w:rsidP="00C457AC">
      <w:pPr>
        <w:pStyle w:val="ListBullet"/>
      </w:pPr>
      <w:r w:rsidRPr="00C457AC">
        <w:t>physical conditions:</w:t>
      </w:r>
    </w:p>
    <w:p w:rsidR="00000000" w:rsidRPr="00C457AC" w:rsidP="00C457AC">
      <w:pPr>
        <w:pStyle w:val="ListBullet2"/>
      </w:pPr>
      <w:r w:rsidRPr="00C457AC">
        <w:t>skills must be demonstrated in an aquaculture facility or an environment that accurately represents workplace conditions</w:t>
      </w:r>
    </w:p>
    <w:p w:rsidR="00000000" w:rsidRPr="00C457AC" w:rsidP="00C457AC">
      <w:pPr>
        <w:pStyle w:val="ListBullet"/>
      </w:pPr>
      <w:r w:rsidRPr="00C457AC">
        <w:t>resources, equipment and materials:</w:t>
      </w:r>
    </w:p>
    <w:p w:rsidR="00000000" w:rsidRPr="00C457AC" w:rsidP="00C457AC">
      <w:pPr>
        <w:pStyle w:val="ListBullet2"/>
      </w:pPr>
      <w:r w:rsidRPr="00C457AC">
        <w:t>measuring and testing equipment</w:t>
      </w:r>
    </w:p>
    <w:p w:rsidR="00000000" w:rsidRPr="00C457AC" w:rsidP="00C457AC">
      <w:pPr>
        <w:pStyle w:val="ListBullet2"/>
      </w:pPr>
      <w:r w:rsidRPr="00C457AC">
        <w:t>data sets and records to analyse</w:t>
      </w:r>
    </w:p>
    <w:p w:rsidR="00000000" w:rsidRPr="00C457AC" w:rsidP="00C457AC">
      <w:pPr>
        <w:pStyle w:val="ListBullet2"/>
      </w:pPr>
      <w:r w:rsidRPr="00C457AC">
        <w:t>technology for recording and presenting data</w:t>
      </w:r>
    </w:p>
    <w:p w:rsidR="00000000" w:rsidRPr="00C457AC" w:rsidP="00C457AC">
      <w:pPr>
        <w:pStyle w:val="ListBullet2"/>
      </w:pPr>
      <w:r w:rsidRPr="00C457AC">
        <w:t>workplace forms or records</w:t>
      </w:r>
    </w:p>
    <w:p w:rsidR="00000000" w:rsidRPr="00C457AC" w:rsidP="00C457AC">
      <w:pPr>
        <w:pStyle w:val="ListBullet"/>
      </w:pPr>
      <w:r w:rsidRPr="00C457AC">
        <w:t>specifications:</w:t>
      </w:r>
    </w:p>
    <w:p w:rsidR="00000000" w:rsidRPr="00C457AC" w:rsidP="00C457AC">
      <w:pPr>
        <w:pStyle w:val="ListBullet2"/>
      </w:pPr>
      <w:r w:rsidRPr="00C457AC">
        <w:t>workplace procedures for management of water quality and environmental monitoring of culture or holdi</w:t>
      </w:r>
      <w:r w:rsidRPr="00C457AC">
        <w:t>ng water.</w:t>
      </w:r>
    </w:p>
    <w:p w:rsidR="00000000" w:rsidRPr="00C457AC" w:rsidP="00815007">
      <w:pPr>
        <w:pStyle w:val="BodyText"/>
      </w:pPr>
      <w:r w:rsidRPr="00C457AC">
        <w:t>Assessors of this unit must satisfy the requirements for assessors in applicable vocational education and training legislation, frameworks and/or standards.</w:t>
      </w:r>
    </w:p>
    <w:p w:rsidR="00000000" w:rsidRPr="00C457AC" w:rsidP="00C457AC">
      <w:pPr>
        <w:pStyle w:val="Heading1"/>
      </w:pPr>
      <w:bookmarkStart w:id="13" w:name="O_1035934"/>
      <w:bookmarkEnd w:id="13"/>
      <w:r w:rsidRPr="00C457AC">
        <w:t>Links</w:t>
      </w:r>
    </w:p>
    <w:p w:rsidR="00000000" w:rsidRPr="00C457AC" w:rsidP="00815007">
      <w:pPr>
        <w:pStyle w:val="BodyText"/>
      </w:pPr>
      <w:r w:rsidRPr="00C457AC">
        <w:t>Companion Volumes, including Implementation Guides, are availabl</w:t>
      </w:r>
      <w:r w:rsidRPr="00C457AC">
        <w:t xml:space="preserve">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1385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457AC" w:rsidP="00C457AC"/>
    <w:sectPr w:rsidSect="00C457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 w:rsidRPr="00815007" w:rsidP="008150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07" w:rsidP="00C45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007" w:rsidP="00C45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5007" w:rsidP="00C457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 w:rsidP="00C45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5007">
      <w:t>Approved</w:t>
    </w:r>
    <w:r w:rsidR="008150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50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5007">
      <w:rPr>
        <w:noProof/>
      </w:rPr>
      <w:t>4</w:t>
    </w:r>
    <w:r>
      <w:rPr>
        <w:noProof/>
      </w:rPr>
      <w:fldChar w:fldCharType="end"/>
    </w:r>
  </w:p>
  <w:p w:rsidR="00C457AC" w:rsidP="00C45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50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5007">
      <w:t>Skills Insight</w:t>
    </w:r>
    <w:r w:rsidR="00815007">
      <w:fldChar w:fldCharType="end"/>
    </w:r>
  </w:p>
  <w:p w:rsidR="00C457AC" w:rsidP="00C45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7AC" w:rsidRPr="00815007" w:rsidP="008150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007" w:rsidRPr="002D2AF8" w:rsidP="00C45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SFIAQU403 Manage water quality and environmental monitoring in enclosed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5007" w:rsidP="00C457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AC" w:rsidRPr="002D2AF8" w:rsidP="00C45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5007">
      <w:t>SFIAQU403 Manage water quality and environmental monitoring in enclosed systems</w:t>
    </w:r>
    <w:r w:rsidR="008150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5007">
      <w:rPr>
        <w:noProof/>
      </w:rPr>
      <w:t>2 March 2025</w:t>
    </w:r>
    <w:r>
      <w:fldChar w:fldCharType="end"/>
    </w:r>
  </w:p>
  <w:p w:rsidR="00C457AC" w:rsidP="00C45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0C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EA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F23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7AC"/>
  </w:style>
  <w:style w:type="character" w:customStyle="1" w:styleId="Heading1Char">
    <w:name w:val="Heading 1 Char"/>
    <w:basedOn w:val="DefaultParagraphFont"/>
    <w:link w:val="Heading1"/>
    <w:rsid w:val="00C45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7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57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7AC"/>
    <w:rPr>
      <w:i/>
    </w:rPr>
  </w:style>
  <w:style w:type="paragraph" w:customStyle="1" w:styleId="SuperHeading">
    <w:name w:val="SuperHeading"/>
    <w:basedOn w:val="Normal"/>
    <w:rsid w:val="00C45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57AC"/>
    <w:rPr>
      <w:b/>
    </w:rPr>
  </w:style>
  <w:style w:type="character" w:customStyle="1" w:styleId="Heading2Char">
    <w:name w:val="Heading 2 Char"/>
    <w:basedOn w:val="DefaultParagraphFont"/>
    <w:link w:val="Heading2"/>
    <w:rsid w:val="00C45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7AC"/>
    <w:rPr>
      <w:b/>
      <w:spacing w:val="0"/>
    </w:rPr>
  </w:style>
  <w:style w:type="paragraph" w:customStyle="1" w:styleId="SuperTitle">
    <w:name w:val="SuperTitle"/>
    <w:basedOn w:val="Title"/>
    <w:rsid w:val="00C45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7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7AC"/>
  </w:style>
  <w:style w:type="paragraph" w:styleId="TableofFigures">
    <w:name w:val="table of figures"/>
    <w:basedOn w:val="Normal"/>
    <w:next w:val="Normal"/>
    <w:semiHidden/>
    <w:rsid w:val="00C45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7AC"/>
    <w:rPr>
      <w:rFonts w:ascii="Wingdings" w:hAnsi="Wingdings"/>
    </w:rPr>
  </w:style>
  <w:style w:type="paragraph" w:customStyle="1" w:styleId="TableHeading">
    <w:name w:val="Table Heading"/>
    <w:basedOn w:val="HeadingBase"/>
    <w:rsid w:val="00C45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7AC"/>
    <w:rPr>
      <w:color w:val="0033CC"/>
      <w:u w:val="none"/>
    </w:rPr>
  </w:style>
  <w:style w:type="paragraph" w:customStyle="1" w:styleId="BodyTextRight">
    <w:name w:val="Body Text Right"/>
    <w:basedOn w:val="BodyText"/>
    <w:rsid w:val="00C45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7AC"/>
    <w:rPr>
      <w:sz w:val="32"/>
    </w:rPr>
  </w:style>
  <w:style w:type="paragraph" w:customStyle="1" w:styleId="HeadingProcedure">
    <w:name w:val="Heading Procedure"/>
    <w:basedOn w:val="HeadingBase"/>
    <w:next w:val="Normal"/>
    <w:rsid w:val="00C45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7AC"/>
    <w:pPr>
      <w:spacing w:before="60" w:after="60"/>
    </w:pPr>
  </w:style>
  <w:style w:type="paragraph" w:styleId="ListContinue">
    <w:name w:val="List Continue"/>
    <w:basedOn w:val="List"/>
    <w:rsid w:val="00C457AC"/>
    <w:pPr>
      <w:ind w:firstLine="0"/>
    </w:pPr>
  </w:style>
  <w:style w:type="paragraph" w:customStyle="1" w:styleId="ListNote">
    <w:name w:val="List Note"/>
    <w:basedOn w:val="List"/>
    <w:rsid w:val="00C45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7AC"/>
    <w:rPr>
      <w:rFonts w:ascii="Courier New" w:hAnsi="Courier New"/>
    </w:rPr>
  </w:style>
  <w:style w:type="paragraph" w:customStyle="1" w:styleId="NoteBullet">
    <w:name w:val="Note Bullet"/>
    <w:basedOn w:val="Note"/>
    <w:rsid w:val="00C45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7AC"/>
    <w:rPr>
      <w:b/>
      <w:smallCaps/>
    </w:rPr>
  </w:style>
  <w:style w:type="paragraph" w:customStyle="1" w:styleId="TableListNumber">
    <w:name w:val="Table List Number"/>
    <w:basedOn w:val="ListNumber"/>
    <w:rsid w:val="00C45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7AC"/>
    <w:pPr>
      <w:numPr>
        <w:numId w:val="9"/>
      </w:numPr>
    </w:pPr>
  </w:style>
  <w:style w:type="paragraph" w:customStyle="1" w:styleId="ListAlpha2">
    <w:name w:val="List Alpha 2"/>
    <w:basedOn w:val="List2"/>
    <w:rsid w:val="00C457AC"/>
    <w:pPr>
      <w:numPr>
        <w:numId w:val="8"/>
      </w:numPr>
    </w:pPr>
  </w:style>
  <w:style w:type="paragraph" w:styleId="List2">
    <w:name w:val="List 2"/>
    <w:basedOn w:val="BodyText"/>
    <w:rsid w:val="00C45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7AC"/>
    <w:pPr>
      <w:numPr>
        <w:numId w:val="4"/>
      </w:numPr>
    </w:pPr>
  </w:style>
  <w:style w:type="paragraph" w:styleId="ListContinue2">
    <w:name w:val="List Continue 2"/>
    <w:basedOn w:val="List2"/>
    <w:rsid w:val="00C457AC"/>
    <w:pPr>
      <w:ind w:firstLine="0"/>
    </w:pPr>
  </w:style>
  <w:style w:type="paragraph" w:styleId="ListContinue3">
    <w:name w:val="List Continue 3"/>
    <w:basedOn w:val="List3"/>
    <w:rsid w:val="00C457AC"/>
    <w:pPr>
      <w:ind w:left="1021" w:firstLine="0"/>
    </w:pPr>
  </w:style>
  <w:style w:type="paragraph" w:styleId="ListContinue4">
    <w:name w:val="List Continue 4"/>
    <w:basedOn w:val="List4"/>
    <w:rsid w:val="00C457AC"/>
    <w:pPr>
      <w:ind w:firstLine="0"/>
    </w:pPr>
  </w:style>
  <w:style w:type="paragraph" w:styleId="ListContinue5">
    <w:name w:val="List Continue 5"/>
    <w:basedOn w:val="List5"/>
    <w:rsid w:val="00C457AC"/>
    <w:pPr>
      <w:ind w:firstLine="0"/>
    </w:pPr>
  </w:style>
  <w:style w:type="paragraph" w:styleId="ListNumber3">
    <w:name w:val="List Number 3"/>
    <w:basedOn w:val="List3"/>
    <w:rsid w:val="00C457AC"/>
    <w:pPr>
      <w:numPr>
        <w:numId w:val="5"/>
      </w:numPr>
    </w:pPr>
  </w:style>
  <w:style w:type="paragraph" w:styleId="ListNumber4">
    <w:name w:val="List Number 4"/>
    <w:basedOn w:val="List4"/>
    <w:rsid w:val="00C457AC"/>
    <w:pPr>
      <w:numPr>
        <w:numId w:val="6"/>
      </w:numPr>
    </w:pPr>
  </w:style>
  <w:style w:type="paragraph" w:styleId="ListNumber5">
    <w:name w:val="List Number 5"/>
    <w:basedOn w:val="List5"/>
    <w:rsid w:val="00C457AC"/>
    <w:pPr>
      <w:numPr>
        <w:numId w:val="7"/>
      </w:numPr>
    </w:pPr>
  </w:style>
  <w:style w:type="paragraph" w:styleId="BlockText">
    <w:name w:val="Block Text"/>
    <w:basedOn w:val="Normal"/>
    <w:rsid w:val="00C45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7AC"/>
    <w:rPr>
      <w:sz w:val="16"/>
      <w:vertAlign w:val="superscript"/>
    </w:rPr>
  </w:style>
  <w:style w:type="character" w:customStyle="1" w:styleId="Symbols">
    <w:name w:val="Symbols"/>
    <w:basedOn w:val="DefaultParagraphFont"/>
    <w:rsid w:val="00C457AC"/>
    <w:rPr>
      <w:rFonts w:ascii="Symbol" w:hAnsi="Symbol"/>
    </w:rPr>
  </w:style>
  <w:style w:type="character" w:customStyle="1" w:styleId="MenuOptions">
    <w:name w:val="Menu Options"/>
    <w:basedOn w:val="DefaultParagraphFont"/>
    <w:rsid w:val="00C45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7AC"/>
    <w:rPr>
      <w:b/>
    </w:rPr>
  </w:style>
  <w:style w:type="character" w:customStyle="1" w:styleId="Underlined">
    <w:name w:val="Underlined"/>
    <w:basedOn w:val="DefaultParagraphFont"/>
    <w:rsid w:val="00C457AC"/>
    <w:rPr>
      <w:u w:val="single"/>
    </w:rPr>
  </w:style>
  <w:style w:type="paragraph" w:customStyle="1" w:styleId="TableBodyTextRight">
    <w:name w:val="Table Body Text Right"/>
    <w:basedOn w:val="TableBodyText"/>
    <w:rsid w:val="00C45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7AC"/>
    <w:rPr>
      <w:sz w:val="18"/>
    </w:rPr>
  </w:style>
  <w:style w:type="paragraph" w:customStyle="1" w:styleId="BodySmallRight">
    <w:name w:val="Body Small Right"/>
    <w:basedOn w:val="BodyTextRight"/>
    <w:rsid w:val="00C457AC"/>
    <w:rPr>
      <w:sz w:val="18"/>
      <w:szCs w:val="18"/>
    </w:rPr>
  </w:style>
  <w:style w:type="paragraph" w:customStyle="1" w:styleId="MarginEdition">
    <w:name w:val="Margin Edition"/>
    <w:basedOn w:val="MarginNote"/>
    <w:rsid w:val="00C45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7AC"/>
    <w:rPr>
      <w:sz w:val="2"/>
      <w:szCs w:val="2"/>
    </w:rPr>
  </w:style>
  <w:style w:type="character" w:customStyle="1" w:styleId="Small">
    <w:name w:val="Small"/>
    <w:basedOn w:val="DefaultParagraphFont"/>
    <w:rsid w:val="00C457AC"/>
    <w:rPr>
      <w:sz w:val="16"/>
    </w:rPr>
  </w:style>
  <w:style w:type="paragraph" w:customStyle="1" w:styleId="WideTable">
    <w:name w:val="Wide Table"/>
    <w:basedOn w:val="Normal"/>
    <w:rsid w:val="00C45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7AC"/>
  </w:style>
  <w:style w:type="paragraph" w:styleId="Quote">
    <w:name w:val="Quote"/>
    <w:basedOn w:val="Heading1"/>
    <w:link w:val="QuoteChar"/>
    <w:qFormat/>
    <w:rsid w:val="00C45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7AC"/>
    <w:pPr>
      <w:pageBreakBefore/>
    </w:pPr>
  </w:style>
  <w:style w:type="paragraph" w:customStyle="1" w:styleId="Border">
    <w:name w:val="Border"/>
    <w:basedOn w:val="Normal"/>
    <w:qFormat/>
    <w:rsid w:val="00C45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7AC"/>
    <w:rPr>
      <w:u w:val="single"/>
    </w:rPr>
  </w:style>
  <w:style w:type="character" w:customStyle="1" w:styleId="BoldandItalics">
    <w:name w:val="Bold and Italics"/>
    <w:qFormat/>
    <w:rsid w:val="00C457AC"/>
    <w:rPr>
      <w:b/>
      <w:i/>
      <w:u w:val="none"/>
    </w:rPr>
  </w:style>
  <w:style w:type="paragraph" w:styleId="BalloonText">
    <w:name w:val="Balloon Text"/>
    <w:basedOn w:val="Normal"/>
    <w:link w:val="BalloonTextChar"/>
    <w:rsid w:val="00C45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7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50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5862</Characters>
  <Application>Microsoft Office Word</Application>
  <DocSecurity>0</DocSecurity>
  <Lines>202</Lines>
  <Paragraphs>122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SFIAQU403 Manage water quality and environmental monitoring in enclosed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