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D87" w:rsidP="00BA1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SFIAQU305 Monitor harvest and post-harvest activities</w:t>
      </w:r>
      <w:r>
        <w:fldChar w:fldCharType="end"/>
      </w:r>
    </w:p>
    <w:p w:rsidR="00BA1D87" w:rsidP="00BA1D87">
      <w:pPr>
        <w:pStyle w:val="Version"/>
        <w:sectPr w:rsidSect="00BB5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5092" w:rsidP="00BB5092">
      <w:pPr>
        <w:pStyle w:val="SuperHeading"/>
      </w:pPr>
      <w:r w:rsidRPr="00BB5092">
        <w:t>SFIAQU305 Monitor harvest and post-harvest activities</w:t>
      </w:r>
    </w:p>
    <w:p w:rsidR="00000000" w:rsidRPr="00BB5092" w:rsidP="00BB5092">
      <w:pPr>
        <w:pStyle w:val="Heading1"/>
      </w:pPr>
      <w:bookmarkStart w:id="1" w:name="O_1099508"/>
      <w:bookmarkEnd w:id="1"/>
      <w:r w:rsidRPr="00BB5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Comments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This version released with SFI Seafood Industry Training Package Version 2.0.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This version released with SFI Seafood Industry Training Package Version 1.0.</w:t>
            </w:r>
          </w:p>
        </w:tc>
      </w:tr>
    </w:tbl>
    <w:p w:rsidR="00000000" w:rsidRPr="00BB5092" w:rsidP="00BB5092">
      <w:pPr>
        <w:pStyle w:val="BodyText"/>
      </w:pPr>
    </w:p>
    <w:p w:rsidR="00000000" w:rsidRPr="00BB5092" w:rsidP="00BB5092">
      <w:pPr>
        <w:pStyle w:val="AllowPageBreak"/>
      </w:pPr>
    </w:p>
    <w:p w:rsidR="00000000" w:rsidRPr="00BB5092" w:rsidP="00BB5092">
      <w:pPr>
        <w:pStyle w:val="Heading1"/>
      </w:pPr>
      <w:bookmarkStart w:id="2" w:name="O_1099507"/>
      <w:bookmarkEnd w:id="2"/>
      <w:r w:rsidRPr="00BB5092">
        <w:t>A</w:t>
      </w:r>
      <w:r w:rsidRPr="00BB5092">
        <w:t>pplication</w:t>
      </w:r>
    </w:p>
    <w:p w:rsidR="00000000" w:rsidRPr="00BB5092" w:rsidP="00BA1D87">
      <w:pPr>
        <w:pStyle w:val="BodyText"/>
      </w:pPr>
      <w:r w:rsidRPr="00BB5092">
        <w:t>This unit of competency describes the skills and knowledge required to plan and monitor the harvesting and basic post-harvest activities of aquatic cultured or held stock.</w:t>
      </w:r>
    </w:p>
    <w:p w:rsidR="00000000" w:rsidRPr="00BB5092" w:rsidP="00BA1D87">
      <w:pPr>
        <w:pStyle w:val="BodyText"/>
      </w:pPr>
      <w:r w:rsidRPr="00BB5092">
        <w:t>The unit applies to individuals who are responsible for harvest and post-</w:t>
      </w:r>
      <w:r w:rsidRPr="00BB5092">
        <w:t>harvest activities in an aquaculture environment, working under broad direction.</w:t>
      </w:r>
    </w:p>
    <w:p w:rsidR="00000000" w:rsidRPr="00BB5092" w:rsidP="00BA1D87">
      <w:pPr>
        <w:pStyle w:val="BodyText"/>
      </w:pPr>
      <w:r w:rsidRPr="00BB5092">
        <w:t>All work must be carried out to comply with workplace procedures, according to state/territory health and safety, food safety, biosecurity and environmental regulations, legislation and standards that apply to the workplace. Licences may be required if ope</w:t>
      </w:r>
      <w:r w:rsidRPr="00BB5092">
        <w:t>rating load-shifting equipment, vehicles or vessels.</w:t>
      </w:r>
    </w:p>
    <w:p w:rsidR="00000000" w:rsidRPr="00BB5092" w:rsidP="00BA1D87">
      <w:pPr>
        <w:pStyle w:val="BodyText"/>
      </w:pPr>
      <w:r w:rsidRPr="00BB5092">
        <w:t>No licensing, legislative or certification requirements apply to this unit at the time of publication.</w:t>
      </w:r>
    </w:p>
    <w:p w:rsidR="00000000" w:rsidRPr="00BB5092" w:rsidP="00BB5092">
      <w:pPr>
        <w:pStyle w:val="Heading1"/>
      </w:pPr>
      <w:bookmarkStart w:id="3" w:name="O_1099506"/>
      <w:bookmarkEnd w:id="3"/>
      <w:r w:rsidRPr="00BB5092">
        <w:t>Pre-requisite Unit</w:t>
      </w:r>
    </w:p>
    <w:p w:rsidR="00000000" w:rsidRPr="00BB5092" w:rsidP="00BA1D87">
      <w:pPr>
        <w:pStyle w:val="BodyText"/>
      </w:pPr>
      <w:r w:rsidRPr="00BB5092">
        <w:t>Nil</w:t>
      </w:r>
    </w:p>
    <w:p w:rsidR="00000000" w:rsidRPr="00BB5092" w:rsidP="00BB5092">
      <w:pPr>
        <w:pStyle w:val="Heading1"/>
      </w:pPr>
      <w:bookmarkStart w:id="4" w:name="O_1099505"/>
      <w:bookmarkEnd w:id="4"/>
      <w:r w:rsidRPr="00BB5092">
        <w:t>Unit Sector</w:t>
      </w:r>
    </w:p>
    <w:p w:rsidR="00000000" w:rsidRPr="00BB5092" w:rsidP="00BA1D87">
      <w:pPr>
        <w:pStyle w:val="BodyText"/>
      </w:pPr>
      <w:r w:rsidRPr="00BB5092">
        <w:t>Aquaculture (AQU)</w:t>
      </w:r>
    </w:p>
    <w:p w:rsidR="00000000" w:rsidRPr="00BB5092" w:rsidP="00BB5092">
      <w:pPr>
        <w:pStyle w:val="Heading1"/>
      </w:pPr>
      <w:bookmarkStart w:id="5" w:name="O_1099504"/>
      <w:bookmarkEnd w:id="5"/>
      <w:r w:rsidRPr="00BB50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Performance Criteria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 xml:space="preserve">1. Plan for basic harvest </w:t>
            </w:r>
            <w:r w:rsidRPr="00BB5092">
              <w:t>and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1.1 Interpret harvest specifications and confirm with supervisor</w:t>
            </w:r>
          </w:p>
          <w:p w:rsidR="00000000" w:rsidRPr="00BB5092" w:rsidP="00BB5092">
            <w:pPr>
              <w:pStyle w:val="BodyText"/>
            </w:pPr>
            <w:r w:rsidRPr="00BB5092">
              <w:t>1.2 Confirm availability of suitable stock for harvest</w:t>
            </w:r>
          </w:p>
          <w:p w:rsidR="00000000" w:rsidRPr="00BB5092" w:rsidP="00BB5092">
            <w:pPr>
              <w:pStyle w:val="BodyText"/>
            </w:pPr>
            <w:r w:rsidRPr="00BB5092">
              <w:t>1.3 Determine resource requirements to achieve harvest specifications</w:t>
            </w:r>
          </w:p>
          <w:p w:rsidR="00000000" w:rsidRPr="00BB5092" w:rsidP="00BB5092">
            <w:pPr>
              <w:pStyle w:val="BodyText"/>
            </w:pPr>
            <w:r w:rsidRPr="00BB5092">
              <w:t>1.4 Identify</w:t>
            </w:r>
            <w:r w:rsidRPr="00BB5092">
              <w:t xml:space="preserve"> risk factors that could affect the quality of stock during harvest, and plan to minimise risk</w:t>
            </w:r>
          </w:p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1.5 Plan and communicate workplace harvesting procedures and safety precautions with team members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2. Organise harvest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2.1 Access required resources, i</w:t>
            </w:r>
            <w:r w:rsidRPr="00BB5092">
              <w:t>ncluding equipment or technology and personal protective equipment (PPE), and check for serviceability</w:t>
            </w:r>
          </w:p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2.2 Ensure holding structures are prepared prior to harvesting activities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3. Monitor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 xml:space="preserve">3.1 Position equipment or technology and operate according </w:t>
            </w:r>
            <w:r w:rsidRPr="00BB5092">
              <w:t>to workplace and health and safety requirements</w:t>
            </w:r>
          </w:p>
          <w:p w:rsidR="00000000" w:rsidRPr="00BB5092" w:rsidP="00BB5092">
            <w:pPr>
              <w:pStyle w:val="BodyText"/>
            </w:pPr>
            <w:r w:rsidRPr="00BB5092">
              <w:t>3.2 Monitor harvesting activities, ensuring consistency with harvest specifications and minimal stress or damage to stock according to aquatic animal welfare guidelines</w:t>
            </w:r>
          </w:p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3.3 Confirm harvested stock complies wi</w:t>
            </w:r>
            <w:r w:rsidRPr="00BB5092">
              <w:t>th harvest specifications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4. Monitor on-farm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4.1 Monitor on-farm post-harvest activities to ensure consistency with harvest specifications</w:t>
            </w:r>
          </w:p>
          <w:p w:rsidR="00000000" w:rsidRPr="00BB5092" w:rsidP="00BB5092">
            <w:pPr>
              <w:pStyle w:val="BodyText"/>
            </w:pPr>
            <w:r w:rsidRPr="00BB5092">
              <w:t>4.2 Monitor packing, ensuring minimal stock stress or damage</w:t>
            </w:r>
          </w:p>
          <w:p w:rsidR="00000000" w:rsidRPr="00BB5092" w:rsidP="00BB5092">
            <w:pPr>
              <w:pStyle w:val="BodyText"/>
            </w:pPr>
            <w:r w:rsidRPr="00BB5092">
              <w:t>4.3 Ensure shipment is collected and appropriate workplace documentation is completed</w:t>
            </w:r>
          </w:p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4.4 Maintain storage facilities for product according to workplace procedures</w:t>
            </w:r>
          </w:p>
        </w:tc>
      </w:tr>
      <w:tr w:rsidTr="00BA1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5. Monitor follow-up activities and review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5.1 Check cleaning of work area and d</w:t>
            </w:r>
            <w:r w:rsidRPr="00BB5092">
              <w:t>isposal of waste materials are completed according to workplace procedures</w:t>
            </w:r>
          </w:p>
          <w:p w:rsidR="00000000" w:rsidRPr="00BB5092" w:rsidP="00BB5092">
            <w:pPr>
              <w:pStyle w:val="BodyText"/>
            </w:pPr>
            <w:r w:rsidRPr="00BB5092">
              <w:t>5.2 Check condition, maintenance requirements and storage of tools and equipment or technology</w:t>
            </w:r>
          </w:p>
          <w:p w:rsidR="00000000" w:rsidRPr="00BB5092" w:rsidP="00BB5092">
            <w:pPr>
              <w:pStyle w:val="BodyText"/>
            </w:pPr>
            <w:r w:rsidRPr="00BB5092">
              <w:t>5.3 Record relevant harvest and post-harvest observations or information, and check an</w:t>
            </w:r>
            <w:r w:rsidRPr="00BB5092">
              <w:t>y abnormal records</w:t>
            </w:r>
          </w:p>
        </w:tc>
      </w:tr>
    </w:tbl>
    <w:p w:rsidR="00000000" w:rsidRPr="00BB5092" w:rsidP="00BB5092">
      <w:pPr>
        <w:pStyle w:val="BodyText"/>
      </w:pPr>
    </w:p>
    <w:p w:rsidR="00000000" w:rsidRPr="00BB5092" w:rsidP="00BB5092">
      <w:pPr>
        <w:pStyle w:val="AllowPageBreak"/>
      </w:pPr>
    </w:p>
    <w:p w:rsidR="00000000" w:rsidRPr="00BB5092" w:rsidP="00BB5092">
      <w:pPr>
        <w:pStyle w:val="Heading1"/>
      </w:pPr>
      <w:bookmarkStart w:id="6" w:name="O_1099503"/>
      <w:bookmarkEnd w:id="6"/>
      <w:r w:rsidRPr="00BB5092">
        <w:t>Foundation Skills</w:t>
      </w:r>
    </w:p>
    <w:p w:rsidR="00000000" w:rsidRPr="00BA1D87" w:rsidP="00BA1D87">
      <w:pPr>
        <w:pStyle w:val="BodyText"/>
        <w:rPr>
          <w:i/>
        </w:rPr>
      </w:pPr>
      <w:r w:rsidRPr="00BA1D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Description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ListBullet"/>
            </w:pPr>
            <w:r w:rsidRPr="00BB5092">
              <w:t>Interpret instructions for relevant equipment</w:t>
            </w:r>
          </w:p>
          <w:p w:rsidR="00000000" w:rsidP="00BB5092">
            <w:pPr>
              <w:pStyle w:val="ListBullet"/>
              <w:rPr>
                <w:lang w:val="en-NZ"/>
              </w:rPr>
            </w:pPr>
            <w:r w:rsidRPr="00BB5092">
              <w:t>Interpret labels and safety signs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ListBullet"/>
              <w:rPr>
                <w:lang w:val="en-NZ"/>
              </w:rPr>
            </w:pPr>
            <w:r w:rsidRPr="00BB5092">
              <w:t>Complete forms and reports legibly and accurately using correct technical terminology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ListBullet"/>
            </w:pPr>
            <w:r w:rsidRPr="00BB5092">
              <w:t>Use basic arithmetic to calculate size, grades, ranges and averages</w:t>
            </w:r>
          </w:p>
          <w:p w:rsidR="00000000" w:rsidP="00BB5092">
            <w:pPr>
              <w:pStyle w:val="ListBullet"/>
              <w:rPr>
                <w:lang w:val="en-NZ"/>
              </w:rPr>
            </w:pPr>
            <w:r w:rsidRPr="00BB5092">
              <w:t>Set and adjust measurement scale to calibrate equipment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ListBullet"/>
              <w:rPr>
                <w:lang w:val="en-NZ"/>
              </w:rPr>
            </w:pPr>
            <w:r w:rsidRPr="00BB5092">
              <w:t>Explain techniques to minimise damage and stress using language appropriate for audience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ListBullet"/>
            </w:pPr>
            <w:r w:rsidRPr="00BB5092">
              <w:t>Understand what to communicate, with whom and how, in routine work situations</w:t>
            </w:r>
          </w:p>
        </w:tc>
      </w:tr>
    </w:tbl>
    <w:p w:rsidR="00000000" w:rsidRPr="00BB5092" w:rsidP="00BB5092">
      <w:pPr>
        <w:pStyle w:val="BodyText"/>
      </w:pPr>
    </w:p>
    <w:p w:rsidR="00000000" w:rsidRPr="00BB5092" w:rsidP="00BB5092">
      <w:pPr>
        <w:pStyle w:val="AllowPageBreak"/>
      </w:pPr>
    </w:p>
    <w:p w:rsidR="00000000" w:rsidRPr="00BB5092" w:rsidP="00BB5092">
      <w:pPr>
        <w:pStyle w:val="Heading1"/>
      </w:pPr>
      <w:bookmarkStart w:id="7" w:name="O_1099502"/>
      <w:bookmarkEnd w:id="7"/>
      <w:r w:rsidRPr="00BB50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Bold"/>
              <w:rPr>
                <w:lang w:val="en-NZ"/>
              </w:rPr>
            </w:pPr>
            <w:r w:rsidRPr="00BB5092">
              <w:t>Equivalence status</w:t>
            </w:r>
          </w:p>
        </w:tc>
      </w:tr>
      <w:tr w:rsidTr="00BB5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SFIAQU305 Monitor harvest and post-harvest activities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SFIAQU305 Monitor harvest and post-harvest activities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092">
            <w:pPr>
              <w:pStyle w:val="BodyText"/>
              <w:rPr>
                <w:lang w:val="en-NZ"/>
              </w:rPr>
            </w:pPr>
            <w:r w:rsidRPr="00BB5092">
              <w:t>Minor update to performance criteria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092" w:rsidP="00BB5092">
            <w:pPr>
              <w:pStyle w:val="BodyText"/>
            </w:pPr>
            <w:r w:rsidRPr="00BB5092">
              <w:t>Equivalent</w:t>
            </w:r>
          </w:p>
        </w:tc>
      </w:tr>
    </w:tbl>
    <w:p w:rsidR="00000000" w:rsidRPr="00BB5092" w:rsidP="00BB5092">
      <w:pPr>
        <w:pStyle w:val="BodyText"/>
      </w:pPr>
    </w:p>
    <w:p w:rsidR="00000000" w:rsidRPr="00BB5092" w:rsidP="00BB5092">
      <w:pPr>
        <w:pStyle w:val="AllowPageBreak"/>
      </w:pPr>
    </w:p>
    <w:p w:rsidR="00000000" w:rsidRPr="00BB5092" w:rsidP="00BB5092">
      <w:pPr>
        <w:pStyle w:val="Heading1"/>
      </w:pPr>
      <w:bookmarkStart w:id="8" w:name="O_1099509"/>
      <w:bookmarkEnd w:id="8"/>
      <w:r w:rsidRPr="00BB5092">
        <w:t>Links</w:t>
      </w:r>
    </w:p>
    <w:p w:rsidR="00000000" w:rsidRPr="00BB5092" w:rsidP="00BA1D87">
      <w:pPr>
        <w:pStyle w:val="BodyText"/>
      </w:pPr>
      <w:r w:rsidRPr="00BB50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D6A9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B5092" w:rsidP="00BB5092"/>
    <w:sectPr w:rsidSect="00BB5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092" w:rsidRPr="00BA1D87" w:rsidP="00BA1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87" w:rsidP="00BB5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D87" w:rsidP="00BB5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1D87" w:rsidP="00BB5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092" w:rsidRPr="00BA1D87" w:rsidP="00BA1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87" w:rsidRPr="002D2AF8" w:rsidP="00BB5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SFIAQU305 Monitor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A1D87" w:rsidP="00BB5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142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8E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092"/>
  </w:style>
  <w:style w:type="character" w:customStyle="1" w:styleId="Heading1Char">
    <w:name w:val="Heading 1 Char"/>
    <w:basedOn w:val="DefaultParagraphFont"/>
    <w:link w:val="Heading1"/>
    <w:rsid w:val="00BB5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0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5092"/>
    <w:rPr>
      <w:i/>
    </w:rPr>
  </w:style>
  <w:style w:type="paragraph" w:customStyle="1" w:styleId="SuperHeading">
    <w:name w:val="SuperHeading"/>
    <w:basedOn w:val="Normal"/>
    <w:rsid w:val="00BB5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5092"/>
    <w:rPr>
      <w:b/>
    </w:rPr>
  </w:style>
  <w:style w:type="character" w:customStyle="1" w:styleId="Heading2Char">
    <w:name w:val="Heading 2 Char"/>
    <w:basedOn w:val="DefaultParagraphFont"/>
    <w:link w:val="Heading2"/>
    <w:rsid w:val="00BB5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092"/>
    <w:rPr>
      <w:b/>
      <w:spacing w:val="0"/>
    </w:rPr>
  </w:style>
  <w:style w:type="paragraph" w:customStyle="1" w:styleId="SuperTitle">
    <w:name w:val="SuperTitle"/>
    <w:basedOn w:val="Title"/>
    <w:rsid w:val="00BB5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0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0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092"/>
  </w:style>
  <w:style w:type="paragraph" w:styleId="TableofFigures">
    <w:name w:val="table of figures"/>
    <w:basedOn w:val="Normal"/>
    <w:next w:val="Normal"/>
    <w:semiHidden/>
    <w:rsid w:val="00BB5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0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5092"/>
    <w:rPr>
      <w:rFonts w:ascii="Wingdings" w:hAnsi="Wingdings"/>
    </w:rPr>
  </w:style>
  <w:style w:type="paragraph" w:customStyle="1" w:styleId="TableHeading">
    <w:name w:val="Table Heading"/>
    <w:basedOn w:val="HeadingBase"/>
    <w:rsid w:val="00BB5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092"/>
    <w:rPr>
      <w:color w:val="0033CC"/>
      <w:u w:val="none"/>
    </w:rPr>
  </w:style>
  <w:style w:type="paragraph" w:customStyle="1" w:styleId="BodyTextRight">
    <w:name w:val="Body Text Right"/>
    <w:basedOn w:val="BodyText"/>
    <w:rsid w:val="00BB5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0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092"/>
    <w:rPr>
      <w:sz w:val="32"/>
    </w:rPr>
  </w:style>
  <w:style w:type="paragraph" w:customStyle="1" w:styleId="HeadingProcedure">
    <w:name w:val="Heading Procedure"/>
    <w:basedOn w:val="HeadingBase"/>
    <w:next w:val="Normal"/>
    <w:rsid w:val="00BB5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092"/>
    <w:pPr>
      <w:spacing w:before="60" w:after="60"/>
    </w:pPr>
  </w:style>
  <w:style w:type="paragraph" w:styleId="ListContinue">
    <w:name w:val="List Continue"/>
    <w:basedOn w:val="List"/>
    <w:rsid w:val="00BB5092"/>
    <w:pPr>
      <w:ind w:firstLine="0"/>
    </w:pPr>
  </w:style>
  <w:style w:type="paragraph" w:customStyle="1" w:styleId="ListNote">
    <w:name w:val="List Note"/>
    <w:basedOn w:val="List"/>
    <w:rsid w:val="00BB5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092"/>
    <w:rPr>
      <w:rFonts w:ascii="Courier New" w:hAnsi="Courier New"/>
    </w:rPr>
  </w:style>
  <w:style w:type="paragraph" w:customStyle="1" w:styleId="NoteBullet">
    <w:name w:val="Note Bullet"/>
    <w:basedOn w:val="Note"/>
    <w:rsid w:val="00BB5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0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092"/>
    <w:rPr>
      <w:b/>
      <w:smallCaps/>
    </w:rPr>
  </w:style>
  <w:style w:type="paragraph" w:customStyle="1" w:styleId="TableListNumber">
    <w:name w:val="Table List Number"/>
    <w:basedOn w:val="ListNumber"/>
    <w:rsid w:val="00BB5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092"/>
    <w:pPr>
      <w:numPr>
        <w:numId w:val="8"/>
      </w:numPr>
    </w:pPr>
  </w:style>
  <w:style w:type="paragraph" w:customStyle="1" w:styleId="ListAlpha2">
    <w:name w:val="List Alpha 2"/>
    <w:basedOn w:val="List2"/>
    <w:rsid w:val="00BB5092"/>
    <w:pPr>
      <w:numPr>
        <w:numId w:val="7"/>
      </w:numPr>
    </w:pPr>
  </w:style>
  <w:style w:type="paragraph" w:styleId="List2">
    <w:name w:val="List 2"/>
    <w:basedOn w:val="BodyText"/>
    <w:rsid w:val="00BB5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0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0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5092"/>
    <w:pPr>
      <w:numPr>
        <w:numId w:val="3"/>
      </w:numPr>
    </w:pPr>
  </w:style>
  <w:style w:type="paragraph" w:styleId="ListContinue2">
    <w:name w:val="List Continue 2"/>
    <w:basedOn w:val="List2"/>
    <w:rsid w:val="00BB5092"/>
    <w:pPr>
      <w:ind w:firstLine="0"/>
    </w:pPr>
  </w:style>
  <w:style w:type="paragraph" w:styleId="ListContinue3">
    <w:name w:val="List Continue 3"/>
    <w:basedOn w:val="List3"/>
    <w:rsid w:val="00BB5092"/>
    <w:pPr>
      <w:ind w:left="1021" w:firstLine="0"/>
    </w:pPr>
  </w:style>
  <w:style w:type="paragraph" w:styleId="ListContinue4">
    <w:name w:val="List Continue 4"/>
    <w:basedOn w:val="List4"/>
    <w:rsid w:val="00BB5092"/>
    <w:pPr>
      <w:ind w:firstLine="0"/>
    </w:pPr>
  </w:style>
  <w:style w:type="paragraph" w:styleId="ListContinue5">
    <w:name w:val="List Continue 5"/>
    <w:basedOn w:val="List5"/>
    <w:rsid w:val="00BB5092"/>
    <w:pPr>
      <w:ind w:firstLine="0"/>
    </w:pPr>
  </w:style>
  <w:style w:type="paragraph" w:styleId="ListNumber3">
    <w:name w:val="List Number 3"/>
    <w:basedOn w:val="List3"/>
    <w:rsid w:val="00BB5092"/>
    <w:pPr>
      <w:numPr>
        <w:numId w:val="4"/>
      </w:numPr>
    </w:pPr>
  </w:style>
  <w:style w:type="paragraph" w:styleId="ListNumber4">
    <w:name w:val="List Number 4"/>
    <w:basedOn w:val="List4"/>
    <w:rsid w:val="00BB5092"/>
    <w:pPr>
      <w:numPr>
        <w:numId w:val="5"/>
      </w:numPr>
    </w:pPr>
  </w:style>
  <w:style w:type="paragraph" w:styleId="ListNumber5">
    <w:name w:val="List Number 5"/>
    <w:basedOn w:val="List5"/>
    <w:rsid w:val="00BB5092"/>
    <w:pPr>
      <w:numPr>
        <w:numId w:val="6"/>
      </w:numPr>
    </w:pPr>
  </w:style>
  <w:style w:type="paragraph" w:styleId="BlockText">
    <w:name w:val="Block Text"/>
    <w:basedOn w:val="Normal"/>
    <w:rsid w:val="00BB5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092"/>
    <w:rPr>
      <w:sz w:val="16"/>
      <w:vertAlign w:val="superscript"/>
    </w:rPr>
  </w:style>
  <w:style w:type="character" w:customStyle="1" w:styleId="Symbols">
    <w:name w:val="Symbols"/>
    <w:basedOn w:val="DefaultParagraphFont"/>
    <w:rsid w:val="00BB5092"/>
    <w:rPr>
      <w:rFonts w:ascii="Symbol" w:hAnsi="Symbol"/>
    </w:rPr>
  </w:style>
  <w:style w:type="character" w:customStyle="1" w:styleId="MenuOptions">
    <w:name w:val="Menu Options"/>
    <w:basedOn w:val="DefaultParagraphFont"/>
    <w:rsid w:val="00BB5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092"/>
    <w:rPr>
      <w:b/>
    </w:rPr>
  </w:style>
  <w:style w:type="character" w:customStyle="1" w:styleId="Underlined">
    <w:name w:val="Underlined"/>
    <w:basedOn w:val="DefaultParagraphFont"/>
    <w:rsid w:val="00BB5092"/>
    <w:rPr>
      <w:u w:val="single"/>
    </w:rPr>
  </w:style>
  <w:style w:type="paragraph" w:customStyle="1" w:styleId="TableBodyTextRight">
    <w:name w:val="Table Body Text Right"/>
    <w:basedOn w:val="TableBodyText"/>
    <w:rsid w:val="00BB5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092"/>
    <w:rPr>
      <w:sz w:val="18"/>
    </w:rPr>
  </w:style>
  <w:style w:type="paragraph" w:customStyle="1" w:styleId="BodySmallRight">
    <w:name w:val="Body Small Right"/>
    <w:basedOn w:val="BodyTextRight"/>
    <w:rsid w:val="00BB5092"/>
    <w:rPr>
      <w:sz w:val="18"/>
      <w:szCs w:val="18"/>
    </w:rPr>
  </w:style>
  <w:style w:type="paragraph" w:customStyle="1" w:styleId="MarginEdition">
    <w:name w:val="Margin Edition"/>
    <w:basedOn w:val="MarginNote"/>
    <w:rsid w:val="00BB5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092"/>
    <w:rPr>
      <w:sz w:val="2"/>
      <w:szCs w:val="2"/>
    </w:rPr>
  </w:style>
  <w:style w:type="character" w:customStyle="1" w:styleId="Small">
    <w:name w:val="Small"/>
    <w:basedOn w:val="DefaultParagraphFont"/>
    <w:rsid w:val="00BB5092"/>
    <w:rPr>
      <w:sz w:val="16"/>
    </w:rPr>
  </w:style>
  <w:style w:type="paragraph" w:customStyle="1" w:styleId="WideTable">
    <w:name w:val="Wide Table"/>
    <w:basedOn w:val="Normal"/>
    <w:rsid w:val="00BB5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092"/>
  </w:style>
  <w:style w:type="paragraph" w:styleId="Quote">
    <w:name w:val="Quote"/>
    <w:basedOn w:val="Heading1"/>
    <w:link w:val="QuoteChar"/>
    <w:qFormat/>
    <w:rsid w:val="00BB5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092"/>
    <w:pPr>
      <w:pageBreakBefore/>
    </w:pPr>
  </w:style>
  <w:style w:type="paragraph" w:customStyle="1" w:styleId="Border">
    <w:name w:val="Border"/>
    <w:basedOn w:val="Normal"/>
    <w:qFormat/>
    <w:rsid w:val="00BB5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092"/>
    <w:rPr>
      <w:u w:val="single"/>
    </w:rPr>
  </w:style>
  <w:style w:type="character" w:customStyle="1" w:styleId="BoldandItalics">
    <w:name w:val="Bold and Italics"/>
    <w:qFormat/>
    <w:rsid w:val="00BB5092"/>
    <w:rPr>
      <w:b/>
      <w:i/>
      <w:u w:val="none"/>
    </w:rPr>
  </w:style>
  <w:style w:type="paragraph" w:styleId="BalloonText">
    <w:name w:val="Balloon Text"/>
    <w:basedOn w:val="Normal"/>
    <w:link w:val="BalloonTextChar"/>
    <w:rsid w:val="00BB5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0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1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4004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SFIAQU305 Monitor harvest and post-harvest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