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377" w:rsidP="00984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SFIAQU217 Feed stock</w:t>
      </w:r>
      <w:r>
        <w:fldChar w:fldCharType="end"/>
      </w:r>
    </w:p>
    <w:p w:rsidR="00984377" w:rsidP="00984377">
      <w:pPr>
        <w:pStyle w:val="Version"/>
        <w:sectPr w:rsidSect="009C7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94A" w:rsidP="009C794A">
      <w:pPr>
        <w:pStyle w:val="SuperHeading"/>
      </w:pPr>
      <w:r w:rsidRPr="009C794A">
        <w:t>SFIAQU217 Feed stock</w:t>
      </w:r>
    </w:p>
    <w:p w:rsidR="00000000" w:rsidRPr="009C794A" w:rsidP="009C794A">
      <w:pPr>
        <w:pStyle w:val="Heading1"/>
      </w:pPr>
      <w:bookmarkStart w:id="1" w:name="O_1099411"/>
      <w:bookmarkEnd w:id="1"/>
      <w:r w:rsidRPr="009C79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7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Comments</w:t>
            </w:r>
          </w:p>
        </w:tc>
      </w:tr>
      <w:tr w:rsidTr="009C7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94A" w:rsidP="009C794A">
            <w:pPr>
              <w:pStyle w:val="BodyText"/>
            </w:pPr>
            <w:r w:rsidRPr="009C794A">
              <w:t>This version released with SFI Seafood Industry Training Package Version 2.0.</w:t>
            </w:r>
          </w:p>
        </w:tc>
      </w:tr>
    </w:tbl>
    <w:p w:rsidR="00000000" w:rsidRPr="009C794A" w:rsidP="009C794A">
      <w:pPr>
        <w:pStyle w:val="BodyText"/>
      </w:pPr>
    </w:p>
    <w:p w:rsidR="00000000" w:rsidRPr="009C794A" w:rsidP="009C794A">
      <w:pPr>
        <w:pStyle w:val="AllowPageBreak"/>
      </w:pPr>
    </w:p>
    <w:p w:rsidR="00000000" w:rsidRPr="009C794A" w:rsidP="009C794A">
      <w:pPr>
        <w:pStyle w:val="Heading1"/>
      </w:pPr>
      <w:bookmarkStart w:id="2" w:name="O_1099412"/>
      <w:bookmarkEnd w:id="2"/>
      <w:r w:rsidRPr="009C794A">
        <w:t>Application</w:t>
      </w:r>
    </w:p>
    <w:p w:rsidR="00000000" w:rsidRPr="009C794A" w:rsidP="00984377">
      <w:pPr>
        <w:pStyle w:val="BodyText"/>
      </w:pPr>
      <w:r w:rsidRPr="009C794A">
        <w:t xml:space="preserve">This unit of competency describes the skills and knowledge required to carry out a range of stock feeding activities </w:t>
      </w:r>
      <w:r w:rsidRPr="009C794A">
        <w:t>for aquaculture, including undertaking observations that relate to the feeding of stock.</w:t>
      </w:r>
    </w:p>
    <w:p w:rsidR="00000000" w:rsidRPr="009C794A" w:rsidP="00984377">
      <w:pPr>
        <w:pStyle w:val="BodyText"/>
      </w:pPr>
      <w:r w:rsidRPr="009C794A">
        <w:t>The unit applies to individuals who undertake routine tasks in feeding stock in an aquaculture setting, by hand and/or with mechanical feeding equipment, which may inc</w:t>
      </w:r>
      <w:r w:rsidRPr="009C794A">
        <w:t>orporate operating automated feeding technology under the direction of a supervisor.</w:t>
      </w:r>
    </w:p>
    <w:p w:rsidR="00000000" w:rsidRPr="009C794A" w:rsidP="00984377">
      <w:pPr>
        <w:pStyle w:val="BodyText"/>
      </w:pPr>
      <w:r w:rsidRPr="009C794A">
        <w:t>All work must be carried out to comply with workplace procedures, according to state/territory health and safety, food safety, biosecurity and environmental regulations, l</w:t>
      </w:r>
      <w:r w:rsidRPr="009C794A">
        <w:t>egislation and standards that apply to the workplace. Licences may be required if operating load-shifting equipment, vehicles or vessels.</w:t>
      </w:r>
    </w:p>
    <w:p w:rsidR="00000000" w:rsidRPr="009C794A" w:rsidP="00984377">
      <w:pPr>
        <w:pStyle w:val="BodyText"/>
      </w:pPr>
      <w:r w:rsidRPr="009C794A">
        <w:t>No licensing, legislative or certification requirements apply to this unit at the time of publication.</w:t>
      </w:r>
    </w:p>
    <w:p w:rsidR="00000000" w:rsidRPr="009C794A" w:rsidP="009C794A">
      <w:pPr>
        <w:pStyle w:val="Heading1"/>
      </w:pPr>
      <w:bookmarkStart w:id="3" w:name="O_1099413"/>
      <w:bookmarkEnd w:id="3"/>
      <w:r w:rsidRPr="009C794A">
        <w:t>Pre-requisite Unit</w:t>
      </w:r>
    </w:p>
    <w:p w:rsidR="00000000" w:rsidRPr="009C794A" w:rsidP="00984377">
      <w:pPr>
        <w:pStyle w:val="BodyText"/>
      </w:pPr>
      <w:r w:rsidRPr="009C794A">
        <w:t>Nil</w:t>
      </w:r>
    </w:p>
    <w:p w:rsidR="00000000" w:rsidRPr="009C794A" w:rsidP="009C794A">
      <w:pPr>
        <w:pStyle w:val="Heading1"/>
      </w:pPr>
      <w:bookmarkStart w:id="4" w:name="O_1099415"/>
      <w:bookmarkEnd w:id="4"/>
      <w:r w:rsidRPr="009C794A">
        <w:t>Unit Sector</w:t>
      </w:r>
    </w:p>
    <w:p w:rsidR="00000000" w:rsidRPr="009C794A" w:rsidP="00984377">
      <w:pPr>
        <w:pStyle w:val="BodyText"/>
      </w:pPr>
      <w:r w:rsidRPr="009C794A">
        <w:t>Aquaculture (AQU)</w:t>
      </w:r>
    </w:p>
    <w:p w:rsidR="00000000" w:rsidRPr="009C794A" w:rsidP="009C794A">
      <w:pPr>
        <w:pStyle w:val="Heading1"/>
      </w:pPr>
      <w:bookmarkStart w:id="5" w:name="O_1099416"/>
      <w:bookmarkEnd w:id="5"/>
      <w:r w:rsidRPr="009C79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43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Performance Criteria</w:t>
            </w:r>
          </w:p>
        </w:tc>
      </w:tr>
      <w:tr w:rsidTr="009843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94A" w:rsidP="009C794A">
            <w:pPr>
              <w:pStyle w:val="BodyText"/>
            </w:pPr>
            <w:r w:rsidRPr="009C79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rPr>
                <w:rStyle w:val="Emphasis"/>
              </w:rPr>
              <w:t>Performance criteria describe the performance nee</w:t>
            </w:r>
            <w:r w:rsidRPr="009C794A">
              <w:rPr>
                <w:rStyle w:val="Emphasis"/>
              </w:rPr>
              <w:t>ded to demonstrate achievement of the element.</w:t>
            </w:r>
          </w:p>
        </w:tc>
      </w:tr>
      <w:tr w:rsidTr="009843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1. Prepare for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94A" w:rsidP="009C794A">
            <w:pPr>
              <w:pStyle w:val="BodyText"/>
            </w:pPr>
            <w:r w:rsidRPr="009C794A">
              <w:t>1.1 Confirm the feeding schedule and feed type and quantity with supervisor</w:t>
            </w:r>
          </w:p>
          <w:p w:rsidR="00000000" w:rsidRPr="009C794A" w:rsidP="009C794A">
            <w:pPr>
              <w:pStyle w:val="BodyText"/>
            </w:pPr>
            <w:r w:rsidRPr="009C794A">
              <w:t>1.2 Prepare feeding equipment or technology, checking serviceability and using personal protective equipment requirements, and calibrate feeding equipment if required</w:t>
            </w:r>
          </w:p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1.3 Follow the collection and loading requirements for feeding equipment</w:t>
            </w:r>
          </w:p>
        </w:tc>
      </w:tr>
      <w:tr w:rsidTr="009843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2. Carry out fe</w:t>
            </w:r>
            <w:r w:rsidRPr="009C794A">
              <w:t>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94A" w:rsidP="009C794A">
            <w:pPr>
              <w:pStyle w:val="BodyText"/>
            </w:pPr>
            <w:r w:rsidRPr="009C794A">
              <w:t>2.1 Follow feeding schedule to distribute feed either by hand or mechanical means using safe work practices</w:t>
            </w:r>
          </w:p>
          <w:p w:rsidR="00000000" w:rsidRPr="009C794A" w:rsidP="009C794A">
            <w:pPr>
              <w:pStyle w:val="BodyText"/>
            </w:pPr>
            <w:r w:rsidRPr="009C794A">
              <w:t>2.2 Distribute the required amount of food manually, mechanically or via the use of automated feeding technology until response slows down for</w:t>
            </w:r>
            <w:r w:rsidRPr="009C794A">
              <w:t xml:space="preserve"> satiation feed </w:t>
            </w:r>
          </w:p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2.3 Observe and record stock behaviour and environmental conditions</w:t>
            </w:r>
          </w:p>
        </w:tc>
      </w:tr>
      <w:tr w:rsidTr="009843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3. Complete post-feeding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94A" w:rsidP="009C794A">
            <w:pPr>
              <w:pStyle w:val="BodyText"/>
            </w:pPr>
            <w:r w:rsidRPr="009C794A">
              <w:t>3.1 Clean work area according to workplace procedures</w:t>
            </w:r>
          </w:p>
          <w:p w:rsidR="00000000" w:rsidRPr="009C794A" w:rsidP="009C794A">
            <w:pPr>
              <w:pStyle w:val="BodyText"/>
            </w:pPr>
            <w:r w:rsidRPr="009C794A">
              <w:t>3.2 Check and store equipment, reporting any identified repair requirements to s</w:t>
            </w:r>
            <w:r w:rsidRPr="009C794A">
              <w:t>upervisor</w:t>
            </w:r>
          </w:p>
          <w:p w:rsidR="00000000" w:rsidRPr="009C794A" w:rsidP="009C794A">
            <w:pPr>
              <w:pStyle w:val="BodyText"/>
            </w:pPr>
            <w:r w:rsidRPr="009C794A">
              <w:t>3.3 Record relevant data and observations and report any abnormal records to supervisor</w:t>
            </w:r>
          </w:p>
        </w:tc>
      </w:tr>
    </w:tbl>
    <w:p w:rsidR="00000000" w:rsidRPr="009C794A" w:rsidP="009C794A">
      <w:pPr>
        <w:pStyle w:val="BodyText"/>
      </w:pPr>
    </w:p>
    <w:p w:rsidR="00000000" w:rsidRPr="009C794A" w:rsidP="009C794A">
      <w:pPr>
        <w:pStyle w:val="AllowPageBreak"/>
      </w:pPr>
    </w:p>
    <w:p w:rsidR="00000000" w:rsidRPr="009C794A" w:rsidP="009C794A">
      <w:pPr>
        <w:pStyle w:val="Heading1"/>
      </w:pPr>
      <w:bookmarkStart w:id="6" w:name="O_1099417"/>
      <w:bookmarkEnd w:id="6"/>
      <w:r w:rsidRPr="009C794A">
        <w:t>Foundation Skills</w:t>
      </w:r>
    </w:p>
    <w:p w:rsidR="00000000" w:rsidRPr="00984377" w:rsidP="00984377">
      <w:pPr>
        <w:pStyle w:val="BodyText"/>
        <w:rPr>
          <w:i/>
        </w:rPr>
      </w:pPr>
      <w:r w:rsidRPr="0098437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7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Description</w:t>
            </w:r>
          </w:p>
        </w:tc>
      </w:tr>
      <w:tr w:rsidTr="009C7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ListBullet"/>
              <w:rPr>
                <w:lang w:val="en-NZ"/>
              </w:rPr>
            </w:pPr>
            <w:r w:rsidRPr="009C794A">
              <w:t xml:space="preserve">Interpret text in feeding schedules </w:t>
            </w:r>
            <w:r w:rsidRPr="009C794A">
              <w:t>and feed labels</w:t>
            </w:r>
          </w:p>
        </w:tc>
      </w:tr>
      <w:tr w:rsidTr="009C7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ListBullet"/>
              <w:rPr>
                <w:lang w:val="en-NZ"/>
              </w:rPr>
            </w:pPr>
            <w:r w:rsidRPr="009C794A">
              <w:t>Complete workplace records accurately</w:t>
            </w:r>
          </w:p>
        </w:tc>
      </w:tr>
      <w:tr w:rsidTr="009C7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94A" w:rsidP="009C794A">
            <w:pPr>
              <w:pStyle w:val="ListBullet"/>
            </w:pPr>
            <w:r w:rsidRPr="009C794A">
              <w:t>Ask questions to clarify job requirements</w:t>
            </w:r>
          </w:p>
          <w:p w:rsidR="00000000" w:rsidP="009C794A">
            <w:pPr>
              <w:pStyle w:val="ListBullet"/>
              <w:rPr>
                <w:lang w:val="en-NZ"/>
              </w:rPr>
            </w:pPr>
            <w:r w:rsidRPr="009C794A">
              <w:t>Describe abnormal records or stock behaviour using correct terminology</w:t>
            </w:r>
          </w:p>
        </w:tc>
      </w:tr>
      <w:tr w:rsidTr="009C7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94A" w:rsidP="009C794A">
            <w:pPr>
              <w:pStyle w:val="ListBullet"/>
            </w:pPr>
            <w:r w:rsidRPr="009C794A">
              <w:t>Interpret numbers in feeding schedules</w:t>
            </w:r>
          </w:p>
          <w:p w:rsidR="00000000" w:rsidRPr="009C794A" w:rsidP="009C794A">
            <w:pPr>
              <w:pStyle w:val="ListBullet"/>
            </w:pPr>
            <w:r w:rsidRPr="009C794A">
              <w:t>Measure quantities of feed</w:t>
            </w:r>
          </w:p>
          <w:p w:rsidR="00000000" w:rsidRPr="009C794A" w:rsidP="009C794A">
            <w:pPr>
              <w:pStyle w:val="ListBullet"/>
            </w:pPr>
            <w:r w:rsidRPr="009C794A">
              <w:t>Estimate percentage of feed consumed or distributed</w:t>
            </w:r>
          </w:p>
        </w:tc>
      </w:tr>
    </w:tbl>
    <w:p w:rsidR="00000000" w:rsidRPr="009C794A" w:rsidP="009C794A">
      <w:pPr>
        <w:pStyle w:val="BodyText"/>
      </w:pPr>
    </w:p>
    <w:p w:rsidR="00000000" w:rsidRPr="009C794A" w:rsidP="009C794A">
      <w:pPr>
        <w:pStyle w:val="AllowPageBreak"/>
      </w:pPr>
    </w:p>
    <w:p w:rsidR="00000000" w:rsidRPr="009C794A" w:rsidP="009C794A">
      <w:pPr>
        <w:pStyle w:val="Heading1"/>
      </w:pPr>
      <w:bookmarkStart w:id="7" w:name="O_1099419"/>
      <w:bookmarkEnd w:id="7"/>
      <w:r w:rsidRPr="009C79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C7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Bold"/>
              <w:rPr>
                <w:lang w:val="en-NZ"/>
              </w:rPr>
            </w:pPr>
            <w:r w:rsidRPr="009C794A">
              <w:t>Equivalence status</w:t>
            </w:r>
          </w:p>
        </w:tc>
      </w:tr>
      <w:tr w:rsidTr="009C7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SFIAQU217 Feed 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SFIAQU206 Feed 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94A">
            <w:pPr>
              <w:pStyle w:val="BodyText"/>
              <w:rPr>
                <w:lang w:val="en-NZ"/>
              </w:rPr>
            </w:pPr>
            <w:r w:rsidRPr="009C794A">
              <w:t>Minor changes to application, performance criteria, performance evidence, knowledge evidence and assessment conditions to address automated feeding of 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94A" w:rsidP="009C794A">
            <w:pPr>
              <w:pStyle w:val="BodyText"/>
            </w:pPr>
            <w:r w:rsidRPr="009C794A">
              <w:t>Equivalent</w:t>
            </w:r>
          </w:p>
        </w:tc>
      </w:tr>
    </w:tbl>
    <w:p w:rsidR="00000000" w:rsidRPr="009C794A" w:rsidP="009C794A">
      <w:pPr>
        <w:pStyle w:val="BodyText"/>
      </w:pPr>
    </w:p>
    <w:p w:rsidR="00000000" w:rsidRPr="009C794A" w:rsidP="009C794A">
      <w:pPr>
        <w:pStyle w:val="AllowPageBreak"/>
      </w:pPr>
    </w:p>
    <w:p w:rsidR="00000000" w:rsidRPr="009C794A" w:rsidP="009C794A">
      <w:pPr>
        <w:pStyle w:val="Heading1"/>
      </w:pPr>
      <w:bookmarkStart w:id="8" w:name="O_1099426"/>
      <w:bookmarkEnd w:id="8"/>
      <w:r w:rsidRPr="009C794A">
        <w:t>Links</w:t>
      </w:r>
    </w:p>
    <w:p w:rsidR="00000000" w:rsidRPr="009C794A" w:rsidP="00984377">
      <w:pPr>
        <w:pStyle w:val="BodyText"/>
      </w:pPr>
      <w:r w:rsidRPr="009C794A">
        <w:t>Companion Volumes, including Implementat</w:t>
      </w:r>
      <w:r w:rsidRPr="009C794A">
        <w:t xml:space="preserve">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0157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C794A" w:rsidP="009C794A"/>
    <w:sectPr w:rsidSect="009C79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4A" w:rsidRPr="00984377" w:rsidP="00984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77" w:rsidP="009C7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377" w:rsidP="009C7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4377" w:rsidP="009C7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94A" w:rsidRPr="00984377" w:rsidP="00984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77" w:rsidRPr="002D2AF8" w:rsidP="009C7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SFIAQU217 Feed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84377" w:rsidP="009C7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D67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1AA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94A"/>
  </w:style>
  <w:style w:type="character" w:customStyle="1" w:styleId="Heading1Char">
    <w:name w:val="Heading 1 Char"/>
    <w:basedOn w:val="DefaultParagraphFont"/>
    <w:link w:val="Heading1"/>
    <w:rsid w:val="009C7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9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9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C794A"/>
    <w:rPr>
      <w:i/>
    </w:rPr>
  </w:style>
  <w:style w:type="paragraph" w:customStyle="1" w:styleId="SuperHeading">
    <w:name w:val="SuperHeading"/>
    <w:basedOn w:val="Normal"/>
    <w:rsid w:val="009C7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794A"/>
    <w:rPr>
      <w:b/>
    </w:rPr>
  </w:style>
  <w:style w:type="character" w:customStyle="1" w:styleId="Heading2Char">
    <w:name w:val="Heading 2 Char"/>
    <w:basedOn w:val="DefaultParagraphFont"/>
    <w:link w:val="Heading2"/>
    <w:rsid w:val="009C7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9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94A"/>
    <w:rPr>
      <w:b/>
      <w:spacing w:val="0"/>
    </w:rPr>
  </w:style>
  <w:style w:type="paragraph" w:customStyle="1" w:styleId="SuperTitle">
    <w:name w:val="SuperTitle"/>
    <w:basedOn w:val="Title"/>
    <w:rsid w:val="009C7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9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9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94A"/>
  </w:style>
  <w:style w:type="paragraph" w:styleId="TableofFigures">
    <w:name w:val="table of figures"/>
    <w:basedOn w:val="Normal"/>
    <w:next w:val="Normal"/>
    <w:semiHidden/>
    <w:rsid w:val="009C7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9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794A"/>
    <w:rPr>
      <w:rFonts w:ascii="Wingdings" w:hAnsi="Wingdings"/>
    </w:rPr>
  </w:style>
  <w:style w:type="paragraph" w:customStyle="1" w:styleId="TableHeading">
    <w:name w:val="Table Heading"/>
    <w:basedOn w:val="HeadingBase"/>
    <w:rsid w:val="009C7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94A"/>
    <w:rPr>
      <w:color w:val="0033CC"/>
      <w:u w:val="none"/>
    </w:rPr>
  </w:style>
  <w:style w:type="paragraph" w:customStyle="1" w:styleId="BodyTextRight">
    <w:name w:val="Body Text Right"/>
    <w:basedOn w:val="BodyText"/>
    <w:rsid w:val="009C7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9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94A"/>
    <w:rPr>
      <w:sz w:val="32"/>
    </w:rPr>
  </w:style>
  <w:style w:type="paragraph" w:customStyle="1" w:styleId="HeadingProcedure">
    <w:name w:val="Heading Procedure"/>
    <w:basedOn w:val="HeadingBase"/>
    <w:next w:val="Normal"/>
    <w:rsid w:val="009C7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94A"/>
    <w:pPr>
      <w:spacing w:before="60" w:after="60"/>
    </w:pPr>
  </w:style>
  <w:style w:type="paragraph" w:styleId="ListContinue">
    <w:name w:val="List Continue"/>
    <w:basedOn w:val="List"/>
    <w:rsid w:val="009C794A"/>
    <w:pPr>
      <w:ind w:firstLine="0"/>
    </w:pPr>
  </w:style>
  <w:style w:type="paragraph" w:customStyle="1" w:styleId="ListNote">
    <w:name w:val="List Note"/>
    <w:basedOn w:val="List"/>
    <w:rsid w:val="009C7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94A"/>
    <w:rPr>
      <w:rFonts w:ascii="Courier New" w:hAnsi="Courier New"/>
    </w:rPr>
  </w:style>
  <w:style w:type="paragraph" w:customStyle="1" w:styleId="NoteBullet">
    <w:name w:val="Note Bullet"/>
    <w:basedOn w:val="Note"/>
    <w:rsid w:val="009C7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9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7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94A"/>
    <w:rPr>
      <w:b/>
      <w:smallCaps/>
    </w:rPr>
  </w:style>
  <w:style w:type="paragraph" w:customStyle="1" w:styleId="TableListNumber">
    <w:name w:val="Table List Number"/>
    <w:basedOn w:val="ListNumber"/>
    <w:rsid w:val="009C7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94A"/>
    <w:pPr>
      <w:numPr>
        <w:numId w:val="8"/>
      </w:numPr>
    </w:pPr>
  </w:style>
  <w:style w:type="paragraph" w:customStyle="1" w:styleId="ListAlpha2">
    <w:name w:val="List Alpha 2"/>
    <w:basedOn w:val="List2"/>
    <w:rsid w:val="009C794A"/>
    <w:pPr>
      <w:numPr>
        <w:numId w:val="7"/>
      </w:numPr>
    </w:pPr>
  </w:style>
  <w:style w:type="paragraph" w:styleId="List2">
    <w:name w:val="List 2"/>
    <w:basedOn w:val="BodyText"/>
    <w:rsid w:val="009C7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9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9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794A"/>
    <w:pPr>
      <w:numPr>
        <w:numId w:val="3"/>
      </w:numPr>
    </w:pPr>
  </w:style>
  <w:style w:type="paragraph" w:styleId="ListContinue2">
    <w:name w:val="List Continue 2"/>
    <w:basedOn w:val="List2"/>
    <w:rsid w:val="009C794A"/>
    <w:pPr>
      <w:ind w:firstLine="0"/>
    </w:pPr>
  </w:style>
  <w:style w:type="paragraph" w:styleId="ListContinue3">
    <w:name w:val="List Continue 3"/>
    <w:basedOn w:val="List3"/>
    <w:rsid w:val="009C794A"/>
    <w:pPr>
      <w:ind w:left="1021" w:firstLine="0"/>
    </w:pPr>
  </w:style>
  <w:style w:type="paragraph" w:styleId="ListContinue4">
    <w:name w:val="List Continue 4"/>
    <w:basedOn w:val="List4"/>
    <w:rsid w:val="009C794A"/>
    <w:pPr>
      <w:ind w:firstLine="0"/>
    </w:pPr>
  </w:style>
  <w:style w:type="paragraph" w:styleId="ListContinue5">
    <w:name w:val="List Continue 5"/>
    <w:basedOn w:val="List5"/>
    <w:rsid w:val="009C794A"/>
    <w:pPr>
      <w:ind w:firstLine="0"/>
    </w:pPr>
  </w:style>
  <w:style w:type="paragraph" w:styleId="ListNumber3">
    <w:name w:val="List Number 3"/>
    <w:basedOn w:val="List3"/>
    <w:rsid w:val="009C794A"/>
    <w:pPr>
      <w:numPr>
        <w:numId w:val="4"/>
      </w:numPr>
    </w:pPr>
  </w:style>
  <w:style w:type="paragraph" w:styleId="ListNumber4">
    <w:name w:val="List Number 4"/>
    <w:basedOn w:val="List4"/>
    <w:rsid w:val="009C794A"/>
    <w:pPr>
      <w:numPr>
        <w:numId w:val="5"/>
      </w:numPr>
    </w:pPr>
  </w:style>
  <w:style w:type="paragraph" w:styleId="ListNumber5">
    <w:name w:val="List Number 5"/>
    <w:basedOn w:val="List5"/>
    <w:rsid w:val="009C794A"/>
    <w:pPr>
      <w:numPr>
        <w:numId w:val="6"/>
      </w:numPr>
    </w:pPr>
  </w:style>
  <w:style w:type="paragraph" w:styleId="BlockText">
    <w:name w:val="Block Text"/>
    <w:basedOn w:val="Normal"/>
    <w:rsid w:val="009C7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94A"/>
    <w:rPr>
      <w:sz w:val="16"/>
      <w:vertAlign w:val="superscript"/>
    </w:rPr>
  </w:style>
  <w:style w:type="character" w:customStyle="1" w:styleId="Symbols">
    <w:name w:val="Symbols"/>
    <w:basedOn w:val="DefaultParagraphFont"/>
    <w:rsid w:val="009C794A"/>
    <w:rPr>
      <w:rFonts w:ascii="Symbol" w:hAnsi="Symbol"/>
    </w:rPr>
  </w:style>
  <w:style w:type="character" w:customStyle="1" w:styleId="MenuOptions">
    <w:name w:val="Menu Options"/>
    <w:basedOn w:val="DefaultParagraphFont"/>
    <w:rsid w:val="009C7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94A"/>
    <w:rPr>
      <w:b/>
    </w:rPr>
  </w:style>
  <w:style w:type="character" w:customStyle="1" w:styleId="Underlined">
    <w:name w:val="Underlined"/>
    <w:basedOn w:val="DefaultParagraphFont"/>
    <w:rsid w:val="009C794A"/>
    <w:rPr>
      <w:u w:val="single"/>
    </w:rPr>
  </w:style>
  <w:style w:type="paragraph" w:customStyle="1" w:styleId="TableBodyTextRight">
    <w:name w:val="Table Body Text Right"/>
    <w:basedOn w:val="TableBodyText"/>
    <w:rsid w:val="009C7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94A"/>
    <w:rPr>
      <w:sz w:val="18"/>
    </w:rPr>
  </w:style>
  <w:style w:type="paragraph" w:customStyle="1" w:styleId="BodySmallRight">
    <w:name w:val="Body Small Right"/>
    <w:basedOn w:val="BodyTextRight"/>
    <w:rsid w:val="009C794A"/>
    <w:rPr>
      <w:sz w:val="18"/>
      <w:szCs w:val="18"/>
    </w:rPr>
  </w:style>
  <w:style w:type="paragraph" w:customStyle="1" w:styleId="MarginEdition">
    <w:name w:val="Margin Edition"/>
    <w:basedOn w:val="MarginNote"/>
    <w:rsid w:val="009C7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94A"/>
    <w:rPr>
      <w:sz w:val="2"/>
      <w:szCs w:val="2"/>
    </w:rPr>
  </w:style>
  <w:style w:type="character" w:customStyle="1" w:styleId="Small">
    <w:name w:val="Small"/>
    <w:basedOn w:val="DefaultParagraphFont"/>
    <w:rsid w:val="009C794A"/>
    <w:rPr>
      <w:sz w:val="16"/>
    </w:rPr>
  </w:style>
  <w:style w:type="paragraph" w:customStyle="1" w:styleId="WideTable">
    <w:name w:val="Wide Table"/>
    <w:basedOn w:val="Normal"/>
    <w:rsid w:val="009C7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94A"/>
  </w:style>
  <w:style w:type="paragraph" w:styleId="Quote">
    <w:name w:val="Quote"/>
    <w:basedOn w:val="Heading1"/>
    <w:link w:val="QuoteChar"/>
    <w:qFormat/>
    <w:rsid w:val="009C7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94A"/>
    <w:pPr>
      <w:pageBreakBefore/>
    </w:pPr>
  </w:style>
  <w:style w:type="paragraph" w:customStyle="1" w:styleId="Border">
    <w:name w:val="Border"/>
    <w:basedOn w:val="Normal"/>
    <w:qFormat/>
    <w:rsid w:val="009C7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94A"/>
    <w:rPr>
      <w:u w:val="single"/>
    </w:rPr>
  </w:style>
  <w:style w:type="character" w:customStyle="1" w:styleId="BoldandItalics">
    <w:name w:val="Bold and Italics"/>
    <w:qFormat/>
    <w:rsid w:val="009C794A"/>
    <w:rPr>
      <w:b/>
      <w:i/>
      <w:u w:val="none"/>
    </w:rPr>
  </w:style>
  <w:style w:type="paragraph" w:styleId="BalloonText">
    <w:name w:val="Balloon Text"/>
    <w:basedOn w:val="Normal"/>
    <w:link w:val="BalloonTextChar"/>
    <w:rsid w:val="009C7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9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4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3084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SFIAQU217 Feed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