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0CE" w:rsidP="000440CE">
      <w:pPr>
        <w:pStyle w:val="Title"/>
      </w:pPr>
      <w:r>
        <w:fldChar w:fldCharType="begin"/>
      </w:r>
      <w:r>
        <w:instrText xml:space="preserve"> TITLE   \* MERGEFORMAT </w:instrText>
      </w:r>
      <w:r>
        <w:fldChar w:fldCharType="separate"/>
      </w:r>
      <w:r>
        <w:t>RTF3036A Plan and establish plant displays</w:t>
      </w:r>
      <w:r>
        <w:fldChar w:fldCharType="end"/>
      </w:r>
    </w:p>
    <w:p w:rsidR="000440CE" w:rsidP="000440CE">
      <w:pPr>
        <w:pStyle w:val="Version"/>
        <w:sectPr w:rsidSect="000B3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2CA" w:rsidP="000B32CA">
      <w:pPr>
        <w:pStyle w:val="SuperHeading"/>
      </w:pPr>
      <w:r w:rsidRPr="000B32CA">
        <w:t>RTF3036A Plan and establish plant displays</w:t>
      </w:r>
    </w:p>
    <w:p w:rsidR="00000000" w:rsidRPr="000B32CA" w:rsidP="000B32CA">
      <w:pPr>
        <w:pStyle w:val="Heading1"/>
      </w:pPr>
      <w:bookmarkStart w:id="1" w:name="O_321362"/>
      <w:bookmarkEnd w:id="1"/>
      <w:r w:rsidRPr="000B32CA">
        <w:t>Modification History</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2" w:name="O_321361"/>
      <w:bookmarkEnd w:id="2"/>
      <w:r w:rsidRPr="000B32CA">
        <w:t>Unit Descriptor</w:t>
      </w:r>
    </w:p>
    <w:p w:rsidR="00000000" w:rsidRPr="000B32CA" w:rsidP="000B32CA">
      <w:pPr>
        <w:pStyle w:val="BodyText"/>
      </w:pPr>
      <w:r w:rsidRPr="000B32CA">
        <w:t>This competency standard covers the process of planning and establishing plant displays either indoors or as s</w:t>
      </w:r>
      <w:r w:rsidRPr="000B32CA">
        <w:t>easonal displays of annual and perennial plants in garden beds.</w:t>
      </w:r>
    </w:p>
    <w:p w:rsidR="00000000" w:rsidRPr="000B32CA" w:rsidP="000B32CA">
      <w:pPr>
        <w:pStyle w:val="BodyText"/>
      </w:pPr>
      <w:r w:rsidRPr="000B32CA">
        <w:t xml:space="preserve">The planning and establishing of plant displays requires the application of horticultural knowledge including plant types, condition and requirements to maintain the plants in prime condition </w:t>
      </w:r>
      <w:r w:rsidRPr="000B32CA">
        <w:t>throughout the duration of the display.  The work is normally done using established routines, methods and procedures.  Discretion and judgement is required in the selection of equipment, work organisation, services, actions and achieving outcomes within t</w:t>
      </w:r>
      <w:r w:rsidRPr="000B32CA">
        <w:t>ime constraints.</w:t>
      </w:r>
    </w:p>
    <w:p w:rsidR="00000000" w:rsidRPr="000B32CA" w:rsidP="000B32CA">
      <w:pPr>
        <w:pStyle w:val="AllowPageBreak"/>
      </w:pPr>
    </w:p>
    <w:p w:rsidR="00000000" w:rsidRPr="000B32CA" w:rsidP="000B32CA">
      <w:pPr>
        <w:pStyle w:val="Heading1"/>
      </w:pPr>
      <w:bookmarkStart w:id="3" w:name="O_321360"/>
      <w:bookmarkEnd w:id="3"/>
      <w:r w:rsidRPr="000B32CA">
        <w:t>Application of the Unit</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4" w:name="O_321359"/>
      <w:bookmarkEnd w:id="4"/>
      <w:r w:rsidRPr="000B32CA">
        <w:t>Licensing/Regulatory Information</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5" w:name="O_321358"/>
      <w:bookmarkEnd w:id="5"/>
      <w:r w:rsidRPr="000B32CA">
        <w:t>Pre-Requisites</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6" w:name="O_321352"/>
      <w:bookmarkEnd w:id="6"/>
      <w:r w:rsidRPr="000B32CA">
        <w:t>Employability Skills Information</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7" w:name="O_321357"/>
      <w:bookmarkEnd w:id="7"/>
      <w:r w:rsidRPr="000B32CA">
        <w:t>Elements and Performance Criteria Pre-Content</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8" w:name="O_321363"/>
      <w:bookmarkEnd w:id="8"/>
      <w:r w:rsidRPr="000B32C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440C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rPr>
                <w:rStyle w:val="SpecialBold"/>
              </w:rPr>
              <w:t>Elements and Performance Criteria</w:t>
            </w:r>
          </w:p>
        </w:tc>
      </w:tr>
      <w:tr w:rsidTr="000440C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rPr>
                <w:rStyle w:val="SpecialBold"/>
              </w:rPr>
              <w:t>Performance Criteria</w:t>
            </w:r>
          </w:p>
        </w:tc>
      </w:tr>
      <w:tr w:rsidTr="000440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w:t>
            </w:r>
          </w:p>
        </w:tc>
        <w:tc>
          <w:tcPr>
            <w:tcW w:w="30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Prepare plans for </w:t>
            </w:r>
            <w:r w:rsidRPr="000B32CA">
              <w:rPr>
                <w:rStyle w:val="SpecialBold"/>
              </w:rPr>
              <w:t>plant displays</w:t>
            </w: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1.1</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Display site is inspected for aesthetic, environmental and physical attributes.</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1.2</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OHS hazards are identified, risks assessed, controls implemented and reported to the supervisor.</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1.3</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Location and projected life of display are identified on the display plan.</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1.4</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 types suitable for aesthetic effects, environmental and physical attributes are identified on the display plan.</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1.5</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Actions, timelines and work organisation are iden</w:t>
            </w:r>
            <w:r w:rsidRPr="000B32CA">
              <w:t>tified on the display plan in consultation with the supervisor.</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1.6</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Availability of plants, materials and services for preparing the display are confirmed.</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1.7</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Materials, tools, equipment and machinery are selected according to the display plan and enterprise work procedures.</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1.8</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Suitable safety equipment is selected, and used.</w:t>
            </w:r>
          </w:p>
        </w:tc>
      </w:tr>
      <w:tr w:rsidTr="000440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2</w:t>
            </w:r>
          </w:p>
        </w:tc>
        <w:tc>
          <w:tcPr>
            <w:tcW w:w="30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Select plants</w:t>
            </w: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2.1</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Plants selected are healthy and vigorous and comply with </w:t>
            </w:r>
            <w:r w:rsidRPr="000B32CA">
              <w:rPr>
                <w:rStyle w:val="SpecialBold"/>
              </w:rPr>
              <w:t>enter</w:t>
            </w:r>
            <w:r w:rsidRPr="000B32CA">
              <w:rPr>
                <w:rStyle w:val="SpecialBold"/>
              </w:rPr>
              <w:t>prise specifications for quality</w:t>
            </w:r>
            <w:r w:rsidRPr="000B32CA">
              <w:t>.</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2.2</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Number and size of plants are selected according to the display plan.</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2.3</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Plants selected display the ability to survive in the display position for the length of the display.</w:t>
            </w:r>
          </w:p>
        </w:tc>
      </w:tr>
      <w:tr w:rsidTr="000440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3</w:t>
            </w:r>
          </w:p>
        </w:tc>
        <w:tc>
          <w:tcPr>
            <w:tcW w:w="30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Place plants</w:t>
            </w: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3.1</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Plants are placed in a pattern specified by the plan.</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3.2</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Accessories and materials are chosen as specified in the plan.</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3.3</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Work is undertaken according to OHS requirements.</w:t>
            </w:r>
          </w:p>
        </w:tc>
      </w:tr>
      <w:tr w:rsidTr="000440C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4</w:t>
            </w:r>
          </w:p>
        </w:tc>
        <w:tc>
          <w:tcPr>
            <w:tcW w:w="3000" w:type="dxa"/>
            <w:vMerge w:val="restart"/>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Maintain plants</w:t>
            </w: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4.1</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Health of the plants is monitored to ensure retain optimum appearance.</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4.2</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Plants are fertilised and watered to maintain optimum health and appearance.</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4.3</w:t>
            </w:r>
          </w:p>
        </w:tc>
        <w:tc>
          <w:tcPr>
            <w:tcW w:w="51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Plants are replaced when no longer at optimum health and appearance.</w:t>
            </w:r>
          </w:p>
        </w:tc>
      </w:tr>
      <w:tr w:rsidTr="000440C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4.4</w:t>
            </w:r>
          </w:p>
        </w:tc>
        <w:tc>
          <w:tcPr>
            <w:tcW w:w="5100" w:type="dxa"/>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t>Rubbish, litter and decaying material are removed from plants, pots and surrounds to maintain optimum appearance of display.</w:t>
            </w:r>
          </w:p>
        </w:tc>
      </w:tr>
    </w:tbl>
    <w:p w:rsidR="00000000" w:rsidRPr="000B32CA" w:rsidP="000B32CA">
      <w:pPr>
        <w:pStyle w:val="BodyText"/>
      </w:pPr>
    </w:p>
    <w:p w:rsidR="00000000" w:rsidRPr="000B32CA" w:rsidP="000B32CA">
      <w:pPr>
        <w:pStyle w:val="AllowPageBreak"/>
      </w:pPr>
    </w:p>
    <w:p w:rsidR="00000000" w:rsidRPr="000B32CA" w:rsidP="000B32CA">
      <w:pPr>
        <w:pStyle w:val="Heading1"/>
      </w:pPr>
      <w:bookmarkStart w:id="9" w:name="O_321356"/>
      <w:bookmarkEnd w:id="9"/>
      <w:r w:rsidRPr="000B32CA">
        <w:t>Required Skills and Knowledge</w:t>
      </w:r>
    </w:p>
    <w:p w:rsidR="00000000" w:rsidRPr="000B32CA" w:rsidP="000B32CA">
      <w:pPr>
        <w:pStyle w:val="BodyText"/>
      </w:pPr>
      <w:r w:rsidRPr="000B32CA">
        <w:t>Not applicable.</w:t>
      </w:r>
    </w:p>
    <w:p w:rsidR="00000000" w:rsidRPr="000B32CA" w:rsidP="000B32CA">
      <w:pPr>
        <w:pStyle w:val="AllowPageBreak"/>
      </w:pPr>
    </w:p>
    <w:p w:rsidR="00000000" w:rsidRPr="000B32CA" w:rsidP="000B32CA">
      <w:pPr>
        <w:pStyle w:val="Heading1"/>
      </w:pPr>
      <w:bookmarkStart w:id="10" w:name="O_321355"/>
      <w:bookmarkEnd w:id="10"/>
      <w:r w:rsidRPr="000B32CA">
        <w:t>Evidence Guide</w:t>
      </w:r>
    </w:p>
    <w:tbl>
      <w:tblPr>
        <w:tblW w:w="0" w:type="auto"/>
        <w:tblLayout w:type="fixed"/>
        <w:tblCellMar>
          <w:left w:w="62" w:type="dxa"/>
          <w:right w:w="62" w:type="dxa"/>
        </w:tblCellMar>
        <w:tblLook w:val="0000"/>
      </w:tblPr>
      <w:tblGrid>
        <w:gridCol w:w="4500"/>
        <w:gridCol w:w="4500"/>
      </w:tblGrid>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rPr>
                <w:rStyle w:val="SpecialBold"/>
              </w:rPr>
              <w:t>What evidence is required to de</w:t>
            </w:r>
            <w:r w:rsidRPr="000B32CA">
              <w:rPr>
                <w:rStyle w:val="SpecialBold"/>
              </w:rPr>
              <w:t>monstrate competence for this standard as a whole</w:t>
            </w:r>
            <w:r w:rsidRPr="000B32CA">
              <w:t>?</w:t>
            </w:r>
          </w:p>
          <w:p w:rsidR="00000000" w:rsidRPr="000B32CA" w:rsidP="000B32CA">
            <w:pPr>
              <w:pStyle w:val="BodyText"/>
            </w:pPr>
            <w:r w:rsidRPr="000B32CA">
              <w:t>Competence in planning and establishing plant displays requires evidence that plant displays can be planned and established to a level which satisfies client needs and plants suitable for the display are s</w:t>
            </w:r>
            <w:r w:rsidRPr="000B32CA">
              <w:t>elected and maintained in a healthy, optimal state.</w:t>
            </w:r>
          </w:p>
          <w:p w:rsidR="00000000" w:rsidP="000B32CA">
            <w:pPr>
              <w:pStyle w:val="BodyText"/>
              <w:rPr>
                <w:lang w:val="en-NZ"/>
              </w:rPr>
            </w:pPr>
            <w:r w:rsidRPr="000B32CA">
              <w:t xml:space="preserve">The skills and knowledge required to prepare the display must be </w:t>
            </w:r>
            <w:r w:rsidRPr="000B32CA">
              <w:rPr>
                <w:rStyle w:val="SpecialBold"/>
              </w:rPr>
              <w:t>transferable</w:t>
            </w:r>
            <w:r w:rsidRPr="000B32CA">
              <w:t xml:space="preserve"> to a different work environment.  For example, this could different environments, display themes, plant species, and seasons. </w:t>
            </w: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rPr>
                <w:rStyle w:val="SpecialBold"/>
              </w:rPr>
              <w:t>What specific knowledge is needed to achieve the performance criteria</w:t>
            </w:r>
            <w:r w:rsidRPr="000B32CA">
              <w:t xml:space="preserve">? </w:t>
            </w:r>
          </w:p>
        </w:tc>
        <w:tc>
          <w:tcPr>
            <w:tcW w:w="4500" w:type="dxa"/>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t>Knowledge and understanding are essential to apply this standard in the workplace, to transfer the skills to other contexts, and to deal with unplanned events.  The knowledge req</w:t>
            </w:r>
            <w:r w:rsidRPr="000B32CA">
              <w:t xml:space="preserve">uirements for this competency standard are listed below:    </w:t>
            </w:r>
          </w:p>
          <w:p w:rsidR="00000000" w:rsidRPr="000B32CA" w:rsidP="000B32CA">
            <w:pPr>
              <w:pStyle w:val="BodyText"/>
            </w:pPr>
            <w:r w:rsidRPr="000B32CA">
              <w:t>aim and purpose of building plant displays</w:t>
            </w:r>
          </w:p>
          <w:p w:rsidR="00000000" w:rsidRPr="000B32CA" w:rsidP="000B32CA">
            <w:pPr>
              <w:pStyle w:val="BodyText"/>
            </w:pPr>
            <w:r w:rsidRPr="000B32CA">
              <w:t>design principles for plant displays</w:t>
            </w:r>
          </w:p>
          <w:p w:rsidR="00000000" w:rsidRPr="000B32CA" w:rsidP="000B32CA">
            <w:pPr>
              <w:pStyle w:val="BodyText"/>
            </w:pPr>
            <w:r w:rsidRPr="000B32CA">
              <w:t>features and characteristics of a range of plants used for display purposes</w:t>
            </w:r>
          </w:p>
          <w:p w:rsidR="00000000" w:rsidRPr="000B32CA" w:rsidP="000B32CA">
            <w:pPr>
              <w:pStyle w:val="BodyText"/>
            </w:pPr>
            <w:r w:rsidRPr="000B32CA">
              <w:t>growing requirements of a range of comm</w:t>
            </w:r>
            <w:r w:rsidRPr="000B32CA">
              <w:t>on plants used in plant displays</w:t>
            </w:r>
          </w:p>
          <w:p w:rsidR="00000000" w:rsidRPr="000B32CA" w:rsidP="000B32CA">
            <w:pPr>
              <w:pStyle w:val="BodyText"/>
            </w:pPr>
            <w:r w:rsidRPr="000B32CA">
              <w:t>common problems occurring with display plants</w:t>
            </w:r>
          </w:p>
          <w:p w:rsidR="00000000" w:rsidP="000B32CA">
            <w:pPr>
              <w:pStyle w:val="BodyText"/>
              <w:rPr>
                <w:lang w:val="en-NZ"/>
              </w:rPr>
            </w:pPr>
            <w:r w:rsidRPr="000B32CA">
              <w:t xml:space="preserve">remedial action required for display plants displaying health problems.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rPr>
                <w:rStyle w:val="SpecialBold"/>
              </w:rPr>
              <w:t>What specific skills are needed to achieve the performance criteria</w:t>
            </w:r>
            <w:r w:rsidRPr="000B32CA">
              <w:t xml:space="preserve">? </w:t>
            </w:r>
          </w:p>
        </w:tc>
        <w:tc>
          <w:tcPr>
            <w:tcW w:w="4500" w:type="dxa"/>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t xml:space="preserve">To achieve the performance criteria, appropriate literacy and numeracy levels as well as some complementary skills are required.  These include the ability to:    </w:t>
            </w:r>
          </w:p>
          <w:p w:rsidR="00000000" w:rsidRPr="000B32CA" w:rsidP="000B32CA">
            <w:pPr>
              <w:pStyle w:val="BodyText"/>
            </w:pPr>
            <w:r w:rsidRPr="000B32CA">
              <w:t>communicate with work team members, supervisors, suppliers and customers</w:t>
            </w:r>
          </w:p>
          <w:p w:rsidR="00000000" w:rsidRPr="000B32CA" w:rsidP="000B32CA">
            <w:pPr>
              <w:pStyle w:val="BodyText"/>
            </w:pPr>
            <w:r w:rsidRPr="000B32CA">
              <w:t>interpret design pl</w:t>
            </w:r>
            <w:r w:rsidRPr="000B32CA">
              <w:t>ans and specifications</w:t>
            </w:r>
          </w:p>
          <w:p w:rsidR="00000000" w:rsidRPr="000B32CA" w:rsidP="000B32CA">
            <w:pPr>
              <w:pStyle w:val="BodyText"/>
            </w:pPr>
            <w:r w:rsidRPr="000B32CA">
              <w:t>calculate number of plants and materials</w:t>
            </w:r>
          </w:p>
          <w:p w:rsidR="00000000" w:rsidRPr="000B32CA" w:rsidP="000B32CA">
            <w:pPr>
              <w:pStyle w:val="BodyText"/>
            </w:pPr>
            <w:r w:rsidRPr="000B32CA">
              <w:t>determine spatial measurements of display site</w:t>
            </w:r>
          </w:p>
          <w:p w:rsidR="00000000" w:rsidRPr="000B32CA" w:rsidP="000B32CA">
            <w:pPr>
              <w:pStyle w:val="BodyText"/>
            </w:pPr>
            <w:r w:rsidRPr="000B32CA">
              <w:t>co-ordinate own activities sequentially</w:t>
            </w:r>
          </w:p>
          <w:p w:rsidR="00000000" w:rsidP="000B32CA">
            <w:pPr>
              <w:pStyle w:val="BodyText"/>
              <w:rPr>
                <w:lang w:val="en-NZ"/>
              </w:rPr>
            </w:pPr>
            <w:r w:rsidRPr="000B32CA">
              <w:t xml:space="preserve">effectively complete plant display in a timely manner.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rPr>
                <w:rStyle w:val="SpecialBold"/>
              </w:rPr>
              <w:t>What processes should be applied to this c</w:t>
            </w:r>
            <w:r w:rsidRPr="000B32CA">
              <w:rPr>
                <w:rStyle w:val="SpecialBold"/>
              </w:rPr>
              <w:t>ompetency standard</w:t>
            </w:r>
            <w:r w:rsidRPr="000B32CA">
              <w:t>?</w:t>
            </w:r>
          </w:p>
          <w:p w:rsidR="00000000" w:rsidP="000B32CA">
            <w:pPr>
              <w:pStyle w:val="BodyText"/>
              <w:rPr>
                <w:lang w:val="en-NZ"/>
              </w:rPr>
            </w:pPr>
            <w:r w:rsidRPr="000B32CA">
              <w:t xml:space="preserve">There are a number of processes that are learnt throughout work and life, which are required in all jobs.  They are fundamental processes and generally transferable to other work functions.  Some of these are covered by the </w:t>
            </w:r>
            <w:r w:rsidRPr="000B32CA">
              <w:rPr>
                <w:rStyle w:val="SpecialBold"/>
              </w:rPr>
              <w:t>key competen</w:t>
            </w:r>
            <w:r w:rsidRPr="000B32CA">
              <w:rPr>
                <w:rStyle w:val="SpecialBold"/>
              </w:rPr>
              <w:t>cies</w:t>
            </w:r>
            <w:r w:rsidRPr="000B32CA">
              <w:t>, although others may be added.  The questions below highlight how these processes are applied in this competency standard.  Following each question a number in brackets indicates the level to which the key competency needs to be demonstrated where 0 =</w:t>
            </w:r>
            <w:r w:rsidRPr="000B32CA">
              <w:t xml:space="preserve"> not required, 1 = perform the process, 2 = perform and administer the process and 3 = perform, administer and design the process.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1. How can </w:t>
            </w:r>
            <w:r w:rsidRPr="000B32CA">
              <w:rPr>
                <w:rStyle w:val="SpecialBold"/>
              </w:rPr>
              <w:t>communication of ideas and information</w:t>
            </w:r>
            <w:r w:rsidRPr="000B32CA">
              <w:t xml:space="preserve"> (</w:t>
            </w:r>
            <w:r w:rsidRPr="000B32CA">
              <w:rPr>
                <w:rStyle w:val="SpecialBold"/>
              </w:rPr>
              <w:t>2</w:t>
            </w:r>
            <w:r w:rsidRPr="000B32C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Written, oral and telecommunication of ideas and information relating to suitability and availability of stock and materials and problems encountered, will be required with the supervisor, work group, suppliers or clients.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2. How can </w:t>
            </w:r>
            <w:r w:rsidRPr="000B32CA">
              <w:rPr>
                <w:rStyle w:val="SpecialBold"/>
              </w:rPr>
              <w:t>information be colle</w:t>
            </w:r>
            <w:r w:rsidRPr="000B32CA">
              <w:rPr>
                <w:rStyle w:val="SpecialBold"/>
              </w:rPr>
              <w:t>cted</w:t>
            </w:r>
            <w:r w:rsidRPr="000B32CA">
              <w:t xml:space="preserve">, </w:t>
            </w:r>
            <w:r w:rsidRPr="000B32CA">
              <w:rPr>
                <w:rStyle w:val="SpecialBold"/>
              </w:rPr>
              <w:t>analysed and organised</w:t>
            </w:r>
            <w:r w:rsidRPr="000B32CA">
              <w:t xml:space="preserve"> (</w:t>
            </w:r>
            <w:r w:rsidRPr="000B32CA">
              <w:rPr>
                <w:rStyle w:val="SpecialBold"/>
              </w:rPr>
              <w:t>2</w:t>
            </w:r>
            <w:r w:rsidRPr="000B32CA">
              <w:t xml:space="preserve">)?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Enterprise work procedures, customer impact criteria and the display plan should be consulted, interpreted and applied to co-ordinate display activities with further clarification sought from the supervisor where necessar</w:t>
            </w:r>
            <w:r w:rsidRPr="000B32CA">
              <w:t xml:space="preserve">y.  Information on enterprise and plant environmental requirements may need to be collected to ensure suitable plants for display are chosen.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3. How are </w:t>
            </w:r>
            <w:r w:rsidRPr="000B32CA">
              <w:rPr>
                <w:rStyle w:val="SpecialBold"/>
              </w:rPr>
              <w:t>activities planned and organised</w:t>
            </w:r>
            <w:r w:rsidRPr="000B32CA">
              <w:t xml:space="preserve"> (</w:t>
            </w:r>
            <w:r w:rsidRPr="000B32CA">
              <w:rPr>
                <w:rStyle w:val="SpecialBold"/>
              </w:rPr>
              <w:t>2</w:t>
            </w:r>
            <w:r w:rsidRPr="000B32CA">
              <w:t xml:space="preserve">)?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Preparing the display may require planning in the selection an</w:t>
            </w:r>
            <w:r w:rsidRPr="000B32CA">
              <w:t xml:space="preserve">d placing of plants.  Work activities for the work group and self may need to be adjusted throughout the duration of the display.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4. How can </w:t>
            </w:r>
            <w:r w:rsidRPr="000B32CA">
              <w:rPr>
                <w:rStyle w:val="SpecialBold"/>
              </w:rPr>
              <w:t>team work</w:t>
            </w:r>
            <w:r w:rsidRPr="000B32CA">
              <w:t xml:space="preserve"> (</w:t>
            </w:r>
            <w:r w:rsidRPr="000B32CA">
              <w:rPr>
                <w:rStyle w:val="SpecialBold"/>
              </w:rPr>
              <w:t>2</w:t>
            </w:r>
            <w:r w:rsidRPr="000B32C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Preparing the display may involve working as part of a team to complete the display to</w:t>
            </w:r>
            <w:r w:rsidRPr="000B32CA">
              <w:t xml:space="preserve"> plan and on time.  Discussion of display design and plant suitability may need to be carried out with supervisors or others in the workplace.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5. How can the use of </w:t>
            </w:r>
            <w:r w:rsidRPr="000B32CA">
              <w:rPr>
                <w:rStyle w:val="SpecialBold"/>
              </w:rPr>
              <w:t>mathematical ideas and techniques</w:t>
            </w:r>
            <w:r w:rsidRPr="000B32CA">
              <w:t xml:space="preserve"> (</w:t>
            </w:r>
            <w:r w:rsidRPr="000B32CA">
              <w:rPr>
                <w:rStyle w:val="SpecialBold"/>
              </w:rPr>
              <w:t>2</w:t>
            </w:r>
            <w:r w:rsidRPr="000B32C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Mathematical concepts may be used to c</w:t>
            </w:r>
            <w:r w:rsidRPr="000B32CA">
              <w:t xml:space="preserve">alculate design requirements such as space and stock requirements.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6. How can </w:t>
            </w:r>
            <w:r w:rsidRPr="000B32CA">
              <w:rPr>
                <w:rStyle w:val="SpecialBold"/>
              </w:rPr>
              <w:t>problem</w:t>
            </w:r>
            <w:r w:rsidRPr="000B32CA">
              <w:t>-</w:t>
            </w:r>
            <w:r w:rsidRPr="000B32CA">
              <w:rPr>
                <w:rStyle w:val="SpecialBold"/>
              </w:rPr>
              <w:t>solving skills</w:t>
            </w:r>
            <w:r w:rsidRPr="000B32CA">
              <w:t xml:space="preserve"> (</w:t>
            </w:r>
            <w:r w:rsidRPr="000B32CA">
              <w:rPr>
                <w:rStyle w:val="SpecialBold"/>
              </w:rPr>
              <w:t>2</w:t>
            </w:r>
            <w:r w:rsidRPr="000B32C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Plant selection, environmental variation, client intervention, personnel difficulties and timeline failures may require problem-solving </w:t>
            </w:r>
            <w:r w:rsidRPr="000B32CA">
              <w:t xml:space="preserve">techniques.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7. How can the </w:t>
            </w:r>
            <w:r w:rsidRPr="000B32CA">
              <w:rPr>
                <w:rStyle w:val="SpecialBold"/>
              </w:rPr>
              <w:t>use of technology</w:t>
            </w:r>
            <w:r w:rsidRPr="000B32CA">
              <w:t xml:space="preserve"> (</w:t>
            </w:r>
            <w:r w:rsidRPr="000B32CA">
              <w:rPr>
                <w:rStyle w:val="SpecialBold"/>
              </w:rPr>
              <w:t>2</w:t>
            </w:r>
            <w:r w:rsidRPr="000B32C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Technological understanding may be required to access information about suitable plants and design ideas, communicate and keep records.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rPr>
                <w:rStyle w:val="SpecialBold"/>
              </w:rPr>
              <w:t>Are there other competency standards that could be assessed with this one</w:t>
            </w:r>
            <w:r w:rsidRPr="000B32CA">
              <w:t>?</w:t>
            </w:r>
          </w:p>
          <w:p w:rsidR="00000000" w:rsidP="000B32CA">
            <w:pPr>
              <w:pStyle w:val="BodyText"/>
              <w:rPr>
                <w:lang w:val="en-NZ"/>
              </w:rPr>
            </w:pPr>
            <w:r w:rsidRPr="000B32CA">
              <w:t xml:space="preserve">This competency standard </w:t>
            </w:r>
            <w:r w:rsidRPr="000B32CA">
              <w:rPr>
                <w:rStyle w:val="SpecialBold"/>
              </w:rPr>
              <w:t>could</w:t>
            </w:r>
            <w:r w:rsidRPr="000B32CA">
              <w:t xml:space="preserve"> be assessed on its own or in combination with other competencies relevant to the job function.   </w:t>
            </w: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t xml:space="preserve">There is essential information about </w:t>
            </w:r>
            <w:r w:rsidRPr="000B32CA">
              <w:rPr>
                <w:rStyle w:val="SpecialBold"/>
              </w:rPr>
              <w:t>assessing this competency standard for consistent performance</w:t>
            </w:r>
            <w:r w:rsidRPr="000B32CA">
              <w:t xml:space="preserve"> and </w:t>
            </w:r>
            <w:r w:rsidRPr="000B32CA">
              <w:rPr>
                <w:rStyle w:val="SpecialBold"/>
              </w:rPr>
              <w:t>where and how it may be assessed</w:t>
            </w:r>
            <w:r w:rsidRPr="000B32CA">
              <w:t xml:space="preserve">, in the Assessment Guidelines for this Training Package.  All users of these competency standards must have </w:t>
            </w:r>
            <w:r w:rsidRPr="000B32CA">
              <w:rPr>
                <w:rStyle w:val="SpecialBold"/>
              </w:rPr>
              <w:t>access</w:t>
            </w:r>
            <w:r w:rsidRPr="000B32CA">
              <w:t xml:space="preserve"> to the </w:t>
            </w:r>
            <w:r w:rsidRPr="000B32CA">
              <w:rPr>
                <w:rStyle w:val="SpecialBold"/>
              </w:rPr>
              <w:t>Assessment Guidelines</w:t>
            </w:r>
            <w:r w:rsidRPr="000B32CA">
              <w:t>.  Further adv</w:t>
            </w:r>
            <w:r w:rsidRPr="000B32CA">
              <w:t xml:space="preserve">ice may also be sought from the relevant </w:t>
            </w:r>
            <w:r w:rsidRPr="000B32CA">
              <w:rPr>
                <w:rStyle w:val="SpecialBold"/>
              </w:rPr>
              <w:t>sector booklet</w:t>
            </w:r>
            <w:r w:rsidRPr="000B32CA">
              <w:t xml:space="preserve">. </w:t>
            </w:r>
          </w:p>
        </w:tc>
      </w:tr>
    </w:tbl>
    <w:p w:rsidR="00000000" w:rsidRPr="000B32CA" w:rsidP="000B32CA">
      <w:pPr>
        <w:pStyle w:val="BodyText"/>
      </w:pPr>
    </w:p>
    <w:p w:rsidR="00000000" w:rsidRPr="000B32CA" w:rsidP="000B32CA">
      <w:pPr>
        <w:pStyle w:val="AllowPageBreak"/>
      </w:pPr>
    </w:p>
    <w:p w:rsidR="00000000" w:rsidRPr="000B32CA" w:rsidP="000B32CA">
      <w:pPr>
        <w:pStyle w:val="Heading1"/>
      </w:pPr>
      <w:bookmarkStart w:id="11" w:name="O_321354"/>
      <w:bookmarkEnd w:id="11"/>
      <w:r w:rsidRPr="000B32CA">
        <w:t>Range Statement</w:t>
      </w:r>
    </w:p>
    <w:tbl>
      <w:tblPr>
        <w:tblW w:w="0" w:type="auto"/>
        <w:tblLayout w:type="fixed"/>
        <w:tblCellMar>
          <w:left w:w="62" w:type="dxa"/>
          <w:right w:w="62" w:type="dxa"/>
        </w:tblCellMar>
        <w:tblLook w:val="0000"/>
      </w:tblPr>
      <w:tblGrid>
        <w:gridCol w:w="4500"/>
        <w:gridCol w:w="4500"/>
      </w:tblGrid>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rsidP="000B32CA">
            <w:pPr>
              <w:pStyle w:val="BodyText"/>
            </w:pPr>
            <w:r w:rsidRPr="000B32CA">
              <w:rPr>
                <w:rStyle w:val="SpecialBold"/>
              </w:rPr>
              <w:t>Range of Variables</w:t>
            </w:r>
          </w:p>
          <w:p w:rsidR="00000000" w:rsidP="000B32CA">
            <w:pPr>
              <w:pStyle w:val="BodyText"/>
              <w:rPr>
                <w:lang w:val="en-NZ"/>
              </w:rPr>
            </w:pPr>
            <w:r w:rsidRPr="000B32CA">
              <w:t>The Range of Variables explains the contexts within which the performance and knowledge requirements of this standard may be assessed.  The sco</w:t>
            </w:r>
            <w:r w:rsidRPr="000B32CA">
              <w:t>pe of variables chosen in training and assessment requirements may depend on the work situations available</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are </w:t>
            </w:r>
            <w:r w:rsidRPr="000B32CA">
              <w:rPr>
                <w:rStyle w:val="SpecialBold"/>
              </w:rPr>
              <w:t>plant displays</w:t>
            </w:r>
            <w:r w:rsidRPr="000B32CA">
              <w:t xml:space="preserve"> in the context of this standard?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Plant displays include displays for functions, annual bedding displays, herbaceous perenn</w:t>
            </w:r>
            <w:r w:rsidRPr="000B32CA">
              <w:t xml:space="preserve">ial displays, and indoor presentations.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aesthetic</w:t>
            </w:r>
            <w:r w:rsidRPr="000B32CA">
              <w:t xml:space="preserve">, </w:t>
            </w:r>
            <w:r w:rsidRPr="000B32CA">
              <w:rPr>
                <w:rStyle w:val="SpecialBold"/>
              </w:rPr>
              <w:t>environmental and physical attributes</w:t>
            </w:r>
            <w:r w:rsidRPr="000B32CA">
              <w:t xml:space="preserve"> should be taken into account?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Aesthetic, environmental and physical attributes may include light, air, humidity, desired effect, nature of event or exhibition,</w:t>
            </w:r>
            <w:r w:rsidRPr="000B32CA">
              <w:t xml:space="preserve"> time-span of display, size of display, barriers preventing display in particular locations, access restrictions.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OHS hazards</w:t>
            </w:r>
            <w:r w:rsidRPr="000B32CA">
              <w:t xml:space="preserve"> may be associated with the preparation of plant displays?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Hazards may include interference with services, manual handling, moving machinery and machinery parts, and solar radiation.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does a </w:t>
            </w:r>
            <w:r w:rsidRPr="000B32CA">
              <w:rPr>
                <w:rStyle w:val="SpecialBold"/>
              </w:rPr>
              <w:t>display plan</w:t>
            </w:r>
            <w:r w:rsidRPr="000B32CA">
              <w:t xml:space="preserve"> include?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 display plan may include action required, display location, plants required, materials, who i</w:t>
            </w:r>
            <w:r w:rsidRPr="000B32CA">
              <w:t xml:space="preserve">s responsible, deadlines, assistance required, maintenance requirements, and access availability.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determines the </w:t>
            </w:r>
            <w:r w:rsidRPr="000B32CA">
              <w:rPr>
                <w:rStyle w:val="SpecialBold"/>
              </w:rPr>
              <w:t>plant types</w:t>
            </w:r>
            <w:r w:rsidRPr="000B32CA">
              <w:t xml:space="preserve"> selected for display?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Choice of plants may be influenced by factors including colour of foliage or flowers, shape and growt</w:t>
            </w:r>
            <w:r w:rsidRPr="000B32CA">
              <w:t xml:space="preserve">h of foliage, texture, size, longevity, portability hardiness in particular environmental conditions.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tools</w:t>
            </w:r>
            <w:r w:rsidRPr="000B32CA">
              <w:t xml:space="preserve">, </w:t>
            </w:r>
            <w:r w:rsidRPr="000B32CA">
              <w:rPr>
                <w:rStyle w:val="SpecialBold"/>
              </w:rPr>
              <w:t>equipment and machinery</w:t>
            </w:r>
            <w:r w:rsidRPr="000B32CA">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Tools, equipment and machinery may include hand tools such as rakes, shovels, spades, wheelbarrows</w:t>
            </w:r>
            <w:r w:rsidRPr="000B32CA">
              <w:t xml:space="preserve">, hoses, forklifts, backhoes, and trolley.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safety equipment</w:t>
            </w:r>
            <w:r w:rsidRPr="000B32CA">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Safety equipment may include signage and barriers.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enterprise specifications for quality</w:t>
            </w:r>
            <w:r w:rsidRPr="000B32CA">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Enterprise specifications for quality may incl</w:t>
            </w:r>
            <w:r w:rsidRPr="000B32CA">
              <w:t xml:space="preserve">ude the shape of plant, vigour, colour, height, and the absence of pests and diseases.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accessories and materials</w:t>
            </w:r>
            <w:r w:rsidRPr="000B32CA">
              <w:t xml:space="preserve"> may be used for the preparation of plant displays?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Accessories and materials may include sculptures, rocks, water, surface and edge tre</w:t>
            </w:r>
            <w:r w:rsidRPr="000B32CA">
              <w:t xml:space="preserve">atments, garden furniture, nursery products, signage, stands, boxes, fabrics and other decorative materials. </w:t>
            </w:r>
          </w:p>
        </w:tc>
      </w:tr>
      <w:tr w:rsidTr="000440C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What </w:t>
            </w:r>
            <w:r w:rsidRPr="000B32CA">
              <w:rPr>
                <w:rStyle w:val="SpecialBold"/>
              </w:rPr>
              <w:t>OHS requirements</w:t>
            </w:r>
            <w:r w:rsidRPr="000B32CA">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OHS requirements may include cleaning, maintaining and storing tools, equipment and machine</w:t>
            </w:r>
            <w:r w:rsidRPr="000B32CA">
              <w:t>ry; appropriate use of personal protective equipment including sun protection, drinking to avoid dehydration, safe operation of tools, equipment and machinery, correct manual handling, basic first aid, personal hygiene and reporting problems to supervisors</w:t>
            </w:r>
            <w:r w:rsidRPr="000B32CA">
              <w:t xml:space="preserve">. </w:t>
            </w: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32CA">
            <w:pPr>
              <w:pStyle w:val="BodyText"/>
              <w:rPr>
                <w:lang w:val="en-NZ"/>
              </w:rPr>
            </w:pPr>
            <w:r w:rsidRPr="000B32CA">
              <w:t xml:space="preserve">For more information on contexts, environment and variables for training and assessment, refer to the Sector Booklet. </w:t>
            </w:r>
          </w:p>
        </w:tc>
      </w:tr>
      <w:tr w:rsidTr="000440C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32CA">
            <w:pPr>
              <w:pStyle w:val="BodyText"/>
              <w:keepNext w:val="0"/>
              <w:keepLines w:val="0"/>
              <w:contextualSpacing w:val="0"/>
            </w:pPr>
          </w:p>
        </w:tc>
      </w:tr>
    </w:tbl>
    <w:p w:rsidR="00000000" w:rsidRPr="000B32CA" w:rsidP="000B32CA">
      <w:pPr>
        <w:pStyle w:val="BodyText"/>
      </w:pPr>
    </w:p>
    <w:p w:rsidR="00000000" w:rsidRPr="000B32CA" w:rsidP="000B32CA">
      <w:pPr>
        <w:pStyle w:val="AllowPageBreak"/>
      </w:pPr>
    </w:p>
    <w:p w:rsidR="00000000" w:rsidRPr="000B32CA" w:rsidP="000B32CA">
      <w:pPr>
        <w:pStyle w:val="Heading1"/>
      </w:pPr>
      <w:bookmarkStart w:id="12" w:name="O_321353"/>
      <w:bookmarkEnd w:id="12"/>
      <w:r w:rsidRPr="000B32CA">
        <w:t>Unit Sector(s)</w:t>
      </w:r>
    </w:p>
    <w:p w:rsidR="00000000" w:rsidRPr="000B32CA" w:rsidP="000B32CA">
      <w:pPr>
        <w:pStyle w:val="BodyText"/>
      </w:pPr>
      <w:r w:rsidRPr="000B32CA">
        <w:t>Not applicable.</w:t>
      </w:r>
    </w:p>
    <w:p w:rsidR="00000000" w:rsidRPr="000B32CA" w:rsidP="000B32CA"/>
    <w:sectPr w:rsidSect="000B3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0CE" w:rsidP="00044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CE" w:rsidP="000B3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40CE" w:rsidP="000B3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40CE" w:rsidP="000B3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40CE" w:rsidP="000440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CE" w:rsidP="000B32CA">
    <w:pPr>
      <w:pStyle w:val="Header"/>
      <w:framePr w:wrap="around"/>
    </w:pPr>
    <w:r>
      <w:fldChar w:fldCharType="begin"/>
    </w:r>
    <w:r>
      <w:instrText xml:space="preserve"> TITLE   \* MERGEFORMAT </w:instrText>
    </w:r>
    <w:r>
      <w:fldChar w:fldCharType="separate"/>
    </w:r>
    <w:r>
      <w:t>RTF3036A Plan and establish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40CE" w:rsidP="000B32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32CA"/>
    <w:pPr>
      <w:spacing w:before="360" w:after="60"/>
      <w:outlineLvl w:val="0"/>
    </w:pPr>
    <w:rPr>
      <w:sz w:val="32"/>
    </w:rPr>
  </w:style>
  <w:style w:type="paragraph" w:styleId="Heading2">
    <w:name w:val="heading 2"/>
    <w:basedOn w:val="HeadingBase"/>
    <w:next w:val="BodyText"/>
    <w:link w:val="Heading2Char"/>
    <w:qFormat/>
    <w:rsid w:val="000B32CA"/>
    <w:pPr>
      <w:keepLines/>
      <w:spacing w:before="240" w:after="120"/>
      <w:outlineLvl w:val="1"/>
    </w:pPr>
    <w:rPr>
      <w:sz w:val="28"/>
      <w:szCs w:val="40"/>
    </w:rPr>
  </w:style>
  <w:style w:type="paragraph" w:styleId="Heading3">
    <w:name w:val="heading 3"/>
    <w:basedOn w:val="HeadingBase"/>
    <w:next w:val="BodyText"/>
    <w:link w:val="Heading3Char"/>
    <w:qFormat/>
    <w:rsid w:val="000B32CA"/>
    <w:pPr>
      <w:spacing w:before="180" w:after="120"/>
      <w:outlineLvl w:val="2"/>
    </w:pPr>
    <w:rPr>
      <w:spacing w:val="-10"/>
      <w:kern w:val="32"/>
    </w:rPr>
  </w:style>
  <w:style w:type="paragraph" w:styleId="Heading4">
    <w:name w:val="heading 4"/>
    <w:basedOn w:val="HeadingBase"/>
    <w:next w:val="BodyText"/>
    <w:link w:val="Heading4Char"/>
    <w:qFormat/>
    <w:rsid w:val="000B32CA"/>
    <w:pPr>
      <w:spacing w:before="160" w:after="120"/>
      <w:outlineLvl w:val="3"/>
    </w:pPr>
    <w:rPr>
      <w:sz w:val="22"/>
    </w:rPr>
  </w:style>
  <w:style w:type="paragraph" w:styleId="Heading5">
    <w:name w:val="heading 5"/>
    <w:basedOn w:val="HeadingBase"/>
    <w:next w:val="Normal"/>
    <w:link w:val="Heading5Char"/>
    <w:qFormat/>
    <w:rsid w:val="000B32CA"/>
    <w:pPr>
      <w:spacing w:before="80"/>
      <w:outlineLvl w:val="4"/>
    </w:pPr>
    <w:rPr>
      <w:color w:val="918585"/>
      <w:sz w:val="20"/>
    </w:rPr>
  </w:style>
  <w:style w:type="paragraph" w:styleId="Heading6">
    <w:name w:val="heading 6"/>
    <w:basedOn w:val="HeadingBase"/>
    <w:next w:val="Normal"/>
    <w:link w:val="Heading6Char"/>
    <w:qFormat/>
    <w:rsid w:val="000B32CA"/>
    <w:pPr>
      <w:spacing w:before="60"/>
      <w:outlineLvl w:val="5"/>
    </w:pPr>
    <w:rPr>
      <w:color w:val="918585"/>
      <w:sz w:val="20"/>
    </w:rPr>
  </w:style>
  <w:style w:type="paragraph" w:styleId="Heading7">
    <w:name w:val="heading 7"/>
    <w:basedOn w:val="Normal"/>
    <w:next w:val="Normal"/>
    <w:link w:val="Heading7Char"/>
    <w:qFormat/>
    <w:rsid w:val="000B32CA"/>
    <w:pPr>
      <w:ind w:left="720"/>
      <w:outlineLvl w:val="6"/>
    </w:pPr>
    <w:rPr>
      <w:i/>
    </w:rPr>
  </w:style>
  <w:style w:type="paragraph" w:styleId="Heading8">
    <w:name w:val="heading 8"/>
    <w:basedOn w:val="Normal"/>
    <w:next w:val="Normal"/>
    <w:link w:val="Heading8Char"/>
    <w:qFormat/>
    <w:rsid w:val="000B32CA"/>
    <w:pPr>
      <w:ind w:left="720"/>
      <w:outlineLvl w:val="7"/>
    </w:pPr>
    <w:rPr>
      <w:i/>
    </w:rPr>
  </w:style>
  <w:style w:type="paragraph" w:styleId="Heading9">
    <w:name w:val="heading 9"/>
    <w:basedOn w:val="Normal"/>
    <w:next w:val="Normal"/>
    <w:link w:val="Heading9Char"/>
    <w:qFormat/>
    <w:rsid w:val="000B32CA"/>
    <w:pPr>
      <w:ind w:left="720"/>
      <w:outlineLvl w:val="8"/>
    </w:pPr>
    <w:rPr>
      <w:i/>
    </w:rPr>
  </w:style>
  <w:style w:type="character" w:default="1" w:styleId="DefaultParagraphFont">
    <w:name w:val="Default Paragraph Font"/>
    <w:uiPriority w:val="1"/>
    <w:unhideWhenUsed/>
    <w:rsid w:val="000B3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2CA"/>
  </w:style>
  <w:style w:type="character" w:customStyle="1" w:styleId="Heading1Char">
    <w:name w:val="Heading 1 Char"/>
    <w:link w:val="Heading1"/>
    <w:rsid w:val="000B32CA"/>
    <w:rPr>
      <w:rFonts w:ascii="Times New Roman" w:eastAsia="Times New Roman" w:hAnsi="Times New Roman" w:cs="Times New Roman"/>
      <w:b/>
      <w:sz w:val="32"/>
      <w:szCs w:val="20"/>
      <w:lang w:eastAsia="en-US"/>
    </w:rPr>
  </w:style>
  <w:style w:type="paragraph" w:styleId="BodyText">
    <w:name w:val="Body Text"/>
    <w:basedOn w:val="Normal"/>
    <w:link w:val="BodyTextChar"/>
    <w:rsid w:val="000B32CA"/>
    <w:pPr>
      <w:spacing w:before="120" w:after="120"/>
      <w:contextualSpacing/>
    </w:pPr>
    <w:rPr>
      <w:rFonts w:ascii="Times New Roman" w:hAnsi="Times New Roman"/>
      <w:sz w:val="24"/>
      <w:szCs w:val="22"/>
    </w:rPr>
  </w:style>
  <w:style w:type="character" w:customStyle="1" w:styleId="BodyTextChar">
    <w:name w:val="Body Text Char"/>
    <w:link w:val="BodyText"/>
    <w:rsid w:val="000B32CA"/>
    <w:rPr>
      <w:rFonts w:ascii="Times New Roman" w:eastAsia="Times New Roman" w:hAnsi="Times New Roman" w:cs="Times New Roman"/>
      <w:sz w:val="24"/>
      <w:lang w:val="en-US" w:eastAsia="en-US"/>
    </w:rPr>
  </w:style>
  <w:style w:type="paragraph" w:styleId="Footer">
    <w:name w:val="footer"/>
    <w:basedOn w:val="Normal"/>
    <w:link w:val="FooterChar"/>
    <w:rsid w:val="000B3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32CA"/>
    <w:rPr>
      <w:rFonts w:ascii="Times New Roman" w:eastAsia="Times New Roman" w:hAnsi="Times New Roman" w:cs="Times New Roman"/>
      <w:sz w:val="16"/>
      <w:lang w:val="en-US" w:eastAsia="en-US"/>
    </w:rPr>
  </w:style>
  <w:style w:type="character" w:customStyle="1" w:styleId="SpecialBold">
    <w:name w:val="Special Bold"/>
    <w:rsid w:val="000B32CA"/>
    <w:rPr>
      <w:b/>
      <w:spacing w:val="0"/>
    </w:rPr>
  </w:style>
  <w:style w:type="paragraph" w:styleId="Header">
    <w:name w:val="header"/>
    <w:basedOn w:val="Normal"/>
    <w:link w:val="HeaderChar"/>
    <w:rsid w:val="000B3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32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32CA"/>
    <w:pPr>
      <w:spacing w:before="240" w:after="120"/>
      <w:outlineLvl w:val="0"/>
    </w:pPr>
    <w:rPr>
      <w:rFonts w:ascii="Times New Roman" w:hAnsi="Times New Roman"/>
      <w:b/>
      <w:sz w:val="28"/>
    </w:rPr>
  </w:style>
  <w:style w:type="paragraph" w:customStyle="1" w:styleId="AllowPageBreak">
    <w:name w:val="AllowPageBreak"/>
    <w:rsid w:val="000B3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B32CA"/>
    <w:rPr>
      <w:rFonts w:ascii="Times New Roman" w:eastAsia="Times New Roman" w:hAnsi="Times New Roman" w:cs="Times New Roman"/>
      <w:b/>
      <w:sz w:val="28"/>
      <w:szCs w:val="40"/>
      <w:lang w:eastAsia="en-US"/>
    </w:rPr>
  </w:style>
  <w:style w:type="character" w:customStyle="1" w:styleId="Heading3Char">
    <w:name w:val="Heading 3 Char"/>
    <w:link w:val="Heading3"/>
    <w:rsid w:val="000B32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32CA"/>
    <w:rPr>
      <w:rFonts w:ascii="Times New Roman" w:eastAsia="Times New Roman" w:hAnsi="Times New Roman" w:cs="Times New Roman"/>
      <w:b/>
      <w:szCs w:val="20"/>
      <w:lang w:eastAsia="en-US"/>
    </w:rPr>
  </w:style>
  <w:style w:type="character" w:customStyle="1" w:styleId="Heading5Char">
    <w:name w:val="Heading 5 Char"/>
    <w:link w:val="Heading5"/>
    <w:rsid w:val="000B32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3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3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32CA"/>
    <w:rPr>
      <w:rFonts w:ascii="Courier New" w:eastAsia="Times New Roman" w:hAnsi="Courier New" w:cs="Times New Roman"/>
      <w:i/>
      <w:szCs w:val="20"/>
      <w:lang w:val="en-US" w:eastAsia="en-US"/>
    </w:rPr>
  </w:style>
  <w:style w:type="paragraph" w:customStyle="1" w:styleId="HeadingBase">
    <w:name w:val="Heading Base"/>
    <w:rsid w:val="000B3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2CA"/>
    <w:pPr>
      <w:tabs>
        <w:tab w:val="right" w:leader="dot" w:pos="9072"/>
      </w:tabs>
      <w:ind w:left="567"/>
    </w:pPr>
    <w:rPr>
      <w:szCs w:val="22"/>
    </w:rPr>
  </w:style>
  <w:style w:type="paragraph" w:customStyle="1" w:styleId="TOCBase">
    <w:name w:val="TOC Base"/>
    <w:rsid w:val="000B3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2CA"/>
    <w:pPr>
      <w:tabs>
        <w:tab w:val="right" w:leader="dot" w:pos="9072"/>
      </w:tabs>
      <w:spacing w:before="40" w:after="40"/>
      <w:ind w:left="284"/>
    </w:pPr>
    <w:rPr>
      <w:rFonts w:ascii="Times New Roman" w:hAnsi="Times New Roman"/>
    </w:rPr>
  </w:style>
  <w:style w:type="paragraph" w:styleId="TOC1">
    <w:name w:val="toc 1"/>
    <w:basedOn w:val="TOCBase"/>
    <w:next w:val="Normal"/>
    <w:rsid w:val="000B3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32CA"/>
    <w:pPr>
      <w:spacing w:before="5040"/>
      <w:jc w:val="center"/>
    </w:pPr>
    <w:rPr>
      <w:sz w:val="48"/>
      <w:szCs w:val="72"/>
      <w:lang w:val="en-US"/>
    </w:rPr>
  </w:style>
  <w:style w:type="character" w:customStyle="1" w:styleId="TitleChar">
    <w:name w:val="Title Char"/>
    <w:link w:val="Title"/>
    <w:rsid w:val="000B3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2CA"/>
    <w:pPr>
      <w:tabs>
        <w:tab w:val="left" w:pos="3600"/>
        <w:tab w:val="left" w:pos="3958"/>
      </w:tabs>
    </w:pPr>
  </w:style>
  <w:style w:type="paragraph" w:styleId="List">
    <w:name w:val="List"/>
    <w:basedOn w:val="BodyText"/>
    <w:next w:val="BodyText"/>
    <w:rsid w:val="000B32CA"/>
    <w:pPr>
      <w:tabs>
        <w:tab w:val="left" w:pos="340"/>
      </w:tabs>
      <w:spacing w:before="60" w:after="60"/>
      <w:ind w:left="340" w:hanging="340"/>
    </w:pPr>
  </w:style>
  <w:style w:type="paragraph" w:styleId="ListBullet">
    <w:name w:val="List Bullet"/>
    <w:basedOn w:val="List"/>
    <w:rsid w:val="000B32CA"/>
    <w:pPr>
      <w:numPr>
        <w:numId w:val="11"/>
      </w:numPr>
      <w:tabs>
        <w:tab w:val="clear" w:pos="340"/>
      </w:tabs>
      <w:spacing w:before="40" w:after="40"/>
    </w:pPr>
  </w:style>
  <w:style w:type="paragraph" w:customStyle="1" w:styleId="Note">
    <w:name w:val="Note"/>
    <w:basedOn w:val="BodyText"/>
    <w:rsid w:val="000B3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2CA"/>
    <w:pPr>
      <w:framePr w:wrap="auto" w:hAnchor="text" w:y="6049"/>
    </w:pPr>
    <w:rPr>
      <w:color w:val="000000"/>
      <w:sz w:val="40"/>
    </w:rPr>
  </w:style>
  <w:style w:type="paragraph" w:customStyle="1" w:styleId="TOCTitle">
    <w:name w:val="TOCTitle"/>
    <w:basedOn w:val="Heading1"/>
    <w:rsid w:val="000B32CA"/>
    <w:pPr>
      <w:spacing w:after="240"/>
      <w:jc w:val="center"/>
      <w:outlineLvl w:val="9"/>
    </w:pPr>
    <w:rPr>
      <w:caps/>
    </w:rPr>
  </w:style>
  <w:style w:type="paragraph" w:customStyle="1" w:styleId="Version">
    <w:name w:val="Version"/>
    <w:rsid w:val="000B3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2CA"/>
    <w:pPr>
      <w:numPr>
        <w:numId w:val="12"/>
      </w:numPr>
      <w:tabs>
        <w:tab w:val="clear" w:pos="680"/>
      </w:tabs>
    </w:pPr>
  </w:style>
  <w:style w:type="paragraph" w:styleId="Index1">
    <w:name w:val="index 1"/>
    <w:basedOn w:val="Normal"/>
    <w:next w:val="Normal"/>
    <w:semiHidden/>
    <w:rsid w:val="000B32CA"/>
    <w:pPr>
      <w:keepNext w:val="0"/>
      <w:tabs>
        <w:tab w:val="right" w:pos="4176"/>
      </w:tabs>
      <w:ind w:left="198" w:hanging="198"/>
    </w:pPr>
    <w:rPr>
      <w:rFonts w:ascii="Garamond" w:hAnsi="Garamond"/>
    </w:rPr>
  </w:style>
  <w:style w:type="paragraph" w:styleId="IndexHeading">
    <w:name w:val="index heading"/>
    <w:basedOn w:val="Normal"/>
    <w:next w:val="Index1"/>
    <w:semiHidden/>
    <w:rsid w:val="000B32CA"/>
    <w:pPr>
      <w:spacing w:before="120" w:after="120"/>
    </w:pPr>
    <w:rPr>
      <w:rFonts w:ascii="Arial" w:hAnsi="Arial"/>
      <w:b/>
      <w:color w:val="918585"/>
      <w:sz w:val="24"/>
    </w:rPr>
  </w:style>
  <w:style w:type="paragraph" w:customStyle="1" w:styleId="Chapter">
    <w:name w:val="Chapter"/>
    <w:basedOn w:val="Normal"/>
    <w:rsid w:val="000B32CA"/>
    <w:pPr>
      <w:spacing w:before="240"/>
    </w:pPr>
    <w:rPr>
      <w:rFonts w:ascii="Times New Roman" w:hAnsi="Times New Roman"/>
      <w:smallCaps/>
      <w:spacing w:val="80"/>
      <w:sz w:val="28"/>
    </w:rPr>
  </w:style>
  <w:style w:type="paragraph" w:customStyle="1" w:styleId="InChapter">
    <w:name w:val="InChapter"/>
    <w:basedOn w:val="Heading3"/>
    <w:rsid w:val="000B32CA"/>
    <w:pPr>
      <w:spacing w:after="240"/>
      <w:outlineLvl w:val="9"/>
    </w:pPr>
    <w:rPr>
      <w:noProof/>
    </w:rPr>
  </w:style>
  <w:style w:type="paragraph" w:styleId="Index2">
    <w:name w:val="index 2"/>
    <w:basedOn w:val="Normal"/>
    <w:next w:val="Normal"/>
    <w:semiHidden/>
    <w:rsid w:val="000B32CA"/>
    <w:pPr>
      <w:tabs>
        <w:tab w:val="right" w:pos="4176"/>
      </w:tabs>
      <w:ind w:left="568" w:hanging="284"/>
    </w:pPr>
    <w:rPr>
      <w:rFonts w:ascii="Garamond" w:hAnsi="Garamond"/>
    </w:rPr>
  </w:style>
  <w:style w:type="paragraph" w:customStyle="1" w:styleId="Byline">
    <w:name w:val="Byline"/>
    <w:rsid w:val="000B3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2CA"/>
    <w:pPr>
      <w:tabs>
        <w:tab w:val="clear" w:pos="3600"/>
        <w:tab w:val="clear" w:pos="3958"/>
      </w:tabs>
      <w:jc w:val="right"/>
    </w:pPr>
  </w:style>
  <w:style w:type="character" w:styleId="Emphasis">
    <w:name w:val="Emphasis"/>
    <w:qFormat/>
    <w:rsid w:val="000B32CA"/>
    <w:rPr>
      <w:i/>
    </w:rPr>
  </w:style>
  <w:style w:type="paragraph" w:styleId="Caption">
    <w:name w:val="caption"/>
    <w:basedOn w:val="BodyText"/>
    <w:next w:val="Normal"/>
    <w:qFormat/>
    <w:rsid w:val="000B32CA"/>
    <w:pPr>
      <w:framePr w:w="2268" w:hSpace="181" w:vSpace="181" w:wrap="around" w:vAnchor="text" w:hAnchor="page" w:x="1135" w:y="285" w:anchorLock="1"/>
    </w:pPr>
    <w:rPr>
      <w:i/>
    </w:rPr>
  </w:style>
  <w:style w:type="paragraph" w:customStyle="1" w:styleId="MiniTOCTitle">
    <w:name w:val="MiniTOCTitle"/>
    <w:basedOn w:val="Heading4"/>
    <w:rsid w:val="000B32CA"/>
    <w:pPr>
      <w:spacing w:before="240"/>
      <w:outlineLvl w:val="9"/>
    </w:pPr>
    <w:rPr>
      <w:noProof/>
      <w:sz w:val="24"/>
    </w:rPr>
  </w:style>
  <w:style w:type="paragraph" w:customStyle="1" w:styleId="MiniTOCItem">
    <w:name w:val="MiniTOCItem"/>
    <w:basedOn w:val="ListBullet"/>
    <w:rsid w:val="000B32CA"/>
    <w:pPr>
      <w:numPr>
        <w:numId w:val="0"/>
      </w:numPr>
      <w:tabs>
        <w:tab w:val="right" w:leader="dot" w:pos="6521"/>
      </w:tabs>
      <w:spacing w:before="0" w:after="0"/>
    </w:pPr>
  </w:style>
  <w:style w:type="paragraph" w:customStyle="1" w:styleId="TOFTitle">
    <w:name w:val="TOFTitle"/>
    <w:basedOn w:val="TOCTitle"/>
    <w:rsid w:val="000B32CA"/>
  </w:style>
  <w:style w:type="paragraph" w:styleId="TableofFigures">
    <w:name w:val="table of figures"/>
    <w:basedOn w:val="Normal"/>
    <w:next w:val="Normal"/>
    <w:semiHidden/>
    <w:rsid w:val="000B32CA"/>
    <w:pPr>
      <w:tabs>
        <w:tab w:val="right" w:leader="dot" w:pos="9072"/>
      </w:tabs>
      <w:ind w:left="970" w:hanging="403"/>
    </w:pPr>
    <w:rPr>
      <w:rFonts w:ascii="Times New Roman" w:hAnsi="Times New Roman"/>
      <w:b/>
    </w:rPr>
  </w:style>
  <w:style w:type="paragraph" w:styleId="ListNumber">
    <w:name w:val="List Number"/>
    <w:basedOn w:val="List"/>
    <w:rsid w:val="000B32CA"/>
    <w:pPr>
      <w:numPr>
        <w:numId w:val="9"/>
      </w:numPr>
    </w:pPr>
  </w:style>
  <w:style w:type="character" w:customStyle="1" w:styleId="WingdingSymbols">
    <w:name w:val="Wingding Symbols"/>
    <w:rsid w:val="000B32CA"/>
    <w:rPr>
      <w:rFonts w:ascii="Wingdings" w:hAnsi="Wingdings"/>
    </w:rPr>
  </w:style>
  <w:style w:type="paragraph" w:customStyle="1" w:styleId="TableHeading">
    <w:name w:val="Table Heading"/>
    <w:basedOn w:val="HeadingBase"/>
    <w:rsid w:val="000B32CA"/>
    <w:pPr>
      <w:keepLines/>
      <w:pBdr>
        <w:bottom w:val="single" w:sz="6" w:space="1" w:color="918585"/>
      </w:pBdr>
      <w:spacing w:before="240"/>
    </w:pPr>
  </w:style>
  <w:style w:type="character" w:customStyle="1" w:styleId="HotSpot">
    <w:name w:val="HotSpot"/>
    <w:rsid w:val="000B32CA"/>
    <w:rPr>
      <w:color w:val="0033CC"/>
      <w:u w:val="none"/>
    </w:rPr>
  </w:style>
  <w:style w:type="paragraph" w:customStyle="1" w:styleId="BodyTextRight">
    <w:name w:val="Body Text Right"/>
    <w:basedOn w:val="BodyText"/>
    <w:rsid w:val="000B32CA"/>
    <w:pPr>
      <w:spacing w:before="0" w:after="0"/>
      <w:jc w:val="right"/>
    </w:pPr>
  </w:style>
  <w:style w:type="paragraph" w:styleId="Index3">
    <w:name w:val="index 3"/>
    <w:basedOn w:val="ListNumber2"/>
    <w:next w:val="Normal"/>
    <w:semiHidden/>
    <w:rsid w:val="000B32CA"/>
    <w:pPr>
      <w:numPr>
        <w:numId w:val="0"/>
      </w:numPr>
      <w:tabs>
        <w:tab w:val="right" w:leader="dot" w:pos="4176"/>
      </w:tabs>
    </w:pPr>
  </w:style>
  <w:style w:type="paragraph" w:styleId="ListNumber2">
    <w:name w:val="List Number 2"/>
    <w:basedOn w:val="List2"/>
    <w:rsid w:val="000B32CA"/>
    <w:pPr>
      <w:numPr>
        <w:numId w:val="8"/>
      </w:numPr>
      <w:tabs>
        <w:tab w:val="clear" w:pos="1060"/>
      </w:tabs>
    </w:pPr>
  </w:style>
  <w:style w:type="paragraph" w:customStyle="1" w:styleId="MarginNote">
    <w:name w:val="Margin Note"/>
    <w:basedOn w:val="BodyText"/>
    <w:rsid w:val="000B3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3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32CA"/>
    <w:rPr>
      <w:sz w:val="32"/>
    </w:rPr>
  </w:style>
  <w:style w:type="paragraph" w:customStyle="1" w:styleId="HeadingProcedure">
    <w:name w:val="Heading Procedure"/>
    <w:basedOn w:val="HeadingBase"/>
    <w:next w:val="Normal"/>
    <w:rsid w:val="000B32CA"/>
    <w:pPr>
      <w:tabs>
        <w:tab w:val="left" w:pos="0"/>
      </w:tabs>
      <w:spacing w:before="120" w:after="60"/>
    </w:pPr>
    <w:rPr>
      <w:i/>
      <w:color w:val="918585"/>
      <w:sz w:val="22"/>
    </w:rPr>
  </w:style>
  <w:style w:type="paragraph" w:customStyle="1" w:styleId="TableBodyText">
    <w:name w:val="Table Body Text"/>
    <w:basedOn w:val="BodyText"/>
    <w:rsid w:val="000B32CA"/>
    <w:pPr>
      <w:spacing w:before="60" w:after="60"/>
    </w:pPr>
  </w:style>
  <w:style w:type="paragraph" w:styleId="ListContinue">
    <w:name w:val="List Continue"/>
    <w:basedOn w:val="List"/>
    <w:rsid w:val="000B32CA"/>
    <w:pPr>
      <w:ind w:firstLine="0"/>
    </w:pPr>
  </w:style>
  <w:style w:type="paragraph" w:customStyle="1" w:styleId="ListNote">
    <w:name w:val="List Note"/>
    <w:basedOn w:val="List"/>
    <w:rsid w:val="000B32CA"/>
    <w:pPr>
      <w:pBdr>
        <w:top w:val="single" w:sz="6" w:space="2" w:color="918585"/>
        <w:bottom w:val="single" w:sz="6" w:space="2" w:color="918585"/>
      </w:pBdr>
      <w:tabs>
        <w:tab w:val="left" w:pos="1021"/>
      </w:tabs>
      <w:ind w:firstLine="0"/>
    </w:pPr>
  </w:style>
  <w:style w:type="paragraph" w:customStyle="1" w:styleId="Warning">
    <w:name w:val="Warning"/>
    <w:basedOn w:val="BodyText"/>
    <w:rsid w:val="000B32CA"/>
    <w:pPr>
      <w:shd w:val="clear" w:color="auto" w:fill="D9D9D9"/>
      <w:tabs>
        <w:tab w:val="left" w:pos="992"/>
      </w:tabs>
      <w:ind w:left="119" w:right="119"/>
    </w:pPr>
    <w:rPr>
      <w:sz w:val="20"/>
    </w:rPr>
  </w:style>
  <w:style w:type="paragraph" w:customStyle="1" w:styleId="MarginIcons">
    <w:name w:val="Margin Icons"/>
    <w:basedOn w:val="BodyText"/>
    <w:rsid w:val="000B32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32CA"/>
    <w:rPr>
      <w:rFonts w:ascii="Courier New" w:hAnsi="Courier New"/>
    </w:rPr>
  </w:style>
  <w:style w:type="paragraph" w:customStyle="1" w:styleId="NoteBullet">
    <w:name w:val="Note Bullet"/>
    <w:basedOn w:val="Note"/>
    <w:rsid w:val="000B32CA"/>
    <w:pPr>
      <w:tabs>
        <w:tab w:val="clear" w:pos="680"/>
      </w:tabs>
      <w:spacing w:before="60" w:after="60"/>
    </w:pPr>
  </w:style>
  <w:style w:type="paragraph" w:customStyle="1" w:styleId="SubHeading2">
    <w:name w:val="SubHeading2"/>
    <w:basedOn w:val="HeadingBase"/>
    <w:rsid w:val="000B32CA"/>
    <w:pPr>
      <w:spacing w:before="240" w:after="60"/>
    </w:pPr>
    <w:rPr>
      <w:sz w:val="20"/>
    </w:rPr>
  </w:style>
  <w:style w:type="paragraph" w:customStyle="1" w:styleId="SubHeading1">
    <w:name w:val="SubHeading1"/>
    <w:basedOn w:val="HeadingBase"/>
    <w:rsid w:val="000B32CA"/>
    <w:pPr>
      <w:spacing w:before="240" w:after="60"/>
    </w:pPr>
    <w:rPr>
      <w:color w:val="918585"/>
      <w:sz w:val="22"/>
    </w:rPr>
  </w:style>
  <w:style w:type="paragraph" w:customStyle="1" w:styleId="SideHeading">
    <w:name w:val="Side Heading"/>
    <w:basedOn w:val="HeadingBase"/>
    <w:rsid w:val="000B3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2CA"/>
    <w:pPr>
      <w:numPr>
        <w:numId w:val="10"/>
      </w:numPr>
    </w:pPr>
  </w:style>
  <w:style w:type="paragraph" w:styleId="PlainText">
    <w:name w:val="Plain Text"/>
    <w:basedOn w:val="Normal"/>
    <w:link w:val="PlainTextChar"/>
    <w:rsid w:val="000B32CA"/>
    <w:rPr>
      <w:sz w:val="20"/>
    </w:rPr>
  </w:style>
  <w:style w:type="character" w:customStyle="1" w:styleId="PlainTextChar">
    <w:name w:val="Plain Text Char"/>
    <w:basedOn w:val="DefaultParagraphFont"/>
    <w:link w:val="PlainText"/>
    <w:rsid w:val="000B32CA"/>
    <w:rPr>
      <w:rFonts w:ascii="Courier New" w:eastAsia="Times New Roman" w:hAnsi="Courier New" w:cs="Times New Roman"/>
      <w:sz w:val="20"/>
      <w:szCs w:val="20"/>
      <w:lang w:val="en-US" w:eastAsia="en-US"/>
    </w:rPr>
  </w:style>
  <w:style w:type="character" w:customStyle="1" w:styleId="MenuOption">
    <w:name w:val="Menu Option"/>
    <w:rsid w:val="000B32CA"/>
    <w:rPr>
      <w:b/>
      <w:smallCaps/>
    </w:rPr>
  </w:style>
  <w:style w:type="paragraph" w:customStyle="1" w:styleId="TableListNumber">
    <w:name w:val="Table List Number"/>
    <w:basedOn w:val="ListNumber"/>
    <w:rsid w:val="000B32CA"/>
    <w:pPr>
      <w:numPr>
        <w:numId w:val="0"/>
      </w:numPr>
    </w:pPr>
  </w:style>
  <w:style w:type="paragraph" w:styleId="TOC4">
    <w:name w:val="toc 4"/>
    <w:basedOn w:val="TOCBase"/>
    <w:next w:val="Normal"/>
    <w:semiHidden/>
    <w:rsid w:val="000B32CA"/>
    <w:pPr>
      <w:tabs>
        <w:tab w:val="right" w:leader="dot" w:pos="9071"/>
      </w:tabs>
      <w:ind w:left="1701"/>
    </w:pPr>
  </w:style>
  <w:style w:type="paragraph" w:customStyle="1" w:styleId="ListAlpha">
    <w:name w:val="List Alpha"/>
    <w:basedOn w:val="List"/>
    <w:rsid w:val="000B32CA"/>
    <w:pPr>
      <w:numPr>
        <w:numId w:val="7"/>
      </w:numPr>
    </w:pPr>
  </w:style>
  <w:style w:type="paragraph" w:customStyle="1" w:styleId="ListAlpha2">
    <w:name w:val="List Alpha 2"/>
    <w:basedOn w:val="List2"/>
    <w:rsid w:val="000B32CA"/>
    <w:pPr>
      <w:numPr>
        <w:numId w:val="6"/>
      </w:numPr>
    </w:pPr>
  </w:style>
  <w:style w:type="paragraph" w:styleId="List2">
    <w:name w:val="List 2"/>
    <w:basedOn w:val="BodyText"/>
    <w:rsid w:val="000B32CA"/>
    <w:pPr>
      <w:tabs>
        <w:tab w:val="left" w:pos="680"/>
      </w:tabs>
      <w:spacing w:before="60" w:after="60"/>
      <w:ind w:left="680" w:hanging="340"/>
    </w:pPr>
  </w:style>
  <w:style w:type="paragraph" w:styleId="List3">
    <w:name w:val="List 3"/>
    <w:basedOn w:val="BodyText"/>
    <w:rsid w:val="000B32CA"/>
    <w:pPr>
      <w:tabs>
        <w:tab w:val="left" w:pos="1021"/>
      </w:tabs>
      <w:spacing w:before="60" w:after="60"/>
      <w:ind w:left="1020" w:hanging="340"/>
    </w:pPr>
  </w:style>
  <w:style w:type="paragraph" w:styleId="List4">
    <w:name w:val="List 4"/>
    <w:basedOn w:val="BodyText"/>
    <w:rsid w:val="000B32CA"/>
    <w:pPr>
      <w:tabs>
        <w:tab w:val="left" w:pos="1361"/>
      </w:tabs>
      <w:spacing w:before="60" w:after="60"/>
      <w:ind w:left="1361" w:hanging="340"/>
    </w:pPr>
  </w:style>
  <w:style w:type="paragraph" w:styleId="List5">
    <w:name w:val="List 5"/>
    <w:basedOn w:val="BodyText"/>
    <w:rsid w:val="000B32CA"/>
    <w:pPr>
      <w:tabs>
        <w:tab w:val="left" w:pos="1701"/>
      </w:tabs>
      <w:spacing w:before="60" w:after="60"/>
      <w:ind w:left="1701" w:hanging="340"/>
    </w:pPr>
  </w:style>
  <w:style w:type="paragraph" w:styleId="ListBullet3">
    <w:name w:val="List Bullet 3"/>
    <w:basedOn w:val="List3"/>
    <w:rsid w:val="000B32CA"/>
    <w:pPr>
      <w:numPr>
        <w:numId w:val="13"/>
      </w:numPr>
      <w:tabs>
        <w:tab w:val="clear" w:pos="1021"/>
      </w:tabs>
      <w:ind w:left="1037" w:hanging="357"/>
    </w:pPr>
  </w:style>
  <w:style w:type="paragraph" w:styleId="ListBullet4">
    <w:name w:val="List Bullet 4"/>
    <w:basedOn w:val="List4"/>
    <w:rsid w:val="000B32CA"/>
    <w:pPr>
      <w:numPr>
        <w:numId w:val="1"/>
      </w:numPr>
    </w:pPr>
  </w:style>
  <w:style w:type="paragraph" w:styleId="ListBullet5">
    <w:name w:val="List Bullet 5"/>
    <w:basedOn w:val="List5"/>
    <w:rsid w:val="000B32CA"/>
    <w:pPr>
      <w:numPr>
        <w:numId w:val="2"/>
      </w:numPr>
    </w:pPr>
  </w:style>
  <w:style w:type="paragraph" w:styleId="ListContinue2">
    <w:name w:val="List Continue 2"/>
    <w:basedOn w:val="List2"/>
    <w:rsid w:val="000B32CA"/>
    <w:pPr>
      <w:ind w:firstLine="0"/>
    </w:pPr>
  </w:style>
  <w:style w:type="paragraph" w:styleId="ListContinue3">
    <w:name w:val="List Continue 3"/>
    <w:basedOn w:val="List3"/>
    <w:rsid w:val="000B32CA"/>
    <w:pPr>
      <w:ind w:left="1021" w:firstLine="0"/>
    </w:pPr>
  </w:style>
  <w:style w:type="paragraph" w:styleId="ListContinue4">
    <w:name w:val="List Continue 4"/>
    <w:basedOn w:val="List4"/>
    <w:rsid w:val="000B32CA"/>
    <w:pPr>
      <w:ind w:firstLine="0"/>
    </w:pPr>
  </w:style>
  <w:style w:type="paragraph" w:styleId="ListContinue5">
    <w:name w:val="List Continue 5"/>
    <w:basedOn w:val="List5"/>
    <w:rsid w:val="000B32CA"/>
    <w:pPr>
      <w:ind w:firstLine="0"/>
    </w:pPr>
  </w:style>
  <w:style w:type="paragraph" w:styleId="ListNumber3">
    <w:name w:val="List Number 3"/>
    <w:basedOn w:val="List3"/>
    <w:rsid w:val="000B32CA"/>
    <w:pPr>
      <w:numPr>
        <w:numId w:val="3"/>
      </w:numPr>
    </w:pPr>
  </w:style>
  <w:style w:type="paragraph" w:styleId="ListNumber4">
    <w:name w:val="List Number 4"/>
    <w:basedOn w:val="List4"/>
    <w:rsid w:val="000B32CA"/>
    <w:pPr>
      <w:numPr>
        <w:numId w:val="4"/>
      </w:numPr>
    </w:pPr>
  </w:style>
  <w:style w:type="paragraph" w:styleId="ListNumber5">
    <w:name w:val="List Number 5"/>
    <w:basedOn w:val="List5"/>
    <w:rsid w:val="000B32CA"/>
    <w:pPr>
      <w:numPr>
        <w:numId w:val="5"/>
      </w:numPr>
    </w:pPr>
  </w:style>
  <w:style w:type="paragraph" w:styleId="BlockText">
    <w:name w:val="Block Text"/>
    <w:basedOn w:val="Normal"/>
    <w:rsid w:val="000B32CA"/>
    <w:pPr>
      <w:spacing w:after="120"/>
      <w:ind w:left="1440" w:right="1440"/>
    </w:pPr>
  </w:style>
  <w:style w:type="character" w:customStyle="1" w:styleId="Subscript">
    <w:name w:val="Subscript"/>
    <w:rsid w:val="000B32CA"/>
    <w:rPr>
      <w:sz w:val="16"/>
      <w:vertAlign w:val="subscript"/>
    </w:rPr>
  </w:style>
  <w:style w:type="character" w:customStyle="1" w:styleId="Superscript">
    <w:name w:val="Superscript"/>
    <w:rsid w:val="000B32CA"/>
    <w:rPr>
      <w:sz w:val="16"/>
      <w:vertAlign w:val="superscript"/>
    </w:rPr>
  </w:style>
  <w:style w:type="character" w:customStyle="1" w:styleId="Symbols">
    <w:name w:val="Symbols"/>
    <w:rsid w:val="000B32CA"/>
    <w:rPr>
      <w:rFonts w:ascii="Symbol" w:hAnsi="Symbol"/>
    </w:rPr>
  </w:style>
  <w:style w:type="character" w:customStyle="1" w:styleId="MenuOptions">
    <w:name w:val="Menu Options"/>
    <w:rsid w:val="000B32CA"/>
    <w:rPr>
      <w:rFonts w:ascii="Arial Narrow" w:hAnsi="Arial Narrow"/>
      <w:smallCaps/>
    </w:rPr>
  </w:style>
  <w:style w:type="character" w:customStyle="1" w:styleId="Buttons">
    <w:name w:val="Buttons"/>
    <w:rsid w:val="000B32CA"/>
    <w:rPr>
      <w:b/>
    </w:rPr>
  </w:style>
  <w:style w:type="character" w:customStyle="1" w:styleId="Underlined">
    <w:name w:val="Underlined"/>
    <w:rsid w:val="000B32CA"/>
    <w:rPr>
      <w:u w:val="single"/>
    </w:rPr>
  </w:style>
  <w:style w:type="paragraph" w:customStyle="1" w:styleId="TableBodyTextRight">
    <w:name w:val="Table Body Text Right"/>
    <w:basedOn w:val="TableBodyText"/>
    <w:rsid w:val="000B32CA"/>
    <w:pPr>
      <w:widowControl w:val="0"/>
      <w:autoSpaceDE w:val="0"/>
      <w:autoSpaceDN w:val="0"/>
      <w:adjustRightInd w:val="0"/>
      <w:jc w:val="right"/>
    </w:pPr>
    <w:rPr>
      <w:rFonts w:cs="Arial"/>
      <w:szCs w:val="18"/>
    </w:rPr>
  </w:style>
  <w:style w:type="paragraph" w:customStyle="1" w:styleId="CopyrightText">
    <w:name w:val="Copyright Text"/>
    <w:basedOn w:val="BodyText"/>
    <w:rsid w:val="000B32CA"/>
    <w:rPr>
      <w:sz w:val="18"/>
    </w:rPr>
  </w:style>
  <w:style w:type="paragraph" w:customStyle="1" w:styleId="BodySmallRight">
    <w:name w:val="Body Small Right"/>
    <w:basedOn w:val="BodyTextRight"/>
    <w:rsid w:val="000B32CA"/>
    <w:rPr>
      <w:sz w:val="18"/>
      <w:szCs w:val="18"/>
    </w:rPr>
  </w:style>
  <w:style w:type="paragraph" w:customStyle="1" w:styleId="MarginEdition">
    <w:name w:val="Margin Edition"/>
    <w:basedOn w:val="MarginNote"/>
    <w:rsid w:val="000B32CA"/>
    <w:pPr>
      <w:spacing w:before="0" w:after="0"/>
    </w:pPr>
    <w:rPr>
      <w:rFonts w:ascii="Times New Roman" w:hAnsi="Times New Roman"/>
      <w:color w:val="999999"/>
    </w:rPr>
  </w:style>
  <w:style w:type="paragraph" w:customStyle="1" w:styleId="Spacer">
    <w:name w:val="Spacer"/>
    <w:basedOn w:val="Normal"/>
    <w:rsid w:val="000B32CA"/>
    <w:rPr>
      <w:sz w:val="2"/>
      <w:szCs w:val="2"/>
    </w:rPr>
  </w:style>
  <w:style w:type="character" w:customStyle="1" w:styleId="Small">
    <w:name w:val="Small"/>
    <w:rsid w:val="000B32CA"/>
    <w:rPr>
      <w:sz w:val="16"/>
    </w:rPr>
  </w:style>
  <w:style w:type="paragraph" w:customStyle="1" w:styleId="WideTable">
    <w:name w:val="Wide Table"/>
    <w:basedOn w:val="Normal"/>
    <w:rsid w:val="000B32CA"/>
    <w:pPr>
      <w:ind w:left="-1418"/>
    </w:pPr>
    <w:rPr>
      <w:sz w:val="2"/>
      <w:szCs w:val="2"/>
    </w:rPr>
  </w:style>
  <w:style w:type="character" w:styleId="PageNumber">
    <w:name w:val="page number"/>
    <w:rsid w:val="000B32CA"/>
  </w:style>
  <w:style w:type="paragraph" w:styleId="Quote">
    <w:name w:val="Quote"/>
    <w:basedOn w:val="Heading1"/>
    <w:link w:val="QuoteChar"/>
    <w:qFormat/>
    <w:rsid w:val="000B32CA"/>
    <w:rPr>
      <w:b w:val="0"/>
      <w:sz w:val="72"/>
      <w:szCs w:val="72"/>
      <w:lang w:val="en-NZ"/>
    </w:rPr>
  </w:style>
  <w:style w:type="character" w:customStyle="1" w:styleId="QuoteChar">
    <w:name w:val="Quote Char"/>
    <w:link w:val="Quote"/>
    <w:rsid w:val="000B3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2CA"/>
    <w:pPr>
      <w:pageBreakBefore/>
    </w:pPr>
  </w:style>
  <w:style w:type="paragraph" w:customStyle="1" w:styleId="Border">
    <w:name w:val="Border"/>
    <w:basedOn w:val="Normal"/>
    <w:qFormat/>
    <w:rsid w:val="000B32CA"/>
    <w:pPr>
      <w:pBdr>
        <w:top w:val="single" w:sz="18" w:space="1" w:color="auto"/>
      </w:pBdr>
    </w:pPr>
    <w:rPr>
      <w:rFonts w:ascii="Times New Roman" w:hAnsi="Times New Roman"/>
      <w:color w:val="FFFFFF"/>
      <w:sz w:val="2"/>
    </w:rPr>
  </w:style>
  <w:style w:type="character" w:styleId="IntenseEmphasis">
    <w:name w:val="Intense Emphasis"/>
    <w:uiPriority w:val="21"/>
    <w:qFormat/>
    <w:rsid w:val="000B32CA"/>
    <w:rPr>
      <w:b/>
      <w:bCs/>
      <w:i/>
      <w:iCs/>
      <w:color w:val="auto"/>
    </w:rPr>
  </w:style>
  <w:style w:type="paragraph" w:styleId="IntenseQuote">
    <w:name w:val="Intense Quote"/>
    <w:basedOn w:val="Normal"/>
    <w:next w:val="Normal"/>
    <w:link w:val="IntenseQuoteChar"/>
    <w:uiPriority w:val="30"/>
    <w:qFormat/>
    <w:rsid w:val="000B32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32CA"/>
    <w:rPr>
      <w:rFonts w:ascii="Courier New" w:eastAsia="Times New Roman" w:hAnsi="Courier New" w:cs="Times New Roman"/>
      <w:b/>
      <w:bCs/>
      <w:i/>
      <w:iCs/>
      <w:szCs w:val="20"/>
      <w:lang w:val="en-US" w:eastAsia="en-US"/>
    </w:rPr>
  </w:style>
  <w:style w:type="character" w:styleId="SubtleReference">
    <w:name w:val="Subtle Reference"/>
    <w:uiPriority w:val="31"/>
    <w:qFormat/>
    <w:rsid w:val="000B32CA"/>
    <w:rPr>
      <w:smallCaps/>
      <w:color w:val="auto"/>
      <w:u w:val="single"/>
    </w:rPr>
  </w:style>
  <w:style w:type="character" w:styleId="IntenseReference">
    <w:name w:val="Intense Reference"/>
    <w:uiPriority w:val="32"/>
    <w:qFormat/>
    <w:rsid w:val="000B32CA"/>
    <w:rPr>
      <w:b/>
      <w:bCs/>
      <w:smallCaps/>
      <w:color w:val="auto"/>
      <w:spacing w:val="5"/>
      <w:u w:val="single"/>
    </w:rPr>
  </w:style>
  <w:style w:type="paragraph" w:customStyle="1" w:styleId="2ColumnHeading">
    <w:name w:val="2Column Heading"/>
    <w:basedOn w:val="BodyText"/>
    <w:qFormat/>
    <w:rsid w:val="000B32CA"/>
    <w:pPr>
      <w:spacing w:after="60"/>
      <w:ind w:left="-2268"/>
    </w:pPr>
    <w:rPr>
      <w:b/>
    </w:rPr>
  </w:style>
  <w:style w:type="paragraph" w:customStyle="1" w:styleId="Heading1TOC">
    <w:name w:val="Heading1 TOC"/>
    <w:basedOn w:val="Normal"/>
    <w:qFormat/>
    <w:rsid w:val="000B32CA"/>
    <w:pPr>
      <w:spacing w:before="240" w:after="120"/>
    </w:pPr>
    <w:rPr>
      <w:rFonts w:ascii="Times New Roman" w:hAnsi="Times New Roman"/>
      <w:b/>
      <w:sz w:val="32"/>
    </w:rPr>
  </w:style>
  <w:style w:type="paragraph" w:customStyle="1" w:styleId="Heading2TOC">
    <w:name w:val="Heading2 TOC"/>
    <w:basedOn w:val="Normal"/>
    <w:qFormat/>
    <w:rsid w:val="000B32CA"/>
    <w:pPr>
      <w:spacing w:before="240" w:after="60"/>
    </w:pPr>
    <w:rPr>
      <w:rFonts w:ascii="Times New Roman" w:hAnsi="Times New Roman"/>
      <w:b/>
      <w:sz w:val="28"/>
    </w:rPr>
  </w:style>
  <w:style w:type="character" w:customStyle="1" w:styleId="Underline">
    <w:name w:val="Underline"/>
    <w:qFormat/>
    <w:rsid w:val="000B32CA"/>
    <w:rPr>
      <w:u w:val="single"/>
    </w:rPr>
  </w:style>
  <w:style w:type="character" w:customStyle="1" w:styleId="BoldandItalics">
    <w:name w:val="Bold and Italics"/>
    <w:qFormat/>
    <w:rsid w:val="000B32CA"/>
    <w:rPr>
      <w:b/>
      <w:i/>
      <w:u w:val="none"/>
    </w:rPr>
  </w:style>
  <w:style w:type="paragraph" w:styleId="BalloonText">
    <w:name w:val="Balloon Text"/>
    <w:basedOn w:val="Normal"/>
    <w:link w:val="BalloonTextChar"/>
    <w:rsid w:val="000B32CA"/>
    <w:rPr>
      <w:rFonts w:ascii="Tahoma" w:hAnsi="Tahoma" w:cs="Tahoma"/>
      <w:sz w:val="16"/>
      <w:szCs w:val="16"/>
    </w:rPr>
  </w:style>
  <w:style w:type="character" w:customStyle="1" w:styleId="BalloonTextChar">
    <w:name w:val="Balloon Text Char"/>
    <w:link w:val="BalloonText"/>
    <w:rsid w:val="000B3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32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32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B6C79424.dotm</Template>
  <TotalTime>0</TotalTime>
  <Pages>6</Pages>
  <Words>1502</Words>
  <Characters>8868</Characters>
  <Application>Microsoft Office Word</Application>
  <DocSecurity>0</DocSecurity>
  <Lines>334</Lines>
  <Paragraphs>133</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RTF3036A Plan and establish plant displays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2012-05-27T07:46:00Z</dcterms:created>
  <dcterms:modified xsi:type="dcterms:W3CDTF">2012-05-27T07:46:00Z</dcterms:modified>
</cp:coreProperties>
</file>