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76C3" w:rsidP="009C76C3">
      <w:pPr>
        <w:pStyle w:val="Title"/>
      </w:pPr>
      <w:r>
        <w:fldChar w:fldCharType="begin"/>
      </w:r>
      <w:r>
        <w:instrText xml:space="preserve"> TITLE   \* MERGEFORMAT </w:instrText>
      </w:r>
      <w:r>
        <w:fldChar w:fldCharType="separate"/>
      </w:r>
      <w:r>
        <w:t>RTF2311A Undertake stump removal</w:t>
      </w:r>
      <w:r>
        <w:fldChar w:fldCharType="end"/>
      </w:r>
    </w:p>
    <w:p w:rsidR="009C76C3" w:rsidP="009C76C3">
      <w:pPr>
        <w:pStyle w:val="Version"/>
        <w:sectPr w:rsidSect="002C2DE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2DEF" w:rsidP="002C2DEF">
      <w:pPr>
        <w:pStyle w:val="SuperHeading"/>
      </w:pPr>
      <w:r w:rsidRPr="002C2DEF">
        <w:t>RTF2311A Undertake stump removal</w:t>
      </w:r>
    </w:p>
    <w:p w:rsidR="00000000" w:rsidRPr="002C2DEF" w:rsidP="002C2DEF">
      <w:pPr>
        <w:pStyle w:val="Heading1"/>
      </w:pPr>
      <w:bookmarkStart w:id="1" w:name="O_321205"/>
      <w:bookmarkEnd w:id="1"/>
      <w:r w:rsidRPr="002C2DEF">
        <w:t>Modification History</w:t>
      </w:r>
    </w:p>
    <w:p w:rsidR="00000000" w:rsidRPr="002C2DEF" w:rsidP="002C2DEF">
      <w:pPr>
        <w:pStyle w:val="BodyText"/>
      </w:pPr>
      <w:r w:rsidRPr="002C2DEF">
        <w:t>Not applicable.</w:t>
      </w:r>
    </w:p>
    <w:p w:rsidR="00000000" w:rsidRPr="002C2DEF" w:rsidP="002C2DEF">
      <w:pPr>
        <w:pStyle w:val="AllowPageBreak"/>
      </w:pPr>
    </w:p>
    <w:p w:rsidR="00000000" w:rsidRPr="002C2DEF" w:rsidP="002C2DEF">
      <w:pPr>
        <w:pStyle w:val="Heading1"/>
      </w:pPr>
      <w:bookmarkStart w:id="2" w:name="O_321207"/>
      <w:bookmarkEnd w:id="2"/>
      <w:r w:rsidRPr="002C2DEF">
        <w:t>Unit Descriptor</w:t>
      </w:r>
    </w:p>
    <w:p w:rsidR="00000000" w:rsidRPr="002C2DEF" w:rsidP="002C2DEF">
      <w:pPr>
        <w:pStyle w:val="BodyText"/>
      </w:pPr>
      <w:r w:rsidRPr="002C2DEF">
        <w:t>This competency standard covers the work undertaken to remove tree stumps from the ground with the aid of motorised stump grinders.</w:t>
      </w:r>
    </w:p>
    <w:p w:rsidR="00000000" w:rsidRPr="002C2DEF" w:rsidP="002C2DEF">
      <w:pPr>
        <w:pStyle w:val="BodyText"/>
      </w:pPr>
      <w:r w:rsidRPr="002C2DEF">
        <w:t>S</w:t>
      </w:r>
      <w:r w:rsidRPr="002C2DEF">
        <w:t>tump removal is likely to be under routine supervision with intermittent checking.  Competency requires the application of knowledge and skills to a range of stump removal tasks.  The work is usually within established industry guidelines and conforms to s</w:t>
      </w:r>
      <w:r w:rsidRPr="002C2DEF">
        <w:t>trict OHS procedures</w:t>
      </w:r>
    </w:p>
    <w:p w:rsidR="00000000" w:rsidRPr="002C2DEF" w:rsidP="002C2DEF">
      <w:pPr>
        <w:pStyle w:val="AllowPageBreak"/>
      </w:pPr>
    </w:p>
    <w:p w:rsidR="00000000" w:rsidRPr="002C2DEF" w:rsidP="002C2DEF">
      <w:pPr>
        <w:pStyle w:val="Heading1"/>
      </w:pPr>
      <w:bookmarkStart w:id="3" w:name="O_321204"/>
      <w:bookmarkEnd w:id="3"/>
      <w:r w:rsidRPr="002C2DEF">
        <w:t>Application of the Unit</w:t>
      </w:r>
    </w:p>
    <w:p w:rsidR="00000000" w:rsidRPr="002C2DEF" w:rsidP="002C2DEF">
      <w:pPr>
        <w:pStyle w:val="BodyText"/>
      </w:pPr>
      <w:r w:rsidRPr="002C2DEF">
        <w:t>Not applicable.</w:t>
      </w:r>
    </w:p>
    <w:p w:rsidR="00000000" w:rsidRPr="002C2DEF" w:rsidP="002C2DEF">
      <w:pPr>
        <w:pStyle w:val="AllowPageBreak"/>
      </w:pPr>
    </w:p>
    <w:p w:rsidR="00000000" w:rsidRPr="002C2DEF" w:rsidP="002C2DEF">
      <w:pPr>
        <w:pStyle w:val="Heading1"/>
      </w:pPr>
      <w:bookmarkStart w:id="4" w:name="O_321203"/>
      <w:bookmarkEnd w:id="4"/>
      <w:r w:rsidRPr="002C2DEF">
        <w:t>Licensing/Regulatory Information</w:t>
      </w:r>
    </w:p>
    <w:p w:rsidR="00000000" w:rsidRPr="002C2DEF" w:rsidP="002C2DEF">
      <w:pPr>
        <w:pStyle w:val="BodyText"/>
      </w:pPr>
      <w:r w:rsidRPr="002C2DEF">
        <w:t>Not applicable.</w:t>
      </w:r>
    </w:p>
    <w:p w:rsidR="00000000" w:rsidRPr="002C2DEF" w:rsidP="002C2DEF">
      <w:pPr>
        <w:pStyle w:val="AllowPageBreak"/>
      </w:pPr>
    </w:p>
    <w:p w:rsidR="00000000" w:rsidRPr="002C2DEF" w:rsidP="002C2DEF">
      <w:pPr>
        <w:pStyle w:val="Heading1"/>
      </w:pPr>
      <w:bookmarkStart w:id="5" w:name="O_321202"/>
      <w:bookmarkEnd w:id="5"/>
      <w:r w:rsidRPr="002C2DEF">
        <w:t>Pre-Requisites</w:t>
      </w:r>
    </w:p>
    <w:p w:rsidR="00000000" w:rsidRPr="002C2DEF" w:rsidP="002C2DEF">
      <w:pPr>
        <w:pStyle w:val="BodyText"/>
      </w:pPr>
      <w:r w:rsidRPr="002C2DEF">
        <w:t>Not applicable.</w:t>
      </w:r>
    </w:p>
    <w:p w:rsidR="00000000" w:rsidRPr="002C2DEF" w:rsidP="002C2DEF">
      <w:pPr>
        <w:pStyle w:val="AllowPageBreak"/>
      </w:pPr>
    </w:p>
    <w:p w:rsidR="00000000" w:rsidRPr="002C2DEF" w:rsidP="002C2DEF">
      <w:pPr>
        <w:pStyle w:val="Heading1"/>
      </w:pPr>
      <w:bookmarkStart w:id="6" w:name="O_321201"/>
      <w:bookmarkEnd w:id="6"/>
      <w:r w:rsidRPr="002C2DEF">
        <w:t>Employability Skills Information</w:t>
      </w:r>
    </w:p>
    <w:p w:rsidR="00000000" w:rsidRPr="002C2DEF" w:rsidP="002C2DEF">
      <w:pPr>
        <w:pStyle w:val="BodyText"/>
      </w:pPr>
      <w:r w:rsidRPr="002C2DEF">
        <w:t>Not applicable.</w:t>
      </w:r>
    </w:p>
    <w:p w:rsidR="00000000" w:rsidRPr="002C2DEF" w:rsidP="002C2DEF">
      <w:pPr>
        <w:pStyle w:val="AllowPageBreak"/>
      </w:pPr>
    </w:p>
    <w:p w:rsidR="00000000" w:rsidRPr="002C2DEF" w:rsidP="002C2DEF">
      <w:pPr>
        <w:pStyle w:val="Heading1"/>
      </w:pPr>
      <w:bookmarkStart w:id="7" w:name="O_321196"/>
      <w:bookmarkEnd w:id="7"/>
      <w:r w:rsidRPr="002C2DEF">
        <w:t>Elements and Performance Criteria Pre-Content</w:t>
      </w:r>
    </w:p>
    <w:p w:rsidR="00000000" w:rsidRPr="002C2DEF" w:rsidP="002C2DEF">
      <w:pPr>
        <w:pStyle w:val="BodyText"/>
      </w:pPr>
      <w:r w:rsidRPr="002C2DEF">
        <w:t>Not applicable.</w:t>
      </w:r>
    </w:p>
    <w:p w:rsidR="00000000" w:rsidRPr="002C2DEF" w:rsidP="002C2DEF">
      <w:pPr>
        <w:pStyle w:val="AllowPageBreak"/>
      </w:pPr>
    </w:p>
    <w:p w:rsidR="00000000" w:rsidRPr="002C2DEF" w:rsidP="002C2DEF">
      <w:pPr>
        <w:pStyle w:val="Heading1"/>
      </w:pPr>
      <w:bookmarkStart w:id="8" w:name="O_321200"/>
      <w:bookmarkEnd w:id="8"/>
      <w:r w:rsidRPr="002C2DEF">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9C76C3">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2C2DEF">
            <w:pPr>
              <w:pStyle w:val="BodyText"/>
              <w:rPr>
                <w:lang w:val="en-NZ"/>
              </w:rPr>
            </w:pPr>
            <w:r w:rsidRPr="002C2DEF">
              <w:rPr>
                <w:rStyle w:val="SpecialBold"/>
              </w:rPr>
              <w:t>Elements and Performance Criteria</w:t>
            </w:r>
          </w:p>
        </w:tc>
      </w:tr>
      <w:tr w:rsidTr="009C76C3">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2C2DEF" w:rsidP="002C2DEF">
            <w:pPr>
              <w:pStyle w:val="BodyText"/>
            </w:pPr>
            <w:r w:rsidRPr="002C2DEF">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2C2DEF">
            <w:pPr>
              <w:pStyle w:val="BodyText"/>
              <w:rPr>
                <w:lang w:val="en-NZ"/>
              </w:rPr>
            </w:pPr>
            <w:r w:rsidRPr="002C2DEF">
              <w:rPr>
                <w:rStyle w:val="SpecialBold"/>
              </w:rPr>
              <w:t>Performance Criteria</w:t>
            </w:r>
          </w:p>
        </w:tc>
      </w:tr>
      <w:tr w:rsidTr="009C76C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C2DEF">
            <w:pPr>
              <w:pStyle w:val="BodyText"/>
              <w:rPr>
                <w:lang w:val="en-NZ"/>
              </w:rPr>
            </w:pPr>
            <w:r w:rsidRPr="002C2DEF">
              <w:t>1</w:t>
            </w:r>
          </w:p>
        </w:tc>
        <w:tc>
          <w:tcPr>
            <w:tcW w:w="3000" w:type="dxa"/>
            <w:vMerge w:val="restart"/>
            <w:tcBorders>
              <w:top w:val="nil"/>
              <w:left w:val="nil"/>
              <w:bottom w:val="nil"/>
              <w:right w:val="nil"/>
            </w:tcBorders>
            <w:tcMar>
              <w:top w:w="0" w:type="dxa"/>
              <w:left w:w="62" w:type="dxa"/>
              <w:bottom w:w="0" w:type="dxa"/>
              <w:right w:w="62" w:type="dxa"/>
            </w:tcMar>
          </w:tcPr>
          <w:p w:rsidR="00000000" w:rsidP="002C2DEF">
            <w:pPr>
              <w:pStyle w:val="BodyText"/>
              <w:rPr>
                <w:lang w:val="en-NZ"/>
              </w:rPr>
            </w:pPr>
            <w:r w:rsidRPr="002C2DEF">
              <w:t>Prepare for stump removal operations</w:t>
            </w:r>
          </w:p>
        </w:tc>
        <w:tc>
          <w:tcPr>
            <w:tcW w:w="500" w:type="dxa"/>
            <w:tcBorders>
              <w:top w:val="nil"/>
              <w:left w:val="nil"/>
              <w:bottom w:val="nil"/>
              <w:right w:val="nil"/>
            </w:tcBorders>
            <w:tcMar>
              <w:top w:w="0" w:type="dxa"/>
              <w:left w:w="62" w:type="dxa"/>
              <w:bottom w:w="0" w:type="dxa"/>
              <w:right w:w="62" w:type="dxa"/>
            </w:tcMar>
          </w:tcPr>
          <w:p w:rsidR="00000000" w:rsidRPr="002C2DEF" w:rsidP="002C2DEF">
            <w:pPr>
              <w:pStyle w:val="BodyText"/>
            </w:pPr>
            <w:r w:rsidRPr="002C2DEF">
              <w:t>1.1</w:t>
            </w:r>
          </w:p>
        </w:tc>
        <w:tc>
          <w:tcPr>
            <w:tcW w:w="5100" w:type="dxa"/>
            <w:tcBorders>
              <w:top w:val="nil"/>
              <w:left w:val="nil"/>
              <w:bottom w:val="nil"/>
              <w:right w:val="nil"/>
            </w:tcBorders>
            <w:tcMar>
              <w:top w:w="0" w:type="dxa"/>
              <w:left w:w="62" w:type="dxa"/>
              <w:bottom w:w="0" w:type="dxa"/>
              <w:right w:w="62" w:type="dxa"/>
            </w:tcMar>
          </w:tcPr>
          <w:p w:rsidR="00000000" w:rsidP="002C2DEF">
            <w:pPr>
              <w:pStyle w:val="BodyText"/>
              <w:rPr>
                <w:lang w:val="en-NZ"/>
              </w:rPr>
            </w:pPr>
            <w:r w:rsidRPr="002C2DEF">
              <w:rPr>
                <w:rStyle w:val="SpecialBold"/>
              </w:rPr>
              <w:t xml:space="preserve">Workplace information </w:t>
            </w:r>
            <w:r w:rsidRPr="002C2DEF">
              <w:t>regarding the removal of stumps is collected and interpreted.</w:t>
            </w:r>
          </w:p>
        </w:tc>
      </w:tr>
      <w:tr w:rsidTr="009C76C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C2DEF">
            <w:pPr>
              <w:pStyle w:val="BodyText"/>
              <w:rPr>
                <w:lang w:val="en-NZ"/>
              </w:rPr>
            </w:pPr>
            <w:r w:rsidRPr="002C2DEF">
              <w:t>1.2</w:t>
            </w:r>
          </w:p>
        </w:tc>
        <w:tc>
          <w:tcPr>
            <w:tcW w:w="5100" w:type="dxa"/>
            <w:tcBorders>
              <w:top w:val="nil"/>
              <w:left w:val="nil"/>
              <w:bottom w:val="nil"/>
              <w:right w:val="nil"/>
            </w:tcBorders>
            <w:tcMar>
              <w:top w:w="0" w:type="dxa"/>
              <w:left w:w="62" w:type="dxa"/>
              <w:bottom w:w="0" w:type="dxa"/>
              <w:right w:w="62" w:type="dxa"/>
            </w:tcMar>
          </w:tcPr>
          <w:p w:rsidR="00000000" w:rsidP="002C2DEF">
            <w:pPr>
              <w:pStyle w:val="BodyText"/>
              <w:rPr>
                <w:lang w:val="en-NZ"/>
              </w:rPr>
            </w:pPr>
            <w:r w:rsidRPr="002C2DEF">
              <w:t xml:space="preserve">All underground </w:t>
            </w:r>
            <w:r w:rsidRPr="002C2DEF">
              <w:rPr>
                <w:rStyle w:val="SpecialBold"/>
              </w:rPr>
              <w:t xml:space="preserve">services </w:t>
            </w:r>
            <w:r w:rsidRPr="002C2DEF">
              <w:t>are located according to supply authorities guidelines.</w:t>
            </w:r>
          </w:p>
        </w:tc>
      </w:tr>
      <w:tr w:rsidTr="009C76C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2C2DEF" w:rsidP="002C2DEF">
            <w:pPr>
              <w:pStyle w:val="BodyText"/>
            </w:pPr>
            <w:r w:rsidRPr="002C2DEF">
              <w:t>1.3</w:t>
            </w:r>
          </w:p>
        </w:tc>
        <w:tc>
          <w:tcPr>
            <w:tcW w:w="5100" w:type="dxa"/>
            <w:tcBorders>
              <w:top w:val="nil"/>
              <w:left w:val="nil"/>
              <w:bottom w:val="nil"/>
              <w:right w:val="nil"/>
            </w:tcBorders>
            <w:tcMar>
              <w:top w:w="0" w:type="dxa"/>
              <w:left w:w="62" w:type="dxa"/>
              <w:bottom w:w="0" w:type="dxa"/>
              <w:right w:w="62" w:type="dxa"/>
            </w:tcMar>
          </w:tcPr>
          <w:p w:rsidR="00000000" w:rsidP="002C2DEF">
            <w:pPr>
              <w:pStyle w:val="BodyText"/>
              <w:rPr>
                <w:lang w:val="en-NZ"/>
              </w:rPr>
            </w:pPr>
            <w:r w:rsidRPr="002C2DEF">
              <w:rPr>
                <w:rStyle w:val="SpecialBold"/>
              </w:rPr>
              <w:t xml:space="preserve">Tools and equipment </w:t>
            </w:r>
            <w:r w:rsidRPr="002C2DEF">
              <w:t>are selected according to supervisors instructions and manufacturers guidelines.</w:t>
            </w:r>
          </w:p>
        </w:tc>
      </w:tr>
      <w:tr w:rsidTr="009C76C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2C2DEF" w:rsidP="002C2DEF">
            <w:pPr>
              <w:pStyle w:val="BodyText"/>
            </w:pPr>
            <w:r w:rsidRPr="002C2DEF">
              <w:t>1.4</w:t>
            </w:r>
          </w:p>
        </w:tc>
        <w:tc>
          <w:tcPr>
            <w:tcW w:w="5100" w:type="dxa"/>
            <w:tcBorders>
              <w:top w:val="nil"/>
              <w:left w:val="nil"/>
              <w:bottom w:val="nil"/>
              <w:right w:val="nil"/>
            </w:tcBorders>
            <w:tcMar>
              <w:top w:w="0" w:type="dxa"/>
              <w:left w:w="62" w:type="dxa"/>
              <w:bottom w:w="0" w:type="dxa"/>
              <w:right w:w="62" w:type="dxa"/>
            </w:tcMar>
          </w:tcPr>
          <w:p w:rsidR="00000000" w:rsidP="002C2DEF">
            <w:pPr>
              <w:pStyle w:val="BodyText"/>
              <w:rPr>
                <w:lang w:val="en-NZ"/>
              </w:rPr>
            </w:pPr>
            <w:r w:rsidRPr="002C2DEF">
              <w:rPr>
                <w:rStyle w:val="SpecialBold"/>
              </w:rPr>
              <w:t xml:space="preserve">OHS hazards </w:t>
            </w:r>
            <w:r w:rsidRPr="002C2DEF">
              <w:t>are identified, risks assessed and reported to the supervisor.</w:t>
            </w:r>
          </w:p>
        </w:tc>
      </w:tr>
      <w:tr w:rsidTr="009C76C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C2DEF">
            <w:pPr>
              <w:pStyle w:val="BodyText"/>
              <w:rPr>
                <w:lang w:val="en-NZ"/>
              </w:rPr>
            </w:pPr>
            <w:r w:rsidRPr="002C2DEF">
              <w:t>1.5</w:t>
            </w:r>
          </w:p>
        </w:tc>
        <w:tc>
          <w:tcPr>
            <w:tcW w:w="5100" w:type="dxa"/>
            <w:tcBorders>
              <w:top w:val="nil"/>
              <w:left w:val="nil"/>
              <w:bottom w:val="nil"/>
              <w:right w:val="nil"/>
            </w:tcBorders>
            <w:tcMar>
              <w:top w:w="0" w:type="dxa"/>
              <w:left w:w="62" w:type="dxa"/>
              <w:bottom w:w="0" w:type="dxa"/>
              <w:right w:w="62" w:type="dxa"/>
            </w:tcMar>
          </w:tcPr>
          <w:p w:rsidR="00000000" w:rsidP="002C2DEF">
            <w:pPr>
              <w:pStyle w:val="BodyText"/>
              <w:rPr>
                <w:lang w:val="en-NZ"/>
              </w:rPr>
            </w:pPr>
            <w:r w:rsidRPr="002C2DEF">
              <w:t xml:space="preserve">Suitable </w:t>
            </w:r>
            <w:r w:rsidRPr="002C2DEF">
              <w:rPr>
                <w:rStyle w:val="SpecialBold"/>
              </w:rPr>
              <w:t xml:space="preserve">personal protective equipment (PPE) </w:t>
            </w:r>
            <w:r w:rsidRPr="002C2DEF">
              <w:t>is selected, used and maintained.</w:t>
            </w:r>
          </w:p>
        </w:tc>
      </w:tr>
      <w:tr w:rsidTr="009C76C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C2DEF">
            <w:pPr>
              <w:pStyle w:val="BodyText"/>
              <w:rPr>
                <w:lang w:val="en-NZ"/>
              </w:rPr>
            </w:pPr>
            <w:r w:rsidRPr="002C2DEF">
              <w:t>2</w:t>
            </w:r>
          </w:p>
        </w:tc>
        <w:tc>
          <w:tcPr>
            <w:tcW w:w="3000" w:type="dxa"/>
            <w:vMerge w:val="restart"/>
            <w:tcBorders>
              <w:top w:val="nil"/>
              <w:left w:val="nil"/>
              <w:bottom w:val="nil"/>
              <w:right w:val="nil"/>
            </w:tcBorders>
            <w:tcMar>
              <w:top w:w="0" w:type="dxa"/>
              <w:left w:w="62" w:type="dxa"/>
              <w:bottom w:w="0" w:type="dxa"/>
              <w:right w:w="62" w:type="dxa"/>
            </w:tcMar>
          </w:tcPr>
          <w:p w:rsidR="00000000" w:rsidP="002C2DEF">
            <w:pPr>
              <w:pStyle w:val="BodyText"/>
              <w:rPr>
                <w:lang w:val="en-NZ"/>
              </w:rPr>
            </w:pPr>
            <w:r w:rsidRPr="002C2DEF">
              <w:t>Unde</w:t>
            </w:r>
            <w:r w:rsidRPr="002C2DEF">
              <w:t>rtake removal operations</w:t>
            </w:r>
          </w:p>
        </w:tc>
        <w:tc>
          <w:tcPr>
            <w:tcW w:w="500" w:type="dxa"/>
            <w:tcBorders>
              <w:top w:val="nil"/>
              <w:left w:val="nil"/>
              <w:bottom w:val="nil"/>
              <w:right w:val="nil"/>
            </w:tcBorders>
            <w:tcMar>
              <w:top w:w="0" w:type="dxa"/>
              <w:left w:w="62" w:type="dxa"/>
              <w:bottom w:w="0" w:type="dxa"/>
              <w:right w:w="62" w:type="dxa"/>
            </w:tcMar>
          </w:tcPr>
          <w:p w:rsidR="00000000" w:rsidP="002C2DEF">
            <w:pPr>
              <w:pStyle w:val="BodyText"/>
              <w:rPr>
                <w:lang w:val="en-NZ"/>
              </w:rPr>
            </w:pPr>
            <w:r w:rsidRPr="002C2DEF">
              <w:t>2.1</w:t>
            </w:r>
          </w:p>
        </w:tc>
        <w:tc>
          <w:tcPr>
            <w:tcW w:w="5100" w:type="dxa"/>
            <w:tcBorders>
              <w:top w:val="nil"/>
              <w:left w:val="nil"/>
              <w:bottom w:val="nil"/>
              <w:right w:val="nil"/>
            </w:tcBorders>
            <w:tcMar>
              <w:top w:w="0" w:type="dxa"/>
              <w:left w:w="62" w:type="dxa"/>
              <w:bottom w:w="0" w:type="dxa"/>
              <w:right w:w="62" w:type="dxa"/>
            </w:tcMar>
          </w:tcPr>
          <w:p w:rsidR="00000000" w:rsidP="002C2DEF">
            <w:pPr>
              <w:pStyle w:val="BodyText"/>
              <w:rPr>
                <w:lang w:val="en-NZ"/>
              </w:rPr>
            </w:pPr>
            <w:r w:rsidRPr="002C2DEF">
              <w:t>Pre-operational and safety checks are carried out on stump removing tools and equipment, according to enterprise guidelines.</w:t>
            </w:r>
          </w:p>
        </w:tc>
      </w:tr>
      <w:tr w:rsidTr="009C76C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C2DEF">
            <w:pPr>
              <w:pStyle w:val="BodyText"/>
              <w:rPr>
                <w:lang w:val="en-NZ"/>
              </w:rPr>
            </w:pPr>
            <w:r w:rsidRPr="002C2DEF">
              <w:t>2.2</w:t>
            </w:r>
          </w:p>
        </w:tc>
        <w:tc>
          <w:tcPr>
            <w:tcW w:w="5100" w:type="dxa"/>
            <w:tcBorders>
              <w:top w:val="nil"/>
              <w:left w:val="nil"/>
              <w:bottom w:val="nil"/>
              <w:right w:val="nil"/>
            </w:tcBorders>
            <w:tcMar>
              <w:top w:w="0" w:type="dxa"/>
              <w:left w:w="62" w:type="dxa"/>
              <w:bottom w:w="0" w:type="dxa"/>
              <w:right w:w="62" w:type="dxa"/>
            </w:tcMar>
          </w:tcPr>
          <w:p w:rsidR="00000000" w:rsidP="002C2DEF">
            <w:pPr>
              <w:pStyle w:val="BodyText"/>
              <w:rPr>
                <w:lang w:val="en-NZ"/>
              </w:rPr>
            </w:pPr>
            <w:r w:rsidRPr="002C2DEF">
              <w:t xml:space="preserve">Tools and equipment appropriate to the task being undertaken are used according to </w:t>
            </w:r>
            <w:r w:rsidRPr="002C2DEF">
              <w:rPr>
                <w:rStyle w:val="SpecialBold"/>
              </w:rPr>
              <w:t>OHS requirements.</w:t>
            </w:r>
          </w:p>
        </w:tc>
      </w:tr>
      <w:tr w:rsidTr="009C76C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C2DEF">
            <w:pPr>
              <w:pStyle w:val="BodyText"/>
              <w:rPr>
                <w:lang w:val="en-NZ"/>
              </w:rPr>
            </w:pPr>
            <w:r w:rsidRPr="002C2DEF">
              <w:t>2.3</w:t>
            </w:r>
          </w:p>
        </w:tc>
        <w:tc>
          <w:tcPr>
            <w:tcW w:w="5100" w:type="dxa"/>
            <w:tcBorders>
              <w:top w:val="nil"/>
              <w:left w:val="nil"/>
              <w:bottom w:val="nil"/>
              <w:right w:val="nil"/>
            </w:tcBorders>
            <w:tcMar>
              <w:top w:w="0" w:type="dxa"/>
              <w:left w:w="62" w:type="dxa"/>
              <w:bottom w:w="0" w:type="dxa"/>
              <w:right w:w="62" w:type="dxa"/>
            </w:tcMar>
          </w:tcPr>
          <w:p w:rsidR="00000000" w:rsidP="002C2DEF">
            <w:pPr>
              <w:pStyle w:val="BodyText"/>
              <w:rPr>
                <w:lang w:val="en-NZ"/>
              </w:rPr>
            </w:pPr>
            <w:r w:rsidRPr="002C2DEF">
              <w:t>Stump is removed to agreed depth and spread without damage to underground services and surrounding areas.</w:t>
            </w:r>
          </w:p>
        </w:tc>
      </w:tr>
      <w:tr w:rsidTr="009C76C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C2DEF">
            <w:pPr>
              <w:pStyle w:val="BodyText"/>
              <w:rPr>
                <w:lang w:val="en-NZ"/>
              </w:rPr>
            </w:pPr>
            <w:r w:rsidRPr="002C2DEF">
              <w:t>2.4</w:t>
            </w:r>
          </w:p>
        </w:tc>
        <w:tc>
          <w:tcPr>
            <w:tcW w:w="5100" w:type="dxa"/>
            <w:tcBorders>
              <w:top w:val="nil"/>
              <w:left w:val="nil"/>
              <w:bottom w:val="nil"/>
              <w:right w:val="nil"/>
            </w:tcBorders>
            <w:tcMar>
              <w:top w:w="0" w:type="dxa"/>
              <w:left w:w="62" w:type="dxa"/>
              <w:bottom w:w="0" w:type="dxa"/>
              <w:right w:w="62" w:type="dxa"/>
            </w:tcMar>
          </w:tcPr>
          <w:p w:rsidR="00000000" w:rsidP="002C2DEF">
            <w:pPr>
              <w:pStyle w:val="BodyText"/>
              <w:rPr>
                <w:lang w:val="en-NZ"/>
              </w:rPr>
            </w:pPr>
            <w:r w:rsidRPr="002C2DEF">
              <w:t>Stump hole is back-filled and consolidated to original ground level according to enterprise policy.</w:t>
            </w:r>
          </w:p>
        </w:tc>
      </w:tr>
      <w:tr w:rsidTr="009C76C3">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C2DEF">
            <w:pPr>
              <w:pStyle w:val="BodyText"/>
              <w:rPr>
                <w:lang w:val="en-NZ"/>
              </w:rPr>
            </w:pPr>
            <w:r w:rsidRPr="002C2DEF">
              <w:t>3</w:t>
            </w:r>
          </w:p>
        </w:tc>
        <w:tc>
          <w:tcPr>
            <w:tcW w:w="3000" w:type="dxa"/>
            <w:vMerge w:val="restart"/>
            <w:tcBorders>
              <w:top w:val="nil"/>
              <w:left w:val="nil"/>
              <w:bottom w:val="nil"/>
              <w:right w:val="nil"/>
            </w:tcBorders>
            <w:tcMar>
              <w:top w:w="0" w:type="dxa"/>
              <w:left w:w="62" w:type="dxa"/>
              <w:bottom w:w="0" w:type="dxa"/>
              <w:right w:w="62" w:type="dxa"/>
            </w:tcMar>
          </w:tcPr>
          <w:p w:rsidR="00000000" w:rsidP="002C2DEF">
            <w:pPr>
              <w:pStyle w:val="BodyText"/>
              <w:rPr>
                <w:lang w:val="en-NZ"/>
              </w:rPr>
            </w:pPr>
            <w:r w:rsidRPr="002C2DEF">
              <w:t>Complete stump removal operations</w:t>
            </w:r>
          </w:p>
        </w:tc>
        <w:tc>
          <w:tcPr>
            <w:tcW w:w="500" w:type="dxa"/>
            <w:tcBorders>
              <w:top w:val="nil"/>
              <w:left w:val="nil"/>
              <w:bottom w:val="nil"/>
              <w:right w:val="nil"/>
            </w:tcBorders>
            <w:tcMar>
              <w:top w:w="0" w:type="dxa"/>
              <w:left w:w="62" w:type="dxa"/>
              <w:bottom w:w="0" w:type="dxa"/>
              <w:right w:w="62" w:type="dxa"/>
            </w:tcMar>
          </w:tcPr>
          <w:p w:rsidR="00000000" w:rsidP="002C2DEF">
            <w:pPr>
              <w:pStyle w:val="BodyText"/>
              <w:rPr>
                <w:lang w:val="en-NZ"/>
              </w:rPr>
            </w:pPr>
            <w:r w:rsidRPr="002C2DEF">
              <w:t>3.1</w:t>
            </w:r>
          </w:p>
        </w:tc>
        <w:tc>
          <w:tcPr>
            <w:tcW w:w="5100" w:type="dxa"/>
            <w:tcBorders>
              <w:top w:val="nil"/>
              <w:left w:val="nil"/>
              <w:bottom w:val="nil"/>
              <w:right w:val="nil"/>
            </w:tcBorders>
            <w:tcMar>
              <w:top w:w="0" w:type="dxa"/>
              <w:left w:w="62" w:type="dxa"/>
              <w:bottom w:w="0" w:type="dxa"/>
              <w:right w:w="62" w:type="dxa"/>
            </w:tcMar>
          </w:tcPr>
          <w:p w:rsidR="00000000" w:rsidP="002C2DEF">
            <w:pPr>
              <w:pStyle w:val="BodyText"/>
              <w:rPr>
                <w:lang w:val="en-NZ"/>
              </w:rPr>
            </w:pPr>
            <w:r w:rsidRPr="002C2DEF">
              <w:t>Waste material is collected and disposed of and/or recycled in a manner that causes minimal damage to the environment.</w:t>
            </w:r>
          </w:p>
        </w:tc>
      </w:tr>
      <w:tr w:rsidTr="009C76C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C2DEF">
            <w:pPr>
              <w:pStyle w:val="BodyText"/>
              <w:rPr>
                <w:lang w:val="en-NZ"/>
              </w:rPr>
            </w:pPr>
            <w:r w:rsidRPr="002C2DEF">
              <w:t>3.2</w:t>
            </w:r>
          </w:p>
        </w:tc>
        <w:tc>
          <w:tcPr>
            <w:tcW w:w="5100" w:type="dxa"/>
            <w:tcBorders>
              <w:top w:val="nil"/>
              <w:left w:val="nil"/>
              <w:bottom w:val="nil"/>
              <w:right w:val="nil"/>
            </w:tcBorders>
            <w:tcMar>
              <w:top w:w="0" w:type="dxa"/>
              <w:left w:w="62" w:type="dxa"/>
              <w:bottom w:w="0" w:type="dxa"/>
              <w:right w:w="62" w:type="dxa"/>
            </w:tcMar>
          </w:tcPr>
          <w:p w:rsidR="00000000" w:rsidP="002C2DEF">
            <w:pPr>
              <w:pStyle w:val="BodyText"/>
              <w:rPr>
                <w:lang w:val="en-NZ"/>
              </w:rPr>
            </w:pPr>
            <w:r w:rsidRPr="002C2DEF">
              <w:t>Tools and equipment are cleaned, maintained and stored according to manufacturers specificat</w:t>
            </w:r>
            <w:r w:rsidRPr="002C2DEF">
              <w:t>ions and enterprise guidelines.</w:t>
            </w:r>
          </w:p>
        </w:tc>
      </w:tr>
      <w:tr w:rsidTr="009C76C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C2DEF">
            <w:pPr>
              <w:pStyle w:val="BodyText"/>
              <w:rPr>
                <w:lang w:val="en-NZ"/>
              </w:rPr>
            </w:pPr>
            <w:r w:rsidRPr="002C2DEF">
              <w:t>3.3</w:t>
            </w:r>
          </w:p>
        </w:tc>
        <w:tc>
          <w:tcPr>
            <w:tcW w:w="5100" w:type="dxa"/>
            <w:tcBorders>
              <w:top w:val="nil"/>
              <w:left w:val="nil"/>
              <w:bottom w:val="nil"/>
              <w:right w:val="nil"/>
            </w:tcBorders>
            <w:tcMar>
              <w:top w:w="0" w:type="dxa"/>
              <w:left w:w="62" w:type="dxa"/>
              <w:bottom w:w="0" w:type="dxa"/>
              <w:right w:w="62" w:type="dxa"/>
            </w:tcMar>
          </w:tcPr>
          <w:p w:rsidR="00000000" w:rsidP="002C2DEF">
            <w:pPr>
              <w:pStyle w:val="BodyText"/>
              <w:rPr>
                <w:lang w:val="en-NZ"/>
              </w:rPr>
            </w:pPr>
            <w:r w:rsidRPr="002C2DEF">
              <w:t xml:space="preserve">A </w:t>
            </w:r>
            <w:r w:rsidRPr="002C2DEF">
              <w:rPr>
                <w:rStyle w:val="SpecialBold"/>
              </w:rPr>
              <w:t xml:space="preserve">clean and safe work area </w:t>
            </w:r>
            <w:r w:rsidRPr="002C2DEF">
              <w:t>is maintained throughout and upon completion of work according to work procedures.</w:t>
            </w:r>
          </w:p>
        </w:tc>
      </w:tr>
      <w:tr w:rsidTr="009C76C3">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C2DEF">
            <w:pPr>
              <w:pStyle w:val="BodyText"/>
              <w:rPr>
                <w:lang w:val="en-NZ"/>
              </w:rPr>
            </w:pPr>
            <w:r w:rsidRPr="002C2DEF">
              <w:t>3.4</w:t>
            </w:r>
          </w:p>
        </w:tc>
        <w:tc>
          <w:tcPr>
            <w:tcW w:w="5100" w:type="dxa"/>
            <w:tcBorders>
              <w:top w:val="nil"/>
              <w:left w:val="nil"/>
              <w:bottom w:val="nil"/>
              <w:right w:val="nil"/>
            </w:tcBorders>
            <w:tcMar>
              <w:top w:w="0" w:type="dxa"/>
              <w:left w:w="62" w:type="dxa"/>
              <w:bottom w:w="0" w:type="dxa"/>
              <w:right w:w="62" w:type="dxa"/>
            </w:tcMar>
          </w:tcPr>
          <w:p w:rsidR="00000000" w:rsidRPr="002C2DEF" w:rsidP="002C2DEF">
            <w:pPr>
              <w:pStyle w:val="BodyText"/>
            </w:pPr>
            <w:r w:rsidRPr="002C2DEF">
              <w:t xml:space="preserve">Relevant </w:t>
            </w:r>
            <w:r w:rsidRPr="002C2DEF">
              <w:rPr>
                <w:rStyle w:val="SpecialBold"/>
              </w:rPr>
              <w:t xml:space="preserve">records </w:t>
            </w:r>
            <w:r w:rsidRPr="002C2DEF">
              <w:t>are maintained according to enterprise guidelines.</w:t>
            </w:r>
          </w:p>
        </w:tc>
      </w:tr>
    </w:tbl>
    <w:p w:rsidR="00000000" w:rsidRPr="002C2DEF" w:rsidP="002C2DEF">
      <w:pPr>
        <w:pStyle w:val="BodyText"/>
      </w:pPr>
    </w:p>
    <w:p w:rsidR="00000000" w:rsidRPr="002C2DEF" w:rsidP="002C2DEF">
      <w:pPr>
        <w:pStyle w:val="AllowPageBreak"/>
      </w:pPr>
    </w:p>
    <w:p w:rsidR="00000000" w:rsidRPr="002C2DEF" w:rsidP="002C2DEF">
      <w:pPr>
        <w:pStyle w:val="Heading1"/>
      </w:pPr>
      <w:bookmarkStart w:id="9" w:name="O_321199"/>
      <w:bookmarkEnd w:id="9"/>
      <w:r w:rsidRPr="002C2DEF">
        <w:t>Required Skills and Knowledge</w:t>
      </w:r>
    </w:p>
    <w:p w:rsidR="00000000" w:rsidRPr="002C2DEF" w:rsidP="002C2DEF">
      <w:pPr>
        <w:pStyle w:val="BodyText"/>
      </w:pPr>
      <w:r w:rsidRPr="002C2DEF">
        <w:t>Not applicable.</w:t>
      </w:r>
    </w:p>
    <w:p w:rsidR="00000000" w:rsidRPr="002C2DEF" w:rsidP="002C2DEF">
      <w:pPr>
        <w:pStyle w:val="AllowPageBreak"/>
      </w:pPr>
    </w:p>
    <w:p w:rsidR="00000000" w:rsidRPr="002C2DEF" w:rsidP="002C2DEF">
      <w:pPr>
        <w:pStyle w:val="Heading1"/>
      </w:pPr>
      <w:bookmarkStart w:id="10" w:name="O_321198"/>
      <w:bookmarkEnd w:id="10"/>
      <w:r w:rsidRPr="002C2DEF">
        <w:t>Evidence Guide</w:t>
      </w:r>
    </w:p>
    <w:tbl>
      <w:tblPr>
        <w:tblW w:w="0" w:type="auto"/>
        <w:tblLayout w:type="fixed"/>
        <w:tblCellMar>
          <w:left w:w="62" w:type="dxa"/>
          <w:right w:w="62" w:type="dxa"/>
        </w:tblCellMar>
        <w:tblLook w:val="0000"/>
      </w:tblPr>
      <w:tblGrid>
        <w:gridCol w:w="4500"/>
        <w:gridCol w:w="4500"/>
      </w:tblGrid>
      <w:tr w:rsidTr="009C76C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C2DEF">
            <w:pPr>
              <w:pStyle w:val="BodyText"/>
              <w:rPr>
                <w:lang w:val="en-NZ"/>
              </w:rPr>
            </w:pPr>
          </w:p>
        </w:tc>
      </w:tr>
      <w:tr w:rsidTr="009C76C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2C2DEF" w:rsidP="002C2DEF">
            <w:pPr>
              <w:pStyle w:val="BodyText"/>
            </w:pPr>
            <w:r w:rsidRPr="002C2DEF">
              <w:rPr>
                <w:rStyle w:val="SpecialBold"/>
              </w:rPr>
              <w:t>What evidence is required to demonstrate competence for this standard as a whole</w:t>
            </w:r>
            <w:r w:rsidRPr="002C2DEF">
              <w:t>?</w:t>
            </w:r>
          </w:p>
          <w:p w:rsidR="00000000" w:rsidRPr="002C2DEF" w:rsidP="002C2DEF">
            <w:pPr>
              <w:pStyle w:val="BodyText"/>
            </w:pPr>
            <w:r w:rsidRPr="002C2DEF">
              <w:t>Overall competence in undertaking stump removal requires evidence that a person working in a horticultural environment is aware of the procedures and methods that are used to undertake stump removal, and is confident in applying these procedures.  Skills a</w:t>
            </w:r>
            <w:r w:rsidRPr="002C2DEF">
              <w:t>nd knowledge relating to the task, such as operating powered machinery and hand tools, interpreting site and service plans, identifying and minimising hazards, and maintaining clean and safe work areas is also required when undertaking stump removal.</w:t>
            </w:r>
          </w:p>
          <w:p w:rsidR="00000000" w:rsidP="002C2DEF">
            <w:pPr>
              <w:pStyle w:val="BodyText"/>
              <w:rPr>
                <w:lang w:val="en-NZ"/>
              </w:rPr>
            </w:pPr>
            <w:r w:rsidRPr="002C2DEF">
              <w:t>The s</w:t>
            </w:r>
            <w:r w:rsidRPr="002C2DEF">
              <w:t xml:space="preserve">kills and knowledge required to undertake stump removal must be </w:t>
            </w:r>
            <w:r w:rsidRPr="002C2DEF">
              <w:rPr>
                <w:rStyle w:val="SpecialBold"/>
              </w:rPr>
              <w:t>transferable</w:t>
            </w:r>
            <w:r w:rsidRPr="002C2DEF">
              <w:t xml:space="preserve"> to a different work environment.  For example, this could include different situations, tree species and degrees of site access. </w:t>
            </w:r>
          </w:p>
        </w:tc>
      </w:tr>
      <w:tr w:rsidTr="009C76C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C2DEF">
            <w:pPr>
              <w:pStyle w:val="BodyText"/>
              <w:rPr>
                <w:lang w:val="en-NZ"/>
              </w:rPr>
            </w:pPr>
          </w:p>
        </w:tc>
      </w:tr>
      <w:tr w:rsidTr="009C76C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C2DEF">
            <w:pPr>
              <w:pStyle w:val="BodyText"/>
              <w:rPr>
                <w:lang w:val="en-NZ"/>
              </w:rPr>
            </w:pPr>
            <w:r w:rsidRPr="002C2DEF">
              <w:rPr>
                <w:rStyle w:val="SpecialBold"/>
              </w:rPr>
              <w:t>What specific knowledge is needed to achieve</w:t>
            </w:r>
            <w:r w:rsidRPr="002C2DEF">
              <w:rPr>
                <w:rStyle w:val="SpecialBold"/>
              </w:rPr>
              <w:t xml:space="preserve"> the performance criteria</w:t>
            </w:r>
            <w:r w:rsidRPr="002C2DEF">
              <w:t>?</w:t>
            </w:r>
          </w:p>
        </w:tc>
        <w:tc>
          <w:tcPr>
            <w:tcW w:w="4500" w:type="dxa"/>
            <w:tcBorders>
              <w:top w:val="nil"/>
              <w:left w:val="nil"/>
              <w:bottom w:val="nil"/>
              <w:right w:val="nil"/>
            </w:tcBorders>
            <w:tcMar>
              <w:top w:w="0" w:type="dxa"/>
              <w:left w:w="62" w:type="dxa"/>
              <w:bottom w:w="0" w:type="dxa"/>
              <w:right w:w="62" w:type="dxa"/>
            </w:tcMar>
          </w:tcPr>
          <w:p w:rsidR="00000000" w:rsidRPr="002C2DEF" w:rsidP="002C2DEF">
            <w:pPr>
              <w:pStyle w:val="BodyText"/>
            </w:pPr>
            <w:r w:rsidRPr="002C2DEF">
              <w:t>Knowledge and understanding are essential to apply this standard in the workplace, to transfer the skills to other contexts, and to deal with unplanned events.  The knowledge requirements for this competency standard are listed b</w:t>
            </w:r>
            <w:r w:rsidRPr="002C2DEF">
              <w:t xml:space="preserve">elow:    </w:t>
            </w:r>
          </w:p>
          <w:p w:rsidR="00000000" w:rsidRPr="002C2DEF" w:rsidP="002C2DEF">
            <w:pPr>
              <w:pStyle w:val="BodyText"/>
            </w:pPr>
            <w:r w:rsidRPr="002C2DEF">
              <w:t>manufacturer guidelines for operating stump grinding machinery</w:t>
            </w:r>
          </w:p>
          <w:p w:rsidR="00000000" w:rsidRPr="002C2DEF" w:rsidP="002C2DEF">
            <w:pPr>
              <w:pStyle w:val="BodyText"/>
            </w:pPr>
            <w:r w:rsidRPr="002C2DEF">
              <w:t>environmental implications of removal activities including run off, drainage, salinity and soil erosion, and soil disturbance</w:t>
            </w:r>
          </w:p>
          <w:p w:rsidR="00000000" w:rsidRPr="002C2DEF" w:rsidP="002C2DEF">
            <w:pPr>
              <w:pStyle w:val="BodyText"/>
            </w:pPr>
            <w:r w:rsidRPr="002C2DEF">
              <w:t>removal practices associated with different soil types</w:t>
            </w:r>
          </w:p>
          <w:p w:rsidR="00000000" w:rsidP="002C2DEF">
            <w:pPr>
              <w:pStyle w:val="BodyText"/>
              <w:rPr>
                <w:lang w:val="en-NZ"/>
              </w:rPr>
            </w:pPr>
            <w:r w:rsidRPr="002C2DEF">
              <w:t>th</w:t>
            </w:r>
            <w:r w:rsidRPr="002C2DEF">
              <w:t xml:space="preserve">e effect of adverse outdoor climatic conditions (e.g. rain, hail, or wind), which may prevent or impede removal operations. </w:t>
            </w:r>
          </w:p>
        </w:tc>
      </w:tr>
      <w:tr w:rsidTr="009C76C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C2DEF">
            <w:pPr>
              <w:pStyle w:val="BodyText"/>
              <w:rPr>
                <w:lang w:val="en-NZ"/>
              </w:rPr>
            </w:pPr>
            <w:r w:rsidRPr="002C2DEF">
              <w:rPr>
                <w:rStyle w:val="SpecialBold"/>
              </w:rPr>
              <w:t>What specific skills are needed to achieve the performance criteria</w:t>
            </w:r>
            <w:r w:rsidRPr="002C2DEF">
              <w:t xml:space="preserve">? </w:t>
            </w:r>
          </w:p>
        </w:tc>
        <w:tc>
          <w:tcPr>
            <w:tcW w:w="4500" w:type="dxa"/>
            <w:tcBorders>
              <w:top w:val="nil"/>
              <w:left w:val="nil"/>
              <w:bottom w:val="nil"/>
              <w:right w:val="nil"/>
            </w:tcBorders>
            <w:tcMar>
              <w:top w:w="0" w:type="dxa"/>
              <w:left w:w="62" w:type="dxa"/>
              <w:bottom w:w="0" w:type="dxa"/>
              <w:right w:w="62" w:type="dxa"/>
            </w:tcMar>
          </w:tcPr>
          <w:p w:rsidR="00000000" w:rsidRPr="002C2DEF" w:rsidP="002C2DEF">
            <w:pPr>
              <w:pStyle w:val="BodyText"/>
            </w:pPr>
            <w:r w:rsidRPr="002C2DEF">
              <w:t>To achieve the performance criteria, appropriate literacy an</w:t>
            </w:r>
            <w:r w:rsidRPr="002C2DEF">
              <w:t xml:space="preserve">d numeracy levels as well as some complementary skills are required.  These include the ability to:    </w:t>
            </w:r>
          </w:p>
          <w:p w:rsidR="00000000" w:rsidRPr="002C2DEF" w:rsidP="002C2DEF">
            <w:pPr>
              <w:pStyle w:val="BodyText"/>
            </w:pPr>
            <w:r w:rsidRPr="002C2DEF">
              <w:t>prepare for stump removal operations</w:t>
            </w:r>
          </w:p>
          <w:p w:rsidR="00000000" w:rsidRPr="002C2DEF" w:rsidP="002C2DEF">
            <w:pPr>
              <w:pStyle w:val="BodyText"/>
            </w:pPr>
            <w:r w:rsidRPr="002C2DEF">
              <w:t>undertake removal operations</w:t>
            </w:r>
          </w:p>
          <w:p w:rsidR="00000000" w:rsidP="002C2DEF">
            <w:pPr>
              <w:pStyle w:val="BodyText"/>
              <w:rPr>
                <w:lang w:val="en-NZ"/>
              </w:rPr>
            </w:pPr>
            <w:r w:rsidRPr="002C2DEF">
              <w:t xml:space="preserve">complete stump removal operations. </w:t>
            </w:r>
          </w:p>
        </w:tc>
      </w:tr>
      <w:tr w:rsidTr="009C76C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C2DEF">
            <w:pPr>
              <w:pStyle w:val="BodyText"/>
              <w:rPr>
                <w:lang w:val="en-NZ"/>
              </w:rPr>
            </w:pPr>
          </w:p>
        </w:tc>
      </w:tr>
      <w:tr w:rsidTr="009C76C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2C2DEF" w:rsidP="002C2DEF">
            <w:pPr>
              <w:pStyle w:val="BodyText"/>
            </w:pPr>
            <w:r w:rsidRPr="002C2DEF">
              <w:rPr>
                <w:rStyle w:val="SpecialBold"/>
              </w:rPr>
              <w:t>What processes should be applied to this competency standard</w:t>
            </w:r>
            <w:r w:rsidRPr="002C2DEF">
              <w:t>?</w:t>
            </w:r>
          </w:p>
          <w:p w:rsidR="00000000" w:rsidP="002C2DEF">
            <w:pPr>
              <w:pStyle w:val="BodyText"/>
              <w:rPr>
                <w:lang w:val="en-NZ"/>
              </w:rPr>
            </w:pPr>
            <w:r w:rsidRPr="002C2DEF">
              <w:t>There are a number of processes that are learnt throughout work and life, which are required in all jobs.  They are fundamental processes and generally transferable to other work functions.  Som</w:t>
            </w:r>
            <w:r w:rsidRPr="002C2DEF">
              <w:t xml:space="preserve">e of these are covered by the </w:t>
            </w:r>
            <w:r w:rsidRPr="002C2DEF">
              <w:rPr>
                <w:rStyle w:val="SpecialBold"/>
              </w:rPr>
              <w:t>key competencies</w:t>
            </w:r>
            <w:r w:rsidRPr="002C2DEF">
              <w:t>, although others may be added.  The questions below highlight how these processes are applied in this competency standard.  Following each question a number in brackets indicates the level to which the key com</w:t>
            </w:r>
            <w:r w:rsidRPr="002C2DEF">
              <w:t xml:space="preserve">petency needs to be demonstrated where 0 = not required, 1 = perform the process, 2 = perform and administer the process and 3 = perform, administer and design the process. </w:t>
            </w:r>
          </w:p>
        </w:tc>
      </w:tr>
      <w:tr w:rsidTr="009C76C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C2DEF">
            <w:pPr>
              <w:pStyle w:val="BodyText"/>
              <w:rPr>
                <w:lang w:val="en-NZ"/>
              </w:rPr>
            </w:pPr>
            <w:r w:rsidRPr="002C2DEF">
              <w:t xml:space="preserve">1. How can </w:t>
            </w:r>
            <w:r w:rsidRPr="002C2DEF">
              <w:rPr>
                <w:rStyle w:val="SpecialBold"/>
              </w:rPr>
              <w:t>communication of ideas and information</w:t>
            </w:r>
            <w:r w:rsidRPr="002C2DEF">
              <w:t xml:space="preserve"> (</w:t>
            </w:r>
            <w:r w:rsidRPr="002C2DEF">
              <w:rPr>
                <w:rStyle w:val="SpecialBold"/>
              </w:rPr>
              <w:t>1</w:t>
            </w:r>
            <w:r w:rsidRPr="002C2DEF">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2C2DEF">
            <w:pPr>
              <w:pStyle w:val="BodyText"/>
              <w:rPr>
                <w:lang w:val="en-NZ"/>
              </w:rPr>
            </w:pPr>
            <w:r w:rsidRPr="002C2DEF">
              <w:t>Information a</w:t>
            </w:r>
            <w:r w:rsidRPr="002C2DEF">
              <w:t xml:space="preserve">bout specific tasks associated with the job, such as work completion and hazards encountered, may be communicated to work colleagues and the supervisor. </w:t>
            </w:r>
          </w:p>
        </w:tc>
      </w:tr>
      <w:tr w:rsidTr="009C76C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C2DEF">
            <w:pPr>
              <w:pStyle w:val="BodyText"/>
              <w:rPr>
                <w:lang w:val="en-NZ"/>
              </w:rPr>
            </w:pPr>
            <w:r w:rsidRPr="002C2DEF">
              <w:t xml:space="preserve">2. How can </w:t>
            </w:r>
            <w:r w:rsidRPr="002C2DEF">
              <w:rPr>
                <w:rStyle w:val="SpecialBold"/>
              </w:rPr>
              <w:t>information be collected</w:t>
            </w:r>
            <w:r w:rsidRPr="002C2DEF">
              <w:t xml:space="preserve">, </w:t>
            </w:r>
            <w:r w:rsidRPr="002C2DEF">
              <w:rPr>
                <w:rStyle w:val="SpecialBold"/>
              </w:rPr>
              <w:t>analysed and organised</w:t>
            </w:r>
            <w:r w:rsidRPr="002C2DEF">
              <w:t xml:space="preserve"> (</w:t>
            </w:r>
            <w:r w:rsidRPr="002C2DEF">
              <w:rPr>
                <w:rStyle w:val="SpecialBold"/>
              </w:rPr>
              <w:t>1</w:t>
            </w:r>
            <w:r w:rsidRPr="002C2DEF">
              <w:t xml:space="preserve">)? </w:t>
            </w:r>
          </w:p>
        </w:tc>
        <w:tc>
          <w:tcPr>
            <w:tcW w:w="4500" w:type="dxa"/>
            <w:tcBorders>
              <w:top w:val="nil"/>
              <w:left w:val="nil"/>
              <w:bottom w:val="nil"/>
              <w:right w:val="nil"/>
            </w:tcBorders>
            <w:tcMar>
              <w:top w:w="0" w:type="dxa"/>
              <w:left w:w="62" w:type="dxa"/>
              <w:bottom w:w="0" w:type="dxa"/>
              <w:right w:w="62" w:type="dxa"/>
            </w:tcMar>
          </w:tcPr>
          <w:p w:rsidR="00000000" w:rsidP="002C2DEF">
            <w:pPr>
              <w:pStyle w:val="BodyText"/>
              <w:rPr>
                <w:lang w:val="en-NZ"/>
              </w:rPr>
            </w:pPr>
            <w:r w:rsidRPr="002C2DEF">
              <w:t>Information such as removal techniq</w:t>
            </w:r>
            <w:r w:rsidRPr="002C2DEF">
              <w:t xml:space="preserve">ues, site and service plans, and appropriate tools and equipment should be discussed with the supervisor and work team members. </w:t>
            </w:r>
          </w:p>
        </w:tc>
      </w:tr>
      <w:tr w:rsidTr="009C76C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C2DEF">
            <w:pPr>
              <w:pStyle w:val="BodyText"/>
              <w:rPr>
                <w:lang w:val="en-NZ"/>
              </w:rPr>
            </w:pPr>
            <w:r w:rsidRPr="002C2DEF">
              <w:t xml:space="preserve">3. How are </w:t>
            </w:r>
            <w:r w:rsidRPr="002C2DEF">
              <w:rPr>
                <w:rStyle w:val="SpecialBold"/>
              </w:rPr>
              <w:t>activities planned and organised</w:t>
            </w:r>
            <w:r w:rsidRPr="002C2DEF">
              <w:t xml:space="preserve"> (</w:t>
            </w:r>
            <w:r w:rsidRPr="002C2DEF">
              <w:rPr>
                <w:rStyle w:val="SpecialBold"/>
              </w:rPr>
              <w:t>1</w:t>
            </w:r>
            <w:r w:rsidRPr="002C2DEF">
              <w:t xml:space="preserve">)? </w:t>
            </w:r>
          </w:p>
        </w:tc>
        <w:tc>
          <w:tcPr>
            <w:tcW w:w="4500" w:type="dxa"/>
            <w:tcBorders>
              <w:top w:val="nil"/>
              <w:left w:val="nil"/>
              <w:bottom w:val="nil"/>
              <w:right w:val="nil"/>
            </w:tcBorders>
            <w:tcMar>
              <w:top w:w="0" w:type="dxa"/>
              <w:left w:w="62" w:type="dxa"/>
              <w:bottom w:w="0" w:type="dxa"/>
              <w:right w:w="62" w:type="dxa"/>
            </w:tcMar>
          </w:tcPr>
          <w:p w:rsidR="00000000" w:rsidP="002C2DEF">
            <w:pPr>
              <w:pStyle w:val="BodyText"/>
              <w:rPr>
                <w:lang w:val="en-NZ"/>
              </w:rPr>
            </w:pPr>
            <w:r w:rsidRPr="002C2DEF">
              <w:t xml:space="preserve">Pre-operational checks and organisation of all tools, equipment and materials should be arranged before removal begins.  Work schedules, location of services, site plans and personnel involved should also be arranged before removal activities begin. </w:t>
            </w:r>
          </w:p>
        </w:tc>
      </w:tr>
      <w:tr w:rsidTr="009C76C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C2DEF">
            <w:pPr>
              <w:pStyle w:val="BodyText"/>
              <w:rPr>
                <w:lang w:val="en-NZ"/>
              </w:rPr>
            </w:pPr>
            <w:r w:rsidRPr="002C2DEF">
              <w:t>4. H</w:t>
            </w:r>
            <w:r w:rsidRPr="002C2DEF">
              <w:t xml:space="preserve">ow can </w:t>
            </w:r>
            <w:r w:rsidRPr="002C2DEF">
              <w:rPr>
                <w:rStyle w:val="SpecialBold"/>
              </w:rPr>
              <w:t>team work</w:t>
            </w:r>
            <w:r w:rsidRPr="002C2DEF">
              <w:t xml:space="preserve"> (</w:t>
            </w:r>
            <w:r w:rsidRPr="002C2DEF">
              <w:rPr>
                <w:rStyle w:val="SpecialBold"/>
              </w:rPr>
              <w:t>1</w:t>
            </w:r>
            <w:r w:rsidRPr="002C2DEF">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2C2DEF">
            <w:pPr>
              <w:pStyle w:val="BodyText"/>
              <w:rPr>
                <w:lang w:val="en-NZ"/>
              </w:rPr>
            </w:pPr>
            <w:r w:rsidRPr="002C2DEF">
              <w:t xml:space="preserve">Undertaking stump removal may involve working with other members of a team to complete the removal program. </w:t>
            </w:r>
          </w:p>
        </w:tc>
      </w:tr>
      <w:tr w:rsidTr="009C76C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C2DEF">
            <w:pPr>
              <w:pStyle w:val="BodyText"/>
              <w:rPr>
                <w:lang w:val="en-NZ"/>
              </w:rPr>
            </w:pPr>
            <w:r w:rsidRPr="002C2DEF">
              <w:t xml:space="preserve">5. How can the use of </w:t>
            </w:r>
            <w:r w:rsidRPr="002C2DEF">
              <w:rPr>
                <w:rStyle w:val="SpecialBold"/>
              </w:rPr>
              <w:t>mathematical ideas and techniques</w:t>
            </w:r>
            <w:r w:rsidRPr="002C2DEF">
              <w:t xml:space="preserve"> (</w:t>
            </w:r>
            <w:r w:rsidRPr="002C2DEF">
              <w:rPr>
                <w:rStyle w:val="SpecialBold"/>
              </w:rPr>
              <w:t>1</w:t>
            </w:r>
            <w:r w:rsidRPr="002C2DEF">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2C2DEF">
            <w:pPr>
              <w:pStyle w:val="BodyText"/>
              <w:rPr>
                <w:lang w:val="en-NZ"/>
              </w:rPr>
            </w:pPr>
            <w:r w:rsidRPr="002C2DEF">
              <w:t xml:space="preserve">Mathematical techniques may be applied when calculating plan dimensions, and depth and volume of removal holes. </w:t>
            </w:r>
          </w:p>
        </w:tc>
      </w:tr>
      <w:tr w:rsidTr="009C76C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C2DEF">
            <w:pPr>
              <w:pStyle w:val="BodyText"/>
              <w:rPr>
                <w:lang w:val="en-NZ"/>
              </w:rPr>
            </w:pPr>
            <w:r w:rsidRPr="002C2DEF">
              <w:t xml:space="preserve">6. How can </w:t>
            </w:r>
            <w:r w:rsidRPr="002C2DEF">
              <w:rPr>
                <w:rStyle w:val="SpecialBold"/>
              </w:rPr>
              <w:t>problem</w:t>
            </w:r>
            <w:r w:rsidRPr="002C2DEF">
              <w:t>-</w:t>
            </w:r>
            <w:r w:rsidRPr="002C2DEF">
              <w:rPr>
                <w:rStyle w:val="SpecialBold"/>
              </w:rPr>
              <w:t>solving skills</w:t>
            </w:r>
            <w:r w:rsidRPr="002C2DEF">
              <w:t xml:space="preserve"> (</w:t>
            </w:r>
            <w:r w:rsidRPr="002C2DEF">
              <w:rPr>
                <w:rStyle w:val="SpecialBold"/>
              </w:rPr>
              <w:t>1</w:t>
            </w:r>
            <w:r w:rsidRPr="002C2DEF">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2C2DEF">
            <w:pPr>
              <w:pStyle w:val="BodyText"/>
              <w:rPr>
                <w:lang w:val="en-NZ"/>
              </w:rPr>
            </w:pPr>
            <w:r w:rsidRPr="002C2DEF">
              <w:t xml:space="preserve">Problems relating to removal techniques, processes, the removal area, tools and equipment, </w:t>
            </w:r>
            <w:r w:rsidRPr="002C2DEF">
              <w:t xml:space="preserve">workplace safety, other team members, environmental issues and interruption of removal program may require problem-solving. </w:t>
            </w:r>
          </w:p>
        </w:tc>
      </w:tr>
      <w:tr w:rsidTr="009C76C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C2DEF">
            <w:pPr>
              <w:pStyle w:val="BodyText"/>
              <w:rPr>
                <w:lang w:val="en-NZ"/>
              </w:rPr>
            </w:pPr>
            <w:r w:rsidRPr="002C2DEF">
              <w:t xml:space="preserve">7. How can the </w:t>
            </w:r>
            <w:r w:rsidRPr="002C2DEF">
              <w:rPr>
                <w:rStyle w:val="SpecialBold"/>
              </w:rPr>
              <w:t>use of technology</w:t>
            </w:r>
            <w:r w:rsidRPr="002C2DEF">
              <w:t xml:space="preserve"> (</w:t>
            </w:r>
            <w:r w:rsidRPr="002C2DEF">
              <w:rPr>
                <w:rStyle w:val="SpecialBold"/>
              </w:rPr>
              <w:t>1</w:t>
            </w:r>
            <w:r w:rsidRPr="002C2DEF">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2C2DEF">
            <w:pPr>
              <w:pStyle w:val="BodyText"/>
              <w:rPr>
                <w:lang w:val="en-NZ"/>
              </w:rPr>
            </w:pPr>
            <w:r w:rsidRPr="002C2DEF">
              <w:t>Technology such as horticultural hand tools and equipment including stump grinde</w:t>
            </w:r>
            <w:r w:rsidRPr="002C2DEF">
              <w:t xml:space="preserve">rs may be used in removal operations. </w:t>
            </w:r>
          </w:p>
        </w:tc>
      </w:tr>
      <w:tr w:rsidTr="009C76C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C2DEF">
            <w:pPr>
              <w:pStyle w:val="BodyText"/>
              <w:rPr>
                <w:lang w:val="en-NZ"/>
              </w:rPr>
            </w:pPr>
          </w:p>
        </w:tc>
      </w:tr>
      <w:tr w:rsidTr="009C76C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2C2DEF" w:rsidP="002C2DEF">
            <w:pPr>
              <w:pStyle w:val="BodyText"/>
            </w:pPr>
            <w:r w:rsidRPr="002C2DEF">
              <w:rPr>
                <w:rStyle w:val="SpecialBold"/>
              </w:rPr>
              <w:t>Are there other competency standards that could be assessed with this one</w:t>
            </w:r>
            <w:r w:rsidRPr="002C2DEF">
              <w:t>?</w:t>
            </w:r>
          </w:p>
          <w:p w:rsidR="00000000" w:rsidP="002C2DEF">
            <w:pPr>
              <w:pStyle w:val="BodyText"/>
              <w:rPr>
                <w:lang w:val="en-NZ"/>
              </w:rPr>
            </w:pPr>
            <w:r w:rsidRPr="002C2DEF">
              <w:t xml:space="preserve">This competency standard </w:t>
            </w:r>
            <w:r w:rsidRPr="002C2DEF">
              <w:rPr>
                <w:rStyle w:val="SpecialBold"/>
              </w:rPr>
              <w:t>could</w:t>
            </w:r>
            <w:r w:rsidRPr="002C2DEF">
              <w:t xml:space="preserve"> be assessed on its own or in combination with other competencies relevant to the job function.   </w:t>
            </w:r>
          </w:p>
        </w:tc>
      </w:tr>
      <w:tr w:rsidTr="009C76C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C2DEF">
            <w:pPr>
              <w:pStyle w:val="BodyText"/>
              <w:rPr>
                <w:lang w:val="en-NZ"/>
              </w:rPr>
            </w:pPr>
          </w:p>
        </w:tc>
      </w:tr>
      <w:tr w:rsidTr="009C76C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2C2DEF" w:rsidP="002C2DEF">
            <w:pPr>
              <w:pStyle w:val="BodyText"/>
            </w:pPr>
            <w:r w:rsidRPr="002C2DEF">
              <w:t xml:space="preserve">There is essential information about </w:t>
            </w:r>
            <w:r w:rsidRPr="002C2DEF">
              <w:rPr>
                <w:rStyle w:val="SpecialBold"/>
              </w:rPr>
              <w:t>assessing this competency standard for consistent performance</w:t>
            </w:r>
            <w:r w:rsidRPr="002C2DEF">
              <w:t xml:space="preserve"> and </w:t>
            </w:r>
            <w:r w:rsidRPr="002C2DEF">
              <w:rPr>
                <w:rStyle w:val="SpecialBold"/>
              </w:rPr>
              <w:t>where and how it may be assessed</w:t>
            </w:r>
            <w:r w:rsidRPr="002C2DEF">
              <w:t xml:space="preserve">, in the Assessment Guidelines for this Training Package.  All users of these competency standards must have </w:t>
            </w:r>
            <w:r w:rsidRPr="002C2DEF">
              <w:rPr>
                <w:rStyle w:val="SpecialBold"/>
              </w:rPr>
              <w:t>access</w:t>
            </w:r>
            <w:r w:rsidRPr="002C2DEF">
              <w:t xml:space="preserve"> to th</w:t>
            </w:r>
            <w:r w:rsidRPr="002C2DEF">
              <w:t xml:space="preserve">e </w:t>
            </w:r>
            <w:r w:rsidRPr="002C2DEF">
              <w:rPr>
                <w:rStyle w:val="SpecialBold"/>
              </w:rPr>
              <w:t>Assessment Guidelines</w:t>
            </w:r>
            <w:r w:rsidRPr="002C2DEF">
              <w:t xml:space="preserve">.  Further advice may also be sought from the relevant </w:t>
            </w:r>
            <w:r w:rsidRPr="002C2DEF">
              <w:rPr>
                <w:rStyle w:val="SpecialBold"/>
              </w:rPr>
              <w:t>sector booklet</w:t>
            </w:r>
            <w:r w:rsidRPr="002C2DEF">
              <w:t xml:space="preserve">. </w:t>
            </w:r>
          </w:p>
        </w:tc>
      </w:tr>
    </w:tbl>
    <w:p w:rsidR="00000000" w:rsidRPr="002C2DEF" w:rsidP="002C2DEF">
      <w:pPr>
        <w:pStyle w:val="BodyText"/>
      </w:pPr>
    </w:p>
    <w:p w:rsidR="00000000" w:rsidRPr="002C2DEF" w:rsidP="002C2DEF">
      <w:pPr>
        <w:pStyle w:val="AllowPageBreak"/>
      </w:pPr>
    </w:p>
    <w:p w:rsidR="00000000" w:rsidRPr="002C2DEF" w:rsidP="002C2DEF">
      <w:pPr>
        <w:pStyle w:val="Heading1"/>
      </w:pPr>
      <w:bookmarkStart w:id="11" w:name="O_321197"/>
      <w:bookmarkEnd w:id="11"/>
      <w:r w:rsidRPr="002C2DEF">
        <w:t>Range Statement</w:t>
      </w:r>
    </w:p>
    <w:tbl>
      <w:tblPr>
        <w:tblW w:w="0" w:type="auto"/>
        <w:tblLayout w:type="fixed"/>
        <w:tblCellMar>
          <w:left w:w="62" w:type="dxa"/>
          <w:right w:w="62" w:type="dxa"/>
        </w:tblCellMar>
        <w:tblLook w:val="0000"/>
      </w:tblPr>
      <w:tblGrid>
        <w:gridCol w:w="4500"/>
        <w:gridCol w:w="4500"/>
      </w:tblGrid>
      <w:tr w:rsidTr="009C76C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2C2DEF" w:rsidP="002C2DEF">
            <w:pPr>
              <w:pStyle w:val="BodyText"/>
            </w:pPr>
            <w:r w:rsidRPr="002C2DEF">
              <w:rPr>
                <w:rStyle w:val="SpecialBold"/>
              </w:rPr>
              <w:t>Range of Variables</w:t>
            </w:r>
          </w:p>
          <w:p w:rsidR="00000000" w:rsidP="002C2DEF">
            <w:pPr>
              <w:pStyle w:val="BodyText"/>
              <w:rPr>
                <w:lang w:val="en-NZ"/>
              </w:rPr>
            </w:pPr>
            <w:r w:rsidRPr="002C2DEF">
              <w:t>The Range of Variables explains the contexts within which the performance and knowledge requirements of th</w:t>
            </w:r>
            <w:r w:rsidRPr="002C2DEF">
              <w:t>is standard may be assessed.  The scope of variables chosen in particular training and assessment requirements may depend on the work situations available</w:t>
            </w:r>
          </w:p>
        </w:tc>
      </w:tr>
      <w:tr w:rsidTr="009C76C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C2DEF">
            <w:pPr>
              <w:pStyle w:val="BodyText"/>
              <w:rPr>
                <w:lang w:val="en-NZ"/>
              </w:rPr>
            </w:pPr>
            <w:r w:rsidRPr="002C2DEF">
              <w:t xml:space="preserve">What </w:t>
            </w:r>
            <w:r w:rsidRPr="002C2DEF">
              <w:rPr>
                <w:rStyle w:val="SpecialBold"/>
              </w:rPr>
              <w:t>workplace information</w:t>
            </w:r>
            <w:r w:rsidRPr="002C2DEF">
              <w:t xml:space="preserve"> may be relevant to stump removal operations?</w:t>
            </w:r>
          </w:p>
        </w:tc>
        <w:tc>
          <w:tcPr>
            <w:tcW w:w="4500" w:type="dxa"/>
            <w:tcBorders>
              <w:top w:val="nil"/>
              <w:left w:val="nil"/>
              <w:bottom w:val="nil"/>
              <w:right w:val="nil"/>
            </w:tcBorders>
            <w:tcMar>
              <w:top w:w="0" w:type="dxa"/>
              <w:left w:w="62" w:type="dxa"/>
              <w:bottom w:w="0" w:type="dxa"/>
              <w:right w:w="62" w:type="dxa"/>
            </w:tcMar>
          </w:tcPr>
          <w:p w:rsidR="00000000" w:rsidP="002C2DEF">
            <w:pPr>
              <w:pStyle w:val="BodyText"/>
              <w:rPr>
                <w:lang w:val="en-NZ"/>
              </w:rPr>
            </w:pPr>
            <w:r w:rsidRPr="002C2DEF">
              <w:t>Standard Operating Procedur</w:t>
            </w:r>
            <w:r w:rsidRPr="002C2DEF">
              <w:t xml:space="preserve">es (SOP), work notes, manufacturers instructions, site and location plans, removal plans and specifications, waste disposal, recycling and re-use guidelines, or verbal directions from manager, supervisor, or senior operator. </w:t>
            </w:r>
          </w:p>
        </w:tc>
      </w:tr>
      <w:tr w:rsidTr="009C76C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C2DEF">
            <w:pPr>
              <w:pStyle w:val="BodyText"/>
              <w:rPr>
                <w:lang w:val="en-NZ"/>
              </w:rPr>
            </w:pPr>
            <w:r w:rsidRPr="002C2DEF">
              <w:t xml:space="preserve">What </w:t>
            </w:r>
            <w:r w:rsidRPr="002C2DEF">
              <w:rPr>
                <w:rStyle w:val="SpecialBold"/>
              </w:rPr>
              <w:t>services</w:t>
            </w:r>
            <w:r w:rsidRPr="002C2DEF">
              <w:t xml:space="preserve"> may need to be located? </w:t>
            </w:r>
          </w:p>
        </w:tc>
        <w:tc>
          <w:tcPr>
            <w:tcW w:w="4500" w:type="dxa"/>
            <w:tcBorders>
              <w:top w:val="nil"/>
              <w:left w:val="nil"/>
              <w:bottom w:val="nil"/>
              <w:right w:val="nil"/>
            </w:tcBorders>
            <w:tcMar>
              <w:top w:w="0" w:type="dxa"/>
              <w:left w:w="62" w:type="dxa"/>
              <w:bottom w:w="0" w:type="dxa"/>
              <w:right w:w="62" w:type="dxa"/>
            </w:tcMar>
          </w:tcPr>
          <w:p w:rsidR="00000000" w:rsidP="002C2DEF">
            <w:pPr>
              <w:pStyle w:val="BodyText"/>
              <w:rPr>
                <w:lang w:val="en-NZ"/>
              </w:rPr>
            </w:pPr>
            <w:r w:rsidRPr="002C2DEF">
              <w:t xml:space="preserve">Services may include power (electricity), water supply, irrigation, stormwater, drainage, gas and telecommunications. </w:t>
            </w:r>
          </w:p>
        </w:tc>
      </w:tr>
      <w:tr w:rsidTr="009C76C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C2DEF">
            <w:pPr>
              <w:pStyle w:val="BodyText"/>
              <w:rPr>
                <w:lang w:val="en-NZ"/>
              </w:rPr>
            </w:pPr>
            <w:r w:rsidRPr="002C2DEF">
              <w:t xml:space="preserve">What </w:t>
            </w:r>
            <w:r w:rsidRPr="002C2DEF">
              <w:rPr>
                <w:rStyle w:val="SpecialBold"/>
              </w:rPr>
              <w:t>tools andequipment</w:t>
            </w:r>
            <w:r w:rsidRPr="002C2DEF">
              <w:t xml:space="preserve"> may be used to undertake stump removal? </w:t>
            </w:r>
          </w:p>
        </w:tc>
        <w:tc>
          <w:tcPr>
            <w:tcW w:w="4500" w:type="dxa"/>
            <w:tcBorders>
              <w:top w:val="nil"/>
              <w:left w:val="nil"/>
              <w:bottom w:val="nil"/>
              <w:right w:val="nil"/>
            </w:tcBorders>
            <w:tcMar>
              <w:top w:w="0" w:type="dxa"/>
              <w:left w:w="62" w:type="dxa"/>
              <w:bottom w:w="0" w:type="dxa"/>
              <w:right w:w="62" w:type="dxa"/>
            </w:tcMar>
          </w:tcPr>
          <w:p w:rsidR="00000000" w:rsidP="002C2DEF">
            <w:pPr>
              <w:pStyle w:val="BodyText"/>
              <w:rPr>
                <w:lang w:val="en-NZ"/>
              </w:rPr>
            </w:pPr>
            <w:r w:rsidRPr="002C2DEF">
              <w:t>Tools and equipment may include axe, spade, s</w:t>
            </w:r>
            <w:r w:rsidRPr="002C2DEF">
              <w:t xml:space="preserve">hovel, crowbar, hand or powered winches, hand tools, stump grinding machine, chainsaw, and safety signs and/or barriers. </w:t>
            </w:r>
          </w:p>
        </w:tc>
      </w:tr>
      <w:tr w:rsidTr="009C76C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C2DEF">
            <w:pPr>
              <w:pStyle w:val="BodyText"/>
              <w:rPr>
                <w:lang w:val="en-NZ"/>
              </w:rPr>
            </w:pPr>
            <w:r w:rsidRPr="002C2DEF">
              <w:t xml:space="preserve">What </w:t>
            </w:r>
            <w:r w:rsidRPr="002C2DEF">
              <w:rPr>
                <w:rStyle w:val="SpecialBold"/>
              </w:rPr>
              <w:t>OHS hazards</w:t>
            </w:r>
            <w:r w:rsidRPr="002C2DEF">
              <w:t xml:space="preserve"> may apply to stump removal operations? </w:t>
            </w:r>
          </w:p>
        </w:tc>
        <w:tc>
          <w:tcPr>
            <w:tcW w:w="4500" w:type="dxa"/>
            <w:tcBorders>
              <w:top w:val="nil"/>
              <w:left w:val="nil"/>
              <w:bottom w:val="nil"/>
              <w:right w:val="nil"/>
            </w:tcBorders>
            <w:tcMar>
              <w:top w:w="0" w:type="dxa"/>
              <w:left w:w="62" w:type="dxa"/>
              <w:bottom w:w="0" w:type="dxa"/>
              <w:right w:w="62" w:type="dxa"/>
            </w:tcMar>
          </w:tcPr>
          <w:p w:rsidR="00000000" w:rsidP="002C2DEF">
            <w:pPr>
              <w:pStyle w:val="BodyText"/>
              <w:rPr>
                <w:lang w:val="en-NZ"/>
              </w:rPr>
            </w:pPr>
            <w:r w:rsidRPr="002C2DEF">
              <w:t>OHS hazards may include, flying debris, use of sharp tools and equipment, mo</w:t>
            </w:r>
            <w:r w:rsidRPr="002C2DEF">
              <w:t xml:space="preserve">ving machinery parts, manual handling, noise, disturbance of underground services, holes, uneven surfaces, and faulty tools and equipment. </w:t>
            </w:r>
          </w:p>
        </w:tc>
      </w:tr>
      <w:tr w:rsidTr="009C76C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C2DEF">
            <w:pPr>
              <w:pStyle w:val="BodyText"/>
              <w:rPr>
                <w:lang w:val="en-NZ"/>
              </w:rPr>
            </w:pPr>
            <w:r w:rsidRPr="002C2DEF">
              <w:t xml:space="preserve">What </w:t>
            </w:r>
            <w:r w:rsidRPr="002C2DEF">
              <w:rPr>
                <w:rStyle w:val="SpecialBold"/>
              </w:rPr>
              <w:t>PPE</w:t>
            </w:r>
            <w:r w:rsidRPr="002C2DEF">
              <w:t xml:space="preserve"> may be needed to remove stumps? </w:t>
            </w:r>
          </w:p>
        </w:tc>
        <w:tc>
          <w:tcPr>
            <w:tcW w:w="4500" w:type="dxa"/>
            <w:tcBorders>
              <w:top w:val="nil"/>
              <w:left w:val="nil"/>
              <w:bottom w:val="nil"/>
              <w:right w:val="nil"/>
            </w:tcBorders>
            <w:tcMar>
              <w:top w:w="0" w:type="dxa"/>
              <w:left w:w="62" w:type="dxa"/>
              <w:bottom w:w="0" w:type="dxa"/>
              <w:right w:w="62" w:type="dxa"/>
            </w:tcMar>
          </w:tcPr>
          <w:p w:rsidR="00000000" w:rsidP="002C2DEF">
            <w:pPr>
              <w:pStyle w:val="BodyText"/>
              <w:rPr>
                <w:lang w:val="en-NZ"/>
              </w:rPr>
            </w:pPr>
            <w:r w:rsidRPr="002C2DEF">
              <w:t>PPE may include boots, overalls, gloves, hard hats, hearing protection, a</w:t>
            </w:r>
            <w:r w:rsidRPr="002C2DEF">
              <w:t xml:space="preserve">nd face shields. </w:t>
            </w:r>
          </w:p>
        </w:tc>
      </w:tr>
      <w:tr w:rsidTr="009C76C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C2DEF">
            <w:pPr>
              <w:pStyle w:val="BodyText"/>
              <w:rPr>
                <w:lang w:val="en-NZ"/>
              </w:rPr>
            </w:pPr>
            <w:r w:rsidRPr="002C2DEF">
              <w:t xml:space="preserve">What </w:t>
            </w:r>
            <w:r w:rsidRPr="002C2DEF">
              <w:rPr>
                <w:rStyle w:val="SpecialBold"/>
              </w:rPr>
              <w:t>OHS requirements</w:t>
            </w:r>
            <w:r w:rsidRPr="002C2DEF">
              <w:t xml:space="preserve"> may be relevant to this standard? </w:t>
            </w:r>
          </w:p>
        </w:tc>
        <w:tc>
          <w:tcPr>
            <w:tcW w:w="4500" w:type="dxa"/>
            <w:tcBorders>
              <w:top w:val="nil"/>
              <w:left w:val="nil"/>
              <w:bottom w:val="nil"/>
              <w:right w:val="nil"/>
            </w:tcBorders>
            <w:tcMar>
              <w:top w:w="0" w:type="dxa"/>
              <w:left w:w="62" w:type="dxa"/>
              <w:bottom w:w="0" w:type="dxa"/>
              <w:right w:w="62" w:type="dxa"/>
            </w:tcMar>
          </w:tcPr>
          <w:p w:rsidR="00000000" w:rsidP="002C2DEF">
            <w:pPr>
              <w:pStyle w:val="BodyText"/>
              <w:rPr>
                <w:lang w:val="en-NZ"/>
              </w:rPr>
            </w:pPr>
            <w:r w:rsidRPr="002C2DEF">
              <w:t>Procedures may include appropriate use of personal protective clothing and equipment, safe operation of machinery and equipment, correct manual handling techniques, recognising and</w:t>
            </w:r>
            <w:r w:rsidRPr="002C2DEF">
              <w:t xml:space="preserve"> reporting problems to the supervisor, erection of safety signs and barriers, and maintenance and storage of tools and equipment. </w:t>
            </w:r>
          </w:p>
        </w:tc>
      </w:tr>
      <w:tr w:rsidTr="009C76C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C2DEF">
            <w:pPr>
              <w:pStyle w:val="BodyText"/>
              <w:rPr>
                <w:lang w:val="en-NZ"/>
              </w:rPr>
            </w:pPr>
            <w:r w:rsidRPr="002C2DEF">
              <w:t xml:space="preserve">What tasks may be undertaken to maintain a </w:t>
            </w:r>
            <w:r w:rsidRPr="002C2DEF">
              <w:rPr>
                <w:rStyle w:val="SpecialBold"/>
              </w:rPr>
              <w:t>clean and safe work area</w:t>
            </w:r>
            <w:r w:rsidRPr="002C2DEF">
              <w:t xml:space="preserve">? </w:t>
            </w:r>
          </w:p>
        </w:tc>
        <w:tc>
          <w:tcPr>
            <w:tcW w:w="4500" w:type="dxa"/>
            <w:tcBorders>
              <w:top w:val="nil"/>
              <w:left w:val="nil"/>
              <w:bottom w:val="nil"/>
              <w:right w:val="nil"/>
            </w:tcBorders>
            <w:tcMar>
              <w:top w:w="0" w:type="dxa"/>
              <w:left w:w="62" w:type="dxa"/>
              <w:bottom w:w="0" w:type="dxa"/>
              <w:right w:w="62" w:type="dxa"/>
            </w:tcMar>
          </w:tcPr>
          <w:p w:rsidR="00000000" w:rsidP="002C2DEF">
            <w:pPr>
              <w:pStyle w:val="BodyText"/>
              <w:rPr>
                <w:lang w:val="en-NZ"/>
              </w:rPr>
            </w:pPr>
            <w:r w:rsidRPr="002C2DEF">
              <w:t>Tasks may include cleaning away (storing or stacking n</w:t>
            </w:r>
            <w:r w:rsidRPr="002C2DEF">
              <w:t xml:space="preserve">eatly) equipment, disabling machinery after use, and clearing and disposing of plant and equipment debris. </w:t>
            </w:r>
          </w:p>
        </w:tc>
      </w:tr>
      <w:tr w:rsidTr="009C76C3">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C2DEF">
            <w:pPr>
              <w:pStyle w:val="BodyText"/>
              <w:rPr>
                <w:lang w:val="en-NZ"/>
              </w:rPr>
            </w:pPr>
            <w:r w:rsidRPr="002C2DEF">
              <w:t xml:space="preserve">What </w:t>
            </w:r>
            <w:r w:rsidRPr="002C2DEF">
              <w:rPr>
                <w:rStyle w:val="SpecialBold"/>
              </w:rPr>
              <w:t>records</w:t>
            </w:r>
            <w:r w:rsidRPr="002C2DEF">
              <w:t xml:space="preserve"> may apply to this standard? </w:t>
            </w:r>
          </w:p>
        </w:tc>
        <w:tc>
          <w:tcPr>
            <w:tcW w:w="4500" w:type="dxa"/>
            <w:tcBorders>
              <w:top w:val="nil"/>
              <w:left w:val="nil"/>
              <w:bottom w:val="nil"/>
              <w:right w:val="nil"/>
            </w:tcBorders>
            <w:tcMar>
              <w:top w:w="0" w:type="dxa"/>
              <w:left w:w="62" w:type="dxa"/>
              <w:bottom w:w="0" w:type="dxa"/>
              <w:right w:w="62" w:type="dxa"/>
            </w:tcMar>
          </w:tcPr>
          <w:p w:rsidR="00000000" w:rsidP="002C2DEF">
            <w:pPr>
              <w:pStyle w:val="BodyText"/>
              <w:rPr>
                <w:lang w:val="en-NZ"/>
              </w:rPr>
            </w:pPr>
            <w:r w:rsidRPr="002C2DEF">
              <w:t>Workplace records may include date stump removal carried out, time spent on operation, and problems arisi</w:t>
            </w:r>
            <w:r w:rsidRPr="002C2DEF">
              <w:t xml:space="preserve">ng. </w:t>
            </w:r>
          </w:p>
        </w:tc>
      </w:tr>
      <w:tr w:rsidTr="009C76C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C2DEF">
            <w:pPr>
              <w:pStyle w:val="BodyText"/>
              <w:rPr>
                <w:lang w:val="en-NZ"/>
              </w:rPr>
            </w:pPr>
            <w:r w:rsidRPr="002C2DEF">
              <w:t xml:space="preserve">For more information on contexts, environment and variables for training and assessment, refer to the Sector Booklet. </w:t>
            </w:r>
          </w:p>
        </w:tc>
      </w:tr>
      <w:tr w:rsidTr="009C76C3">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2C2DEF" w:rsidP="002C2DEF">
            <w:pPr>
              <w:pStyle w:val="BodyText"/>
            </w:pPr>
          </w:p>
        </w:tc>
      </w:tr>
    </w:tbl>
    <w:p w:rsidR="00000000" w:rsidRPr="002C2DEF" w:rsidP="002C2DEF">
      <w:pPr>
        <w:pStyle w:val="BodyText"/>
      </w:pPr>
    </w:p>
    <w:p w:rsidR="00000000" w:rsidRPr="002C2DEF" w:rsidP="002C2DEF">
      <w:pPr>
        <w:pStyle w:val="AllowPageBreak"/>
      </w:pPr>
    </w:p>
    <w:p w:rsidR="00000000" w:rsidRPr="002C2DEF" w:rsidP="002C2DEF">
      <w:pPr>
        <w:pStyle w:val="Heading1"/>
      </w:pPr>
      <w:bookmarkStart w:id="12" w:name="O_321206"/>
      <w:bookmarkEnd w:id="12"/>
      <w:r w:rsidRPr="002C2DEF">
        <w:t>Unit Sector(s)</w:t>
      </w:r>
    </w:p>
    <w:p w:rsidR="00000000" w:rsidRPr="002C2DEF" w:rsidP="002C2DEF">
      <w:pPr>
        <w:pStyle w:val="BodyText"/>
      </w:pPr>
      <w:r w:rsidRPr="002C2DEF">
        <w:t>Not applicable.</w:t>
      </w:r>
    </w:p>
    <w:p w:rsidR="00000000" w:rsidRPr="002C2DEF" w:rsidP="002C2DEF"/>
    <w:sectPr w:rsidSect="002C2DE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D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C76C3" w:rsidP="009C76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D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6C3" w:rsidP="002C2D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9C76C3" w:rsidP="002C2DE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9C76C3" w:rsidP="002C2DE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D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C76C3" w:rsidP="009C76C3">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D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6C3" w:rsidP="002C2DEF">
    <w:pPr>
      <w:pStyle w:val="Header"/>
      <w:framePr w:wrap="around"/>
    </w:pPr>
    <w:r>
      <w:fldChar w:fldCharType="begin"/>
    </w:r>
    <w:r>
      <w:instrText xml:space="preserve"> TITLE   \* MERGEFORMAT </w:instrText>
    </w:r>
    <w:r>
      <w:fldChar w:fldCharType="separate"/>
    </w:r>
    <w:r>
      <w:t>RTF2311A Undertake stump removal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C76C3" w:rsidP="002C2DE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2DE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C2DEF"/>
    <w:pPr>
      <w:spacing w:before="360" w:after="60"/>
      <w:outlineLvl w:val="0"/>
    </w:pPr>
    <w:rPr>
      <w:sz w:val="32"/>
    </w:rPr>
  </w:style>
  <w:style w:type="paragraph" w:styleId="Heading2">
    <w:name w:val="heading 2"/>
    <w:basedOn w:val="HeadingBase"/>
    <w:next w:val="BodyText"/>
    <w:link w:val="Heading2Char"/>
    <w:qFormat/>
    <w:rsid w:val="002C2DEF"/>
    <w:pPr>
      <w:keepLines/>
      <w:spacing w:before="240" w:after="120"/>
      <w:outlineLvl w:val="1"/>
    </w:pPr>
    <w:rPr>
      <w:sz w:val="28"/>
      <w:szCs w:val="40"/>
    </w:rPr>
  </w:style>
  <w:style w:type="paragraph" w:styleId="Heading3">
    <w:name w:val="heading 3"/>
    <w:basedOn w:val="HeadingBase"/>
    <w:next w:val="BodyText"/>
    <w:link w:val="Heading3Char"/>
    <w:qFormat/>
    <w:rsid w:val="002C2DEF"/>
    <w:pPr>
      <w:spacing w:before="180" w:after="120"/>
      <w:outlineLvl w:val="2"/>
    </w:pPr>
    <w:rPr>
      <w:spacing w:val="-10"/>
      <w:kern w:val="32"/>
    </w:rPr>
  </w:style>
  <w:style w:type="paragraph" w:styleId="Heading4">
    <w:name w:val="heading 4"/>
    <w:basedOn w:val="HeadingBase"/>
    <w:next w:val="BodyText"/>
    <w:link w:val="Heading4Char"/>
    <w:qFormat/>
    <w:rsid w:val="002C2DEF"/>
    <w:pPr>
      <w:spacing w:before="160" w:after="120"/>
      <w:outlineLvl w:val="3"/>
    </w:pPr>
    <w:rPr>
      <w:sz w:val="22"/>
    </w:rPr>
  </w:style>
  <w:style w:type="paragraph" w:styleId="Heading5">
    <w:name w:val="heading 5"/>
    <w:basedOn w:val="HeadingBase"/>
    <w:next w:val="Normal"/>
    <w:link w:val="Heading5Char"/>
    <w:qFormat/>
    <w:rsid w:val="002C2DEF"/>
    <w:pPr>
      <w:spacing w:before="80"/>
      <w:outlineLvl w:val="4"/>
    </w:pPr>
    <w:rPr>
      <w:color w:val="918585"/>
      <w:sz w:val="20"/>
    </w:rPr>
  </w:style>
  <w:style w:type="paragraph" w:styleId="Heading6">
    <w:name w:val="heading 6"/>
    <w:basedOn w:val="HeadingBase"/>
    <w:next w:val="Normal"/>
    <w:link w:val="Heading6Char"/>
    <w:qFormat/>
    <w:rsid w:val="002C2DEF"/>
    <w:pPr>
      <w:spacing w:before="60"/>
      <w:outlineLvl w:val="5"/>
    </w:pPr>
    <w:rPr>
      <w:color w:val="918585"/>
      <w:sz w:val="20"/>
    </w:rPr>
  </w:style>
  <w:style w:type="paragraph" w:styleId="Heading7">
    <w:name w:val="heading 7"/>
    <w:basedOn w:val="Normal"/>
    <w:next w:val="Normal"/>
    <w:link w:val="Heading7Char"/>
    <w:qFormat/>
    <w:rsid w:val="002C2DEF"/>
    <w:pPr>
      <w:ind w:left="720"/>
      <w:outlineLvl w:val="6"/>
    </w:pPr>
    <w:rPr>
      <w:i/>
    </w:rPr>
  </w:style>
  <w:style w:type="paragraph" w:styleId="Heading8">
    <w:name w:val="heading 8"/>
    <w:basedOn w:val="Normal"/>
    <w:next w:val="Normal"/>
    <w:link w:val="Heading8Char"/>
    <w:qFormat/>
    <w:rsid w:val="002C2DEF"/>
    <w:pPr>
      <w:ind w:left="720"/>
      <w:outlineLvl w:val="7"/>
    </w:pPr>
    <w:rPr>
      <w:i/>
    </w:rPr>
  </w:style>
  <w:style w:type="paragraph" w:styleId="Heading9">
    <w:name w:val="heading 9"/>
    <w:basedOn w:val="Normal"/>
    <w:next w:val="Normal"/>
    <w:link w:val="Heading9Char"/>
    <w:qFormat/>
    <w:rsid w:val="002C2DEF"/>
    <w:pPr>
      <w:ind w:left="720"/>
      <w:outlineLvl w:val="8"/>
    </w:pPr>
    <w:rPr>
      <w:i/>
    </w:rPr>
  </w:style>
  <w:style w:type="character" w:default="1" w:styleId="DefaultParagraphFont">
    <w:name w:val="Default Paragraph Font"/>
    <w:uiPriority w:val="1"/>
    <w:unhideWhenUsed/>
    <w:rsid w:val="002C2D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2DEF"/>
  </w:style>
  <w:style w:type="character" w:customStyle="1" w:styleId="Heading1Char">
    <w:name w:val="Heading 1 Char"/>
    <w:link w:val="Heading1"/>
    <w:rsid w:val="002C2DEF"/>
    <w:rPr>
      <w:rFonts w:ascii="Times New Roman" w:eastAsia="Times New Roman" w:hAnsi="Times New Roman" w:cs="Times New Roman"/>
      <w:b/>
      <w:sz w:val="32"/>
      <w:szCs w:val="20"/>
      <w:lang w:eastAsia="en-US"/>
    </w:rPr>
  </w:style>
  <w:style w:type="paragraph" w:styleId="BodyText">
    <w:name w:val="Body Text"/>
    <w:basedOn w:val="Normal"/>
    <w:link w:val="BodyTextChar"/>
    <w:rsid w:val="002C2DEF"/>
    <w:pPr>
      <w:spacing w:before="120" w:after="120"/>
      <w:contextualSpacing/>
    </w:pPr>
    <w:rPr>
      <w:rFonts w:ascii="Times New Roman" w:hAnsi="Times New Roman"/>
      <w:sz w:val="24"/>
      <w:szCs w:val="22"/>
    </w:rPr>
  </w:style>
  <w:style w:type="character" w:customStyle="1" w:styleId="BodyTextChar">
    <w:name w:val="Body Text Char"/>
    <w:link w:val="BodyText"/>
    <w:rsid w:val="002C2DEF"/>
    <w:rPr>
      <w:rFonts w:ascii="Times New Roman" w:eastAsia="Times New Roman" w:hAnsi="Times New Roman" w:cs="Times New Roman"/>
      <w:sz w:val="24"/>
      <w:lang w:val="en-US" w:eastAsia="en-US"/>
    </w:rPr>
  </w:style>
  <w:style w:type="paragraph" w:styleId="Footer">
    <w:name w:val="footer"/>
    <w:basedOn w:val="Normal"/>
    <w:link w:val="FooterChar"/>
    <w:rsid w:val="002C2D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C2DEF"/>
    <w:rPr>
      <w:rFonts w:ascii="Times New Roman" w:eastAsia="Times New Roman" w:hAnsi="Times New Roman" w:cs="Times New Roman"/>
      <w:sz w:val="16"/>
      <w:lang w:val="en-US" w:eastAsia="en-US"/>
    </w:rPr>
  </w:style>
  <w:style w:type="character" w:customStyle="1" w:styleId="SpecialBold">
    <w:name w:val="Special Bold"/>
    <w:rsid w:val="002C2DEF"/>
    <w:rPr>
      <w:b/>
      <w:spacing w:val="0"/>
    </w:rPr>
  </w:style>
  <w:style w:type="paragraph" w:styleId="Header">
    <w:name w:val="header"/>
    <w:basedOn w:val="Normal"/>
    <w:link w:val="HeaderChar"/>
    <w:rsid w:val="002C2D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C2DE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C2DEF"/>
    <w:pPr>
      <w:spacing w:before="240" w:after="120"/>
      <w:outlineLvl w:val="0"/>
    </w:pPr>
    <w:rPr>
      <w:rFonts w:ascii="Times New Roman" w:hAnsi="Times New Roman"/>
      <w:b/>
      <w:sz w:val="28"/>
    </w:rPr>
  </w:style>
  <w:style w:type="paragraph" w:customStyle="1" w:styleId="AllowPageBreak">
    <w:name w:val="AllowPageBreak"/>
    <w:rsid w:val="002C2DE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2C2DEF"/>
    <w:rPr>
      <w:rFonts w:ascii="Times New Roman" w:eastAsia="Times New Roman" w:hAnsi="Times New Roman" w:cs="Times New Roman"/>
      <w:b/>
      <w:sz w:val="28"/>
      <w:szCs w:val="40"/>
      <w:lang w:eastAsia="en-US"/>
    </w:rPr>
  </w:style>
  <w:style w:type="character" w:customStyle="1" w:styleId="Heading3Char">
    <w:name w:val="Heading 3 Char"/>
    <w:link w:val="Heading3"/>
    <w:rsid w:val="002C2DE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C2DEF"/>
    <w:rPr>
      <w:rFonts w:ascii="Times New Roman" w:eastAsia="Times New Roman" w:hAnsi="Times New Roman" w:cs="Times New Roman"/>
      <w:b/>
      <w:szCs w:val="20"/>
      <w:lang w:eastAsia="en-US"/>
    </w:rPr>
  </w:style>
  <w:style w:type="character" w:customStyle="1" w:styleId="Heading5Char">
    <w:name w:val="Heading 5 Char"/>
    <w:link w:val="Heading5"/>
    <w:rsid w:val="002C2DE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C2D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2DE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C2DE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C2DEF"/>
    <w:rPr>
      <w:rFonts w:ascii="Courier New" w:eastAsia="Times New Roman" w:hAnsi="Courier New" w:cs="Times New Roman"/>
      <w:i/>
      <w:szCs w:val="20"/>
      <w:lang w:val="en-US" w:eastAsia="en-US"/>
    </w:rPr>
  </w:style>
  <w:style w:type="paragraph" w:customStyle="1" w:styleId="HeadingBase">
    <w:name w:val="Heading Base"/>
    <w:rsid w:val="002C2D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2DEF"/>
    <w:pPr>
      <w:tabs>
        <w:tab w:val="right" w:leader="dot" w:pos="9072"/>
      </w:tabs>
      <w:ind w:left="567"/>
    </w:pPr>
    <w:rPr>
      <w:szCs w:val="22"/>
    </w:rPr>
  </w:style>
  <w:style w:type="paragraph" w:customStyle="1" w:styleId="TOCBase">
    <w:name w:val="TOC Base"/>
    <w:rsid w:val="002C2D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2DEF"/>
    <w:pPr>
      <w:tabs>
        <w:tab w:val="right" w:leader="dot" w:pos="9072"/>
      </w:tabs>
      <w:spacing w:before="40" w:after="40"/>
      <w:ind w:left="284"/>
    </w:pPr>
    <w:rPr>
      <w:rFonts w:ascii="Times New Roman" w:hAnsi="Times New Roman"/>
    </w:rPr>
  </w:style>
  <w:style w:type="paragraph" w:styleId="TOC1">
    <w:name w:val="toc 1"/>
    <w:basedOn w:val="TOCBase"/>
    <w:next w:val="Normal"/>
    <w:rsid w:val="002C2DE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C2DEF"/>
    <w:pPr>
      <w:spacing w:before="5040"/>
      <w:jc w:val="center"/>
    </w:pPr>
    <w:rPr>
      <w:sz w:val="48"/>
      <w:szCs w:val="72"/>
      <w:lang w:val="en-US"/>
    </w:rPr>
  </w:style>
  <w:style w:type="character" w:customStyle="1" w:styleId="TitleChar">
    <w:name w:val="Title Char"/>
    <w:link w:val="Title"/>
    <w:rsid w:val="002C2D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2DEF"/>
    <w:pPr>
      <w:tabs>
        <w:tab w:val="left" w:pos="3600"/>
        <w:tab w:val="left" w:pos="3958"/>
      </w:tabs>
    </w:pPr>
  </w:style>
  <w:style w:type="paragraph" w:styleId="List">
    <w:name w:val="List"/>
    <w:basedOn w:val="BodyText"/>
    <w:next w:val="BodyText"/>
    <w:rsid w:val="002C2DEF"/>
    <w:pPr>
      <w:tabs>
        <w:tab w:val="left" w:pos="340"/>
      </w:tabs>
      <w:spacing w:before="60" w:after="60"/>
      <w:ind w:left="340" w:hanging="340"/>
    </w:pPr>
  </w:style>
  <w:style w:type="paragraph" w:styleId="ListBullet">
    <w:name w:val="List Bullet"/>
    <w:basedOn w:val="List"/>
    <w:rsid w:val="002C2DEF"/>
    <w:pPr>
      <w:numPr>
        <w:numId w:val="11"/>
      </w:numPr>
      <w:tabs>
        <w:tab w:val="clear" w:pos="340"/>
      </w:tabs>
      <w:spacing w:before="40" w:after="40"/>
    </w:pPr>
  </w:style>
  <w:style w:type="paragraph" w:customStyle="1" w:styleId="Note">
    <w:name w:val="Note"/>
    <w:basedOn w:val="BodyText"/>
    <w:rsid w:val="002C2D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2DEF"/>
    <w:pPr>
      <w:framePr w:wrap="auto" w:hAnchor="text" w:y="6049"/>
    </w:pPr>
    <w:rPr>
      <w:color w:val="000000"/>
      <w:sz w:val="40"/>
    </w:rPr>
  </w:style>
  <w:style w:type="paragraph" w:customStyle="1" w:styleId="TOCTitle">
    <w:name w:val="TOCTitle"/>
    <w:basedOn w:val="Heading1"/>
    <w:rsid w:val="002C2DEF"/>
    <w:pPr>
      <w:spacing w:after="240"/>
      <w:jc w:val="center"/>
      <w:outlineLvl w:val="9"/>
    </w:pPr>
    <w:rPr>
      <w:caps/>
    </w:rPr>
  </w:style>
  <w:style w:type="paragraph" w:customStyle="1" w:styleId="Version">
    <w:name w:val="Version"/>
    <w:rsid w:val="002C2DE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C2DEF"/>
    <w:pPr>
      <w:numPr>
        <w:numId w:val="12"/>
      </w:numPr>
      <w:tabs>
        <w:tab w:val="clear" w:pos="680"/>
      </w:tabs>
    </w:pPr>
  </w:style>
  <w:style w:type="paragraph" w:styleId="Index1">
    <w:name w:val="index 1"/>
    <w:basedOn w:val="Normal"/>
    <w:next w:val="Normal"/>
    <w:semiHidden/>
    <w:rsid w:val="002C2DEF"/>
    <w:pPr>
      <w:keepNext w:val="0"/>
      <w:tabs>
        <w:tab w:val="right" w:pos="4176"/>
      </w:tabs>
      <w:ind w:left="198" w:hanging="198"/>
    </w:pPr>
    <w:rPr>
      <w:rFonts w:ascii="Garamond" w:hAnsi="Garamond"/>
    </w:rPr>
  </w:style>
  <w:style w:type="paragraph" w:styleId="IndexHeading">
    <w:name w:val="index heading"/>
    <w:basedOn w:val="Normal"/>
    <w:next w:val="Index1"/>
    <w:semiHidden/>
    <w:rsid w:val="002C2DEF"/>
    <w:pPr>
      <w:spacing w:before="120" w:after="120"/>
    </w:pPr>
    <w:rPr>
      <w:rFonts w:ascii="Arial" w:hAnsi="Arial"/>
      <w:b/>
      <w:color w:val="918585"/>
      <w:sz w:val="24"/>
    </w:rPr>
  </w:style>
  <w:style w:type="paragraph" w:customStyle="1" w:styleId="Chapter">
    <w:name w:val="Chapter"/>
    <w:basedOn w:val="Normal"/>
    <w:rsid w:val="002C2DEF"/>
    <w:pPr>
      <w:spacing w:before="240"/>
    </w:pPr>
    <w:rPr>
      <w:rFonts w:ascii="Times New Roman" w:hAnsi="Times New Roman"/>
      <w:smallCaps/>
      <w:spacing w:val="80"/>
      <w:sz w:val="28"/>
    </w:rPr>
  </w:style>
  <w:style w:type="paragraph" w:customStyle="1" w:styleId="InChapter">
    <w:name w:val="InChapter"/>
    <w:basedOn w:val="Heading3"/>
    <w:rsid w:val="002C2DEF"/>
    <w:pPr>
      <w:spacing w:after="240"/>
      <w:outlineLvl w:val="9"/>
    </w:pPr>
    <w:rPr>
      <w:noProof/>
    </w:rPr>
  </w:style>
  <w:style w:type="paragraph" w:styleId="Index2">
    <w:name w:val="index 2"/>
    <w:basedOn w:val="Normal"/>
    <w:next w:val="Normal"/>
    <w:semiHidden/>
    <w:rsid w:val="002C2DEF"/>
    <w:pPr>
      <w:tabs>
        <w:tab w:val="right" w:pos="4176"/>
      </w:tabs>
      <w:ind w:left="568" w:hanging="284"/>
    </w:pPr>
    <w:rPr>
      <w:rFonts w:ascii="Garamond" w:hAnsi="Garamond"/>
    </w:rPr>
  </w:style>
  <w:style w:type="paragraph" w:customStyle="1" w:styleId="Byline">
    <w:name w:val="Byline"/>
    <w:rsid w:val="002C2D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2DEF"/>
    <w:pPr>
      <w:tabs>
        <w:tab w:val="clear" w:pos="3600"/>
        <w:tab w:val="clear" w:pos="3958"/>
      </w:tabs>
      <w:jc w:val="right"/>
    </w:pPr>
  </w:style>
  <w:style w:type="character" w:styleId="Emphasis">
    <w:name w:val="Emphasis"/>
    <w:qFormat/>
    <w:rsid w:val="002C2DEF"/>
    <w:rPr>
      <w:i/>
    </w:rPr>
  </w:style>
  <w:style w:type="paragraph" w:styleId="Caption">
    <w:name w:val="caption"/>
    <w:basedOn w:val="BodyText"/>
    <w:next w:val="Normal"/>
    <w:qFormat/>
    <w:rsid w:val="002C2DEF"/>
    <w:pPr>
      <w:framePr w:w="2268" w:hSpace="181" w:vSpace="181" w:wrap="around" w:vAnchor="text" w:hAnchor="page" w:x="1135" w:y="285" w:anchorLock="1"/>
    </w:pPr>
    <w:rPr>
      <w:i/>
    </w:rPr>
  </w:style>
  <w:style w:type="paragraph" w:customStyle="1" w:styleId="MiniTOCTitle">
    <w:name w:val="MiniTOCTitle"/>
    <w:basedOn w:val="Heading4"/>
    <w:rsid w:val="002C2DEF"/>
    <w:pPr>
      <w:spacing w:before="240"/>
      <w:outlineLvl w:val="9"/>
    </w:pPr>
    <w:rPr>
      <w:noProof/>
      <w:sz w:val="24"/>
    </w:rPr>
  </w:style>
  <w:style w:type="paragraph" w:customStyle="1" w:styleId="MiniTOCItem">
    <w:name w:val="MiniTOCItem"/>
    <w:basedOn w:val="ListBullet"/>
    <w:rsid w:val="002C2DEF"/>
    <w:pPr>
      <w:numPr>
        <w:numId w:val="0"/>
      </w:numPr>
      <w:tabs>
        <w:tab w:val="right" w:leader="dot" w:pos="6521"/>
      </w:tabs>
      <w:spacing w:before="0" w:after="0"/>
    </w:pPr>
  </w:style>
  <w:style w:type="paragraph" w:customStyle="1" w:styleId="TOFTitle">
    <w:name w:val="TOFTitle"/>
    <w:basedOn w:val="TOCTitle"/>
    <w:rsid w:val="002C2DEF"/>
  </w:style>
  <w:style w:type="paragraph" w:styleId="TableofFigures">
    <w:name w:val="table of figures"/>
    <w:basedOn w:val="Normal"/>
    <w:next w:val="Normal"/>
    <w:semiHidden/>
    <w:rsid w:val="002C2DEF"/>
    <w:pPr>
      <w:tabs>
        <w:tab w:val="right" w:leader="dot" w:pos="9072"/>
      </w:tabs>
      <w:ind w:left="970" w:hanging="403"/>
    </w:pPr>
    <w:rPr>
      <w:rFonts w:ascii="Times New Roman" w:hAnsi="Times New Roman"/>
      <w:b/>
    </w:rPr>
  </w:style>
  <w:style w:type="paragraph" w:styleId="ListNumber">
    <w:name w:val="List Number"/>
    <w:basedOn w:val="List"/>
    <w:rsid w:val="002C2DEF"/>
    <w:pPr>
      <w:numPr>
        <w:numId w:val="9"/>
      </w:numPr>
    </w:pPr>
  </w:style>
  <w:style w:type="character" w:customStyle="1" w:styleId="WingdingSymbols">
    <w:name w:val="Wingding Symbols"/>
    <w:rsid w:val="002C2DEF"/>
    <w:rPr>
      <w:rFonts w:ascii="Wingdings" w:hAnsi="Wingdings"/>
    </w:rPr>
  </w:style>
  <w:style w:type="paragraph" w:customStyle="1" w:styleId="TableHeading">
    <w:name w:val="Table Heading"/>
    <w:basedOn w:val="HeadingBase"/>
    <w:rsid w:val="002C2DEF"/>
    <w:pPr>
      <w:keepLines/>
      <w:pBdr>
        <w:bottom w:val="single" w:sz="6" w:space="1" w:color="918585"/>
      </w:pBdr>
      <w:spacing w:before="240"/>
    </w:pPr>
  </w:style>
  <w:style w:type="character" w:customStyle="1" w:styleId="HotSpot">
    <w:name w:val="HotSpot"/>
    <w:rsid w:val="002C2DEF"/>
    <w:rPr>
      <w:color w:val="0033CC"/>
      <w:u w:val="none"/>
    </w:rPr>
  </w:style>
  <w:style w:type="paragraph" w:customStyle="1" w:styleId="BodyTextRight">
    <w:name w:val="Body Text Right"/>
    <w:basedOn w:val="BodyText"/>
    <w:rsid w:val="002C2DEF"/>
    <w:pPr>
      <w:spacing w:before="0" w:after="0"/>
      <w:jc w:val="right"/>
    </w:pPr>
  </w:style>
  <w:style w:type="paragraph" w:styleId="Index3">
    <w:name w:val="index 3"/>
    <w:basedOn w:val="ListNumber2"/>
    <w:next w:val="Normal"/>
    <w:semiHidden/>
    <w:rsid w:val="002C2DEF"/>
    <w:pPr>
      <w:numPr>
        <w:numId w:val="0"/>
      </w:numPr>
      <w:tabs>
        <w:tab w:val="right" w:leader="dot" w:pos="4176"/>
      </w:tabs>
    </w:pPr>
  </w:style>
  <w:style w:type="paragraph" w:styleId="ListNumber2">
    <w:name w:val="List Number 2"/>
    <w:basedOn w:val="List2"/>
    <w:rsid w:val="002C2DEF"/>
    <w:pPr>
      <w:numPr>
        <w:numId w:val="8"/>
      </w:numPr>
      <w:tabs>
        <w:tab w:val="clear" w:pos="1060"/>
      </w:tabs>
    </w:pPr>
  </w:style>
  <w:style w:type="paragraph" w:customStyle="1" w:styleId="MarginNote">
    <w:name w:val="Margin Note"/>
    <w:basedOn w:val="BodyText"/>
    <w:rsid w:val="002C2D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2D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C2DE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C2DEF"/>
    <w:rPr>
      <w:sz w:val="32"/>
    </w:rPr>
  </w:style>
  <w:style w:type="paragraph" w:customStyle="1" w:styleId="HeadingProcedure">
    <w:name w:val="Heading Procedure"/>
    <w:basedOn w:val="HeadingBase"/>
    <w:next w:val="Normal"/>
    <w:rsid w:val="002C2DEF"/>
    <w:pPr>
      <w:tabs>
        <w:tab w:val="left" w:pos="0"/>
      </w:tabs>
      <w:spacing w:before="120" w:after="60"/>
    </w:pPr>
    <w:rPr>
      <w:i/>
      <w:color w:val="918585"/>
      <w:sz w:val="22"/>
    </w:rPr>
  </w:style>
  <w:style w:type="paragraph" w:customStyle="1" w:styleId="TableBodyText">
    <w:name w:val="Table Body Text"/>
    <w:basedOn w:val="BodyText"/>
    <w:rsid w:val="002C2DEF"/>
    <w:pPr>
      <w:spacing w:before="60" w:after="60"/>
    </w:pPr>
  </w:style>
  <w:style w:type="paragraph" w:styleId="ListContinue">
    <w:name w:val="List Continue"/>
    <w:basedOn w:val="List"/>
    <w:rsid w:val="002C2DEF"/>
    <w:pPr>
      <w:ind w:firstLine="0"/>
    </w:pPr>
  </w:style>
  <w:style w:type="paragraph" w:customStyle="1" w:styleId="ListNote">
    <w:name w:val="List Note"/>
    <w:basedOn w:val="List"/>
    <w:rsid w:val="002C2DEF"/>
    <w:pPr>
      <w:pBdr>
        <w:top w:val="single" w:sz="6" w:space="2" w:color="918585"/>
        <w:bottom w:val="single" w:sz="6" w:space="2" w:color="918585"/>
      </w:pBdr>
      <w:tabs>
        <w:tab w:val="left" w:pos="1021"/>
      </w:tabs>
      <w:ind w:firstLine="0"/>
    </w:pPr>
  </w:style>
  <w:style w:type="paragraph" w:customStyle="1" w:styleId="Warning">
    <w:name w:val="Warning"/>
    <w:basedOn w:val="BodyText"/>
    <w:rsid w:val="002C2DEF"/>
    <w:pPr>
      <w:shd w:val="clear" w:color="auto" w:fill="D9D9D9"/>
      <w:tabs>
        <w:tab w:val="left" w:pos="992"/>
      </w:tabs>
      <w:ind w:left="119" w:right="119"/>
    </w:pPr>
    <w:rPr>
      <w:sz w:val="20"/>
    </w:rPr>
  </w:style>
  <w:style w:type="paragraph" w:customStyle="1" w:styleId="MarginIcons">
    <w:name w:val="Margin Icons"/>
    <w:basedOn w:val="BodyText"/>
    <w:rsid w:val="002C2DE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C2DEF"/>
    <w:rPr>
      <w:rFonts w:ascii="Courier New" w:hAnsi="Courier New"/>
    </w:rPr>
  </w:style>
  <w:style w:type="paragraph" w:customStyle="1" w:styleId="NoteBullet">
    <w:name w:val="Note Bullet"/>
    <w:basedOn w:val="Note"/>
    <w:rsid w:val="002C2DEF"/>
    <w:pPr>
      <w:tabs>
        <w:tab w:val="clear" w:pos="680"/>
      </w:tabs>
      <w:spacing w:before="60" w:after="60"/>
    </w:pPr>
  </w:style>
  <w:style w:type="paragraph" w:customStyle="1" w:styleId="SubHeading2">
    <w:name w:val="SubHeading2"/>
    <w:basedOn w:val="HeadingBase"/>
    <w:rsid w:val="002C2DEF"/>
    <w:pPr>
      <w:spacing w:before="240" w:after="60"/>
    </w:pPr>
    <w:rPr>
      <w:sz w:val="20"/>
    </w:rPr>
  </w:style>
  <w:style w:type="paragraph" w:customStyle="1" w:styleId="SubHeading1">
    <w:name w:val="SubHeading1"/>
    <w:basedOn w:val="HeadingBase"/>
    <w:rsid w:val="002C2DEF"/>
    <w:pPr>
      <w:spacing w:before="240" w:after="60"/>
    </w:pPr>
    <w:rPr>
      <w:color w:val="918585"/>
      <w:sz w:val="22"/>
    </w:rPr>
  </w:style>
  <w:style w:type="paragraph" w:customStyle="1" w:styleId="SideHeading">
    <w:name w:val="Side Heading"/>
    <w:basedOn w:val="HeadingBase"/>
    <w:rsid w:val="002C2D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2DEF"/>
    <w:pPr>
      <w:numPr>
        <w:numId w:val="10"/>
      </w:numPr>
    </w:pPr>
  </w:style>
  <w:style w:type="paragraph" w:styleId="PlainText">
    <w:name w:val="Plain Text"/>
    <w:basedOn w:val="Normal"/>
    <w:link w:val="PlainTextChar"/>
    <w:rsid w:val="002C2DEF"/>
    <w:rPr>
      <w:sz w:val="20"/>
    </w:rPr>
  </w:style>
  <w:style w:type="character" w:customStyle="1" w:styleId="PlainTextChar">
    <w:name w:val="Plain Text Char"/>
    <w:basedOn w:val="DefaultParagraphFont"/>
    <w:link w:val="PlainText"/>
    <w:rsid w:val="002C2DEF"/>
    <w:rPr>
      <w:rFonts w:ascii="Courier New" w:eastAsia="Times New Roman" w:hAnsi="Courier New" w:cs="Times New Roman"/>
      <w:sz w:val="20"/>
      <w:szCs w:val="20"/>
      <w:lang w:val="en-US" w:eastAsia="en-US"/>
    </w:rPr>
  </w:style>
  <w:style w:type="character" w:customStyle="1" w:styleId="MenuOption">
    <w:name w:val="Menu Option"/>
    <w:rsid w:val="002C2DEF"/>
    <w:rPr>
      <w:b/>
      <w:smallCaps/>
    </w:rPr>
  </w:style>
  <w:style w:type="paragraph" w:customStyle="1" w:styleId="TableListNumber">
    <w:name w:val="Table List Number"/>
    <w:basedOn w:val="ListNumber"/>
    <w:rsid w:val="002C2DEF"/>
    <w:pPr>
      <w:numPr>
        <w:numId w:val="0"/>
      </w:numPr>
    </w:pPr>
  </w:style>
  <w:style w:type="paragraph" w:styleId="TOC4">
    <w:name w:val="toc 4"/>
    <w:basedOn w:val="TOCBase"/>
    <w:next w:val="Normal"/>
    <w:semiHidden/>
    <w:rsid w:val="002C2DEF"/>
    <w:pPr>
      <w:tabs>
        <w:tab w:val="right" w:leader="dot" w:pos="9071"/>
      </w:tabs>
      <w:ind w:left="1701"/>
    </w:pPr>
  </w:style>
  <w:style w:type="paragraph" w:customStyle="1" w:styleId="ListAlpha">
    <w:name w:val="List Alpha"/>
    <w:basedOn w:val="List"/>
    <w:rsid w:val="002C2DEF"/>
    <w:pPr>
      <w:numPr>
        <w:numId w:val="7"/>
      </w:numPr>
    </w:pPr>
  </w:style>
  <w:style w:type="paragraph" w:customStyle="1" w:styleId="ListAlpha2">
    <w:name w:val="List Alpha 2"/>
    <w:basedOn w:val="List2"/>
    <w:rsid w:val="002C2DEF"/>
    <w:pPr>
      <w:numPr>
        <w:numId w:val="6"/>
      </w:numPr>
    </w:pPr>
  </w:style>
  <w:style w:type="paragraph" w:styleId="List2">
    <w:name w:val="List 2"/>
    <w:basedOn w:val="BodyText"/>
    <w:rsid w:val="002C2DEF"/>
    <w:pPr>
      <w:tabs>
        <w:tab w:val="left" w:pos="680"/>
      </w:tabs>
      <w:spacing w:before="60" w:after="60"/>
      <w:ind w:left="680" w:hanging="340"/>
    </w:pPr>
  </w:style>
  <w:style w:type="paragraph" w:styleId="List3">
    <w:name w:val="List 3"/>
    <w:basedOn w:val="BodyText"/>
    <w:rsid w:val="002C2DEF"/>
    <w:pPr>
      <w:tabs>
        <w:tab w:val="left" w:pos="1021"/>
      </w:tabs>
      <w:spacing w:before="60" w:after="60"/>
      <w:ind w:left="1020" w:hanging="340"/>
    </w:pPr>
  </w:style>
  <w:style w:type="paragraph" w:styleId="List4">
    <w:name w:val="List 4"/>
    <w:basedOn w:val="BodyText"/>
    <w:rsid w:val="002C2DEF"/>
    <w:pPr>
      <w:tabs>
        <w:tab w:val="left" w:pos="1361"/>
      </w:tabs>
      <w:spacing w:before="60" w:after="60"/>
      <w:ind w:left="1361" w:hanging="340"/>
    </w:pPr>
  </w:style>
  <w:style w:type="paragraph" w:styleId="List5">
    <w:name w:val="List 5"/>
    <w:basedOn w:val="BodyText"/>
    <w:rsid w:val="002C2DEF"/>
    <w:pPr>
      <w:tabs>
        <w:tab w:val="left" w:pos="1701"/>
      </w:tabs>
      <w:spacing w:before="60" w:after="60"/>
      <w:ind w:left="1701" w:hanging="340"/>
    </w:pPr>
  </w:style>
  <w:style w:type="paragraph" w:styleId="ListBullet3">
    <w:name w:val="List Bullet 3"/>
    <w:basedOn w:val="List3"/>
    <w:rsid w:val="002C2DEF"/>
    <w:pPr>
      <w:numPr>
        <w:numId w:val="13"/>
      </w:numPr>
      <w:tabs>
        <w:tab w:val="clear" w:pos="1021"/>
      </w:tabs>
      <w:ind w:left="1037" w:hanging="357"/>
    </w:pPr>
  </w:style>
  <w:style w:type="paragraph" w:styleId="ListBullet4">
    <w:name w:val="List Bullet 4"/>
    <w:basedOn w:val="List4"/>
    <w:rsid w:val="002C2DEF"/>
    <w:pPr>
      <w:numPr>
        <w:numId w:val="1"/>
      </w:numPr>
    </w:pPr>
  </w:style>
  <w:style w:type="paragraph" w:styleId="ListBullet5">
    <w:name w:val="List Bullet 5"/>
    <w:basedOn w:val="List5"/>
    <w:rsid w:val="002C2DEF"/>
    <w:pPr>
      <w:numPr>
        <w:numId w:val="2"/>
      </w:numPr>
    </w:pPr>
  </w:style>
  <w:style w:type="paragraph" w:styleId="ListContinue2">
    <w:name w:val="List Continue 2"/>
    <w:basedOn w:val="List2"/>
    <w:rsid w:val="002C2DEF"/>
    <w:pPr>
      <w:ind w:firstLine="0"/>
    </w:pPr>
  </w:style>
  <w:style w:type="paragraph" w:styleId="ListContinue3">
    <w:name w:val="List Continue 3"/>
    <w:basedOn w:val="List3"/>
    <w:rsid w:val="002C2DEF"/>
    <w:pPr>
      <w:ind w:left="1021" w:firstLine="0"/>
    </w:pPr>
  </w:style>
  <w:style w:type="paragraph" w:styleId="ListContinue4">
    <w:name w:val="List Continue 4"/>
    <w:basedOn w:val="List4"/>
    <w:rsid w:val="002C2DEF"/>
    <w:pPr>
      <w:ind w:firstLine="0"/>
    </w:pPr>
  </w:style>
  <w:style w:type="paragraph" w:styleId="ListContinue5">
    <w:name w:val="List Continue 5"/>
    <w:basedOn w:val="List5"/>
    <w:rsid w:val="002C2DEF"/>
    <w:pPr>
      <w:ind w:firstLine="0"/>
    </w:pPr>
  </w:style>
  <w:style w:type="paragraph" w:styleId="ListNumber3">
    <w:name w:val="List Number 3"/>
    <w:basedOn w:val="List3"/>
    <w:rsid w:val="002C2DEF"/>
    <w:pPr>
      <w:numPr>
        <w:numId w:val="3"/>
      </w:numPr>
    </w:pPr>
  </w:style>
  <w:style w:type="paragraph" w:styleId="ListNumber4">
    <w:name w:val="List Number 4"/>
    <w:basedOn w:val="List4"/>
    <w:rsid w:val="002C2DEF"/>
    <w:pPr>
      <w:numPr>
        <w:numId w:val="4"/>
      </w:numPr>
    </w:pPr>
  </w:style>
  <w:style w:type="paragraph" w:styleId="ListNumber5">
    <w:name w:val="List Number 5"/>
    <w:basedOn w:val="List5"/>
    <w:rsid w:val="002C2DEF"/>
    <w:pPr>
      <w:numPr>
        <w:numId w:val="5"/>
      </w:numPr>
    </w:pPr>
  </w:style>
  <w:style w:type="paragraph" w:styleId="BlockText">
    <w:name w:val="Block Text"/>
    <w:basedOn w:val="Normal"/>
    <w:rsid w:val="002C2DEF"/>
    <w:pPr>
      <w:spacing w:after="120"/>
      <w:ind w:left="1440" w:right="1440"/>
    </w:pPr>
  </w:style>
  <w:style w:type="character" w:customStyle="1" w:styleId="Subscript">
    <w:name w:val="Subscript"/>
    <w:rsid w:val="002C2DEF"/>
    <w:rPr>
      <w:sz w:val="16"/>
      <w:vertAlign w:val="subscript"/>
    </w:rPr>
  </w:style>
  <w:style w:type="character" w:customStyle="1" w:styleId="Superscript">
    <w:name w:val="Superscript"/>
    <w:rsid w:val="002C2DEF"/>
    <w:rPr>
      <w:sz w:val="16"/>
      <w:vertAlign w:val="superscript"/>
    </w:rPr>
  </w:style>
  <w:style w:type="character" w:customStyle="1" w:styleId="Symbols">
    <w:name w:val="Symbols"/>
    <w:rsid w:val="002C2DEF"/>
    <w:rPr>
      <w:rFonts w:ascii="Symbol" w:hAnsi="Symbol"/>
    </w:rPr>
  </w:style>
  <w:style w:type="character" w:customStyle="1" w:styleId="MenuOptions">
    <w:name w:val="Menu Options"/>
    <w:rsid w:val="002C2DEF"/>
    <w:rPr>
      <w:rFonts w:ascii="Arial Narrow" w:hAnsi="Arial Narrow"/>
      <w:smallCaps/>
    </w:rPr>
  </w:style>
  <w:style w:type="character" w:customStyle="1" w:styleId="Buttons">
    <w:name w:val="Buttons"/>
    <w:rsid w:val="002C2DEF"/>
    <w:rPr>
      <w:b/>
    </w:rPr>
  </w:style>
  <w:style w:type="character" w:customStyle="1" w:styleId="Underlined">
    <w:name w:val="Underlined"/>
    <w:rsid w:val="002C2DEF"/>
    <w:rPr>
      <w:u w:val="single"/>
    </w:rPr>
  </w:style>
  <w:style w:type="paragraph" w:customStyle="1" w:styleId="TableBodyTextRight">
    <w:name w:val="Table Body Text Right"/>
    <w:basedOn w:val="TableBodyText"/>
    <w:rsid w:val="002C2DEF"/>
    <w:pPr>
      <w:widowControl w:val="0"/>
      <w:autoSpaceDE w:val="0"/>
      <w:autoSpaceDN w:val="0"/>
      <w:adjustRightInd w:val="0"/>
      <w:jc w:val="right"/>
    </w:pPr>
    <w:rPr>
      <w:rFonts w:cs="Arial"/>
      <w:szCs w:val="18"/>
    </w:rPr>
  </w:style>
  <w:style w:type="paragraph" w:customStyle="1" w:styleId="CopyrightText">
    <w:name w:val="Copyright Text"/>
    <w:basedOn w:val="BodyText"/>
    <w:rsid w:val="002C2DEF"/>
    <w:rPr>
      <w:sz w:val="18"/>
    </w:rPr>
  </w:style>
  <w:style w:type="paragraph" w:customStyle="1" w:styleId="BodySmallRight">
    <w:name w:val="Body Small Right"/>
    <w:basedOn w:val="BodyTextRight"/>
    <w:rsid w:val="002C2DEF"/>
    <w:rPr>
      <w:sz w:val="18"/>
      <w:szCs w:val="18"/>
    </w:rPr>
  </w:style>
  <w:style w:type="paragraph" w:customStyle="1" w:styleId="MarginEdition">
    <w:name w:val="Margin Edition"/>
    <w:basedOn w:val="MarginNote"/>
    <w:rsid w:val="002C2DEF"/>
    <w:pPr>
      <w:spacing w:before="0" w:after="0"/>
    </w:pPr>
    <w:rPr>
      <w:rFonts w:ascii="Times New Roman" w:hAnsi="Times New Roman"/>
      <w:color w:val="999999"/>
    </w:rPr>
  </w:style>
  <w:style w:type="paragraph" w:customStyle="1" w:styleId="Spacer">
    <w:name w:val="Spacer"/>
    <w:basedOn w:val="Normal"/>
    <w:rsid w:val="002C2DEF"/>
    <w:rPr>
      <w:sz w:val="2"/>
      <w:szCs w:val="2"/>
    </w:rPr>
  </w:style>
  <w:style w:type="character" w:customStyle="1" w:styleId="Small">
    <w:name w:val="Small"/>
    <w:rsid w:val="002C2DEF"/>
    <w:rPr>
      <w:sz w:val="16"/>
    </w:rPr>
  </w:style>
  <w:style w:type="paragraph" w:customStyle="1" w:styleId="WideTable">
    <w:name w:val="Wide Table"/>
    <w:basedOn w:val="Normal"/>
    <w:rsid w:val="002C2DEF"/>
    <w:pPr>
      <w:ind w:left="-1418"/>
    </w:pPr>
    <w:rPr>
      <w:sz w:val="2"/>
      <w:szCs w:val="2"/>
    </w:rPr>
  </w:style>
  <w:style w:type="character" w:styleId="PageNumber">
    <w:name w:val="page number"/>
    <w:rsid w:val="002C2DEF"/>
  </w:style>
  <w:style w:type="paragraph" w:styleId="Quote">
    <w:name w:val="Quote"/>
    <w:basedOn w:val="Heading1"/>
    <w:link w:val="QuoteChar"/>
    <w:qFormat/>
    <w:rsid w:val="002C2DEF"/>
    <w:rPr>
      <w:b w:val="0"/>
      <w:sz w:val="72"/>
      <w:szCs w:val="72"/>
      <w:lang w:val="en-NZ"/>
    </w:rPr>
  </w:style>
  <w:style w:type="character" w:customStyle="1" w:styleId="QuoteChar">
    <w:name w:val="Quote Char"/>
    <w:link w:val="Quote"/>
    <w:rsid w:val="002C2D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2DEF"/>
    <w:pPr>
      <w:pageBreakBefore/>
    </w:pPr>
  </w:style>
  <w:style w:type="paragraph" w:customStyle="1" w:styleId="Border">
    <w:name w:val="Border"/>
    <w:basedOn w:val="Normal"/>
    <w:qFormat/>
    <w:rsid w:val="002C2DEF"/>
    <w:pPr>
      <w:pBdr>
        <w:top w:val="single" w:sz="18" w:space="1" w:color="auto"/>
      </w:pBdr>
    </w:pPr>
    <w:rPr>
      <w:rFonts w:ascii="Times New Roman" w:hAnsi="Times New Roman"/>
      <w:color w:val="FFFFFF"/>
      <w:sz w:val="2"/>
    </w:rPr>
  </w:style>
  <w:style w:type="character" w:styleId="IntenseEmphasis">
    <w:name w:val="Intense Emphasis"/>
    <w:uiPriority w:val="21"/>
    <w:qFormat/>
    <w:rsid w:val="002C2DEF"/>
    <w:rPr>
      <w:b/>
      <w:bCs/>
      <w:i/>
      <w:iCs/>
      <w:color w:val="auto"/>
    </w:rPr>
  </w:style>
  <w:style w:type="paragraph" w:styleId="IntenseQuote">
    <w:name w:val="Intense Quote"/>
    <w:basedOn w:val="Normal"/>
    <w:next w:val="Normal"/>
    <w:link w:val="IntenseQuoteChar"/>
    <w:uiPriority w:val="30"/>
    <w:qFormat/>
    <w:rsid w:val="002C2DE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C2DEF"/>
    <w:rPr>
      <w:rFonts w:ascii="Courier New" w:eastAsia="Times New Roman" w:hAnsi="Courier New" w:cs="Times New Roman"/>
      <w:b/>
      <w:bCs/>
      <w:i/>
      <w:iCs/>
      <w:szCs w:val="20"/>
      <w:lang w:val="en-US" w:eastAsia="en-US"/>
    </w:rPr>
  </w:style>
  <w:style w:type="character" w:styleId="SubtleReference">
    <w:name w:val="Subtle Reference"/>
    <w:uiPriority w:val="31"/>
    <w:qFormat/>
    <w:rsid w:val="002C2DEF"/>
    <w:rPr>
      <w:smallCaps/>
      <w:color w:val="auto"/>
      <w:u w:val="single"/>
    </w:rPr>
  </w:style>
  <w:style w:type="character" w:styleId="IntenseReference">
    <w:name w:val="Intense Reference"/>
    <w:uiPriority w:val="32"/>
    <w:qFormat/>
    <w:rsid w:val="002C2DEF"/>
    <w:rPr>
      <w:b/>
      <w:bCs/>
      <w:smallCaps/>
      <w:color w:val="auto"/>
      <w:spacing w:val="5"/>
      <w:u w:val="single"/>
    </w:rPr>
  </w:style>
  <w:style w:type="paragraph" w:customStyle="1" w:styleId="2ColumnHeading">
    <w:name w:val="2Column Heading"/>
    <w:basedOn w:val="BodyText"/>
    <w:qFormat/>
    <w:rsid w:val="002C2DEF"/>
    <w:pPr>
      <w:spacing w:after="60"/>
      <w:ind w:left="-2268"/>
    </w:pPr>
    <w:rPr>
      <w:b/>
    </w:rPr>
  </w:style>
  <w:style w:type="paragraph" w:customStyle="1" w:styleId="Heading1TOC">
    <w:name w:val="Heading1 TOC"/>
    <w:basedOn w:val="Normal"/>
    <w:qFormat/>
    <w:rsid w:val="002C2DEF"/>
    <w:pPr>
      <w:spacing w:before="240" w:after="120"/>
    </w:pPr>
    <w:rPr>
      <w:rFonts w:ascii="Times New Roman" w:hAnsi="Times New Roman"/>
      <w:b/>
      <w:sz w:val="32"/>
    </w:rPr>
  </w:style>
  <w:style w:type="paragraph" w:customStyle="1" w:styleId="Heading2TOC">
    <w:name w:val="Heading2 TOC"/>
    <w:basedOn w:val="Normal"/>
    <w:qFormat/>
    <w:rsid w:val="002C2DEF"/>
    <w:pPr>
      <w:spacing w:before="240" w:after="60"/>
    </w:pPr>
    <w:rPr>
      <w:rFonts w:ascii="Times New Roman" w:hAnsi="Times New Roman"/>
      <w:b/>
      <w:sz w:val="28"/>
    </w:rPr>
  </w:style>
  <w:style w:type="character" w:customStyle="1" w:styleId="Underline">
    <w:name w:val="Underline"/>
    <w:qFormat/>
    <w:rsid w:val="002C2DEF"/>
    <w:rPr>
      <w:u w:val="single"/>
    </w:rPr>
  </w:style>
  <w:style w:type="character" w:customStyle="1" w:styleId="BoldandItalics">
    <w:name w:val="Bold and Italics"/>
    <w:qFormat/>
    <w:rsid w:val="002C2DEF"/>
    <w:rPr>
      <w:b/>
      <w:i/>
      <w:u w:val="none"/>
    </w:rPr>
  </w:style>
  <w:style w:type="paragraph" w:styleId="BalloonText">
    <w:name w:val="Balloon Text"/>
    <w:basedOn w:val="Normal"/>
    <w:link w:val="BalloonTextChar"/>
    <w:rsid w:val="002C2DEF"/>
    <w:rPr>
      <w:rFonts w:ascii="Tahoma" w:hAnsi="Tahoma" w:cs="Tahoma"/>
      <w:sz w:val="16"/>
      <w:szCs w:val="16"/>
    </w:rPr>
  </w:style>
  <w:style w:type="character" w:customStyle="1" w:styleId="BalloonTextChar">
    <w:name w:val="Balloon Text Char"/>
    <w:link w:val="BalloonText"/>
    <w:rsid w:val="002C2DE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C2DE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C2DE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1335</Words>
  <Characters>7876</Characters>
  <Application>Microsoft Office Word</Application>
  <DocSecurity>0</DocSecurity>
  <Lines>284</Lines>
  <Paragraphs>112</Paragraphs>
  <ScaleCrop>false</ScaleCrop>
  <Company>Author-it Software Corporation Ltd.</Company>
  <LinksUpToDate>false</LinksUpToDate>
  <CharactersWithSpaces>9159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RTF2311A Undertake stump removal</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2012-05-27T07:45:00Z</dcterms:created>
  <dcterms:modified xsi:type="dcterms:W3CDTF">2012-05-27T07:45:00Z</dcterms:modified>
</cp:coreProperties>
</file>