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4F6" w:rsidP="00A354F6">
      <w:pPr>
        <w:pStyle w:val="Title"/>
      </w:pPr>
      <w:r>
        <w:fldChar w:fldCharType="begin"/>
      </w:r>
      <w:r>
        <w:instrText xml:space="preserve"> TITLE   \* MERGEFORMAT </w:instrText>
      </w:r>
      <w:r>
        <w:fldChar w:fldCharType="separate"/>
      </w:r>
      <w:r>
        <w:t>RTF2204A Construct low-profile timber or modular retaining walls</w:t>
      </w:r>
      <w:r>
        <w:fldChar w:fldCharType="end"/>
      </w:r>
    </w:p>
    <w:p w:rsidR="00A354F6" w:rsidP="00A354F6">
      <w:pPr>
        <w:pStyle w:val="Version"/>
        <w:sectPr w:rsidSect="00771E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E43" w:rsidP="00771E43">
      <w:pPr>
        <w:pStyle w:val="SuperHeading"/>
      </w:pPr>
      <w:r w:rsidRPr="00771E43">
        <w:t>RTF2204A Construct low-profile timber or modular retaining walls</w:t>
      </w:r>
    </w:p>
    <w:p w:rsidR="00000000" w:rsidRPr="00771E43" w:rsidP="00771E43">
      <w:pPr>
        <w:pStyle w:val="Heading1"/>
      </w:pPr>
      <w:bookmarkStart w:id="1" w:name="O_321050"/>
      <w:bookmarkEnd w:id="1"/>
      <w:r w:rsidRPr="00771E43">
        <w:t>Modification History</w:t>
      </w:r>
    </w:p>
    <w:p w:rsidR="00000000" w:rsidRPr="00771E43" w:rsidP="00771E43">
      <w:pPr>
        <w:pStyle w:val="BodyText"/>
      </w:pPr>
      <w:r w:rsidRPr="00771E43">
        <w:t>Not applicable.</w:t>
      </w:r>
    </w:p>
    <w:p w:rsidR="00000000" w:rsidRPr="00771E43" w:rsidP="00771E43">
      <w:pPr>
        <w:pStyle w:val="AllowPageBreak"/>
      </w:pPr>
    </w:p>
    <w:p w:rsidR="00000000" w:rsidRPr="00771E43" w:rsidP="00771E43">
      <w:pPr>
        <w:pStyle w:val="Heading1"/>
      </w:pPr>
      <w:bookmarkStart w:id="2" w:name="O_321049"/>
      <w:bookmarkEnd w:id="2"/>
      <w:r w:rsidRPr="00771E43">
        <w:t>Unit Descriptor</w:t>
      </w:r>
    </w:p>
    <w:p w:rsidR="00000000" w:rsidRPr="00771E43" w:rsidP="00771E43">
      <w:pPr>
        <w:pStyle w:val="BodyText"/>
      </w:pPr>
      <w:r w:rsidRPr="00771E43">
        <w:t>This competency standard covers the process of constructing low profile timber or modular retaining w</w:t>
      </w:r>
      <w:r w:rsidRPr="00771E43">
        <w:t>alls in landscape settings.  Construction work is likely to be performed under routine supervision with intermittent checking.  Responsibility for some roles and co-ordination within a team may be required.  Competency is demonstrated by the application of</w:t>
      </w:r>
      <w:r w:rsidRPr="00771E43">
        <w:t xml:space="preserve"> knowledge and skills in tasks such as marking out sites, preparing footings, and preparing and installing retaining wall components.</w:t>
      </w:r>
    </w:p>
    <w:p w:rsidR="00000000" w:rsidRPr="00771E43" w:rsidP="00771E43">
      <w:pPr>
        <w:pStyle w:val="AllowPageBreak"/>
      </w:pPr>
    </w:p>
    <w:p w:rsidR="00000000" w:rsidRPr="00771E43" w:rsidP="00771E43">
      <w:pPr>
        <w:pStyle w:val="Heading1"/>
      </w:pPr>
      <w:bookmarkStart w:id="3" w:name="O_321048"/>
      <w:bookmarkEnd w:id="3"/>
      <w:r w:rsidRPr="00771E43">
        <w:t>Application of the Unit</w:t>
      </w:r>
    </w:p>
    <w:p w:rsidR="00000000" w:rsidRPr="00771E43" w:rsidP="00771E43">
      <w:pPr>
        <w:pStyle w:val="BodyText"/>
      </w:pPr>
      <w:r w:rsidRPr="00771E43">
        <w:t>Not applicable.</w:t>
      </w:r>
    </w:p>
    <w:p w:rsidR="00000000" w:rsidRPr="00771E43" w:rsidP="00771E43">
      <w:pPr>
        <w:pStyle w:val="AllowPageBreak"/>
      </w:pPr>
    </w:p>
    <w:p w:rsidR="00000000" w:rsidRPr="00771E43" w:rsidP="00771E43">
      <w:pPr>
        <w:pStyle w:val="Heading1"/>
      </w:pPr>
      <w:bookmarkStart w:id="4" w:name="O_321047"/>
      <w:bookmarkEnd w:id="4"/>
      <w:r w:rsidRPr="00771E43">
        <w:t>Licensing/Regulatory Information</w:t>
      </w:r>
    </w:p>
    <w:p w:rsidR="00000000" w:rsidRPr="00771E43" w:rsidP="00771E43">
      <w:pPr>
        <w:pStyle w:val="BodyText"/>
      </w:pPr>
      <w:r w:rsidRPr="00771E43">
        <w:t>Not applicable.</w:t>
      </w:r>
    </w:p>
    <w:p w:rsidR="00000000" w:rsidRPr="00771E43" w:rsidP="00771E43">
      <w:pPr>
        <w:pStyle w:val="AllowPageBreak"/>
      </w:pPr>
    </w:p>
    <w:p w:rsidR="00000000" w:rsidRPr="00771E43" w:rsidP="00771E43">
      <w:pPr>
        <w:pStyle w:val="Heading1"/>
      </w:pPr>
      <w:bookmarkStart w:id="5" w:name="O_321046"/>
      <w:bookmarkEnd w:id="5"/>
      <w:r w:rsidRPr="00771E43">
        <w:t>Pre-Requisites</w:t>
      </w:r>
    </w:p>
    <w:p w:rsidR="00000000" w:rsidRPr="00771E43" w:rsidP="00771E43">
      <w:pPr>
        <w:pStyle w:val="BodyText"/>
      </w:pPr>
      <w:r w:rsidRPr="00771E43">
        <w:t>Not applicable.</w:t>
      </w:r>
    </w:p>
    <w:p w:rsidR="00000000" w:rsidRPr="00771E43" w:rsidP="00771E43">
      <w:pPr>
        <w:pStyle w:val="AllowPageBreak"/>
      </w:pPr>
    </w:p>
    <w:p w:rsidR="00000000" w:rsidRPr="00771E43" w:rsidP="00771E43">
      <w:pPr>
        <w:pStyle w:val="Heading1"/>
      </w:pPr>
      <w:bookmarkStart w:id="6" w:name="O_321045"/>
      <w:bookmarkEnd w:id="6"/>
      <w:r w:rsidRPr="00771E43">
        <w:t>Employability Skills Information</w:t>
      </w:r>
    </w:p>
    <w:p w:rsidR="00000000" w:rsidRPr="00771E43" w:rsidP="00771E43">
      <w:pPr>
        <w:pStyle w:val="BodyText"/>
      </w:pPr>
      <w:r w:rsidRPr="00771E43">
        <w:t>Not applicable.</w:t>
      </w:r>
    </w:p>
    <w:p w:rsidR="00000000" w:rsidRPr="00771E43" w:rsidP="00771E43">
      <w:pPr>
        <w:pStyle w:val="AllowPageBreak"/>
      </w:pPr>
    </w:p>
    <w:p w:rsidR="00000000" w:rsidRPr="00771E43" w:rsidP="00771E43">
      <w:pPr>
        <w:pStyle w:val="Heading1"/>
      </w:pPr>
      <w:bookmarkStart w:id="7" w:name="O_321040"/>
      <w:bookmarkEnd w:id="7"/>
      <w:r w:rsidRPr="00771E43">
        <w:t>Elements and Performance Criteria Pre-Content</w:t>
      </w:r>
    </w:p>
    <w:p w:rsidR="00000000" w:rsidRPr="00771E43" w:rsidP="00771E43">
      <w:pPr>
        <w:pStyle w:val="BodyText"/>
      </w:pPr>
      <w:r w:rsidRPr="00771E43">
        <w:t>Not applicable.</w:t>
      </w:r>
    </w:p>
    <w:p w:rsidR="00000000" w:rsidRPr="00771E43" w:rsidP="00771E43">
      <w:pPr>
        <w:pStyle w:val="AllowPageBreak"/>
      </w:pPr>
    </w:p>
    <w:p w:rsidR="00000000" w:rsidRPr="00771E43" w:rsidP="00771E43">
      <w:pPr>
        <w:pStyle w:val="Heading1"/>
      </w:pPr>
      <w:bookmarkStart w:id="8" w:name="O_321051"/>
      <w:bookmarkEnd w:id="8"/>
      <w:r w:rsidRPr="00771E4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354F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Elements and Performance Criteria</w:t>
            </w:r>
          </w:p>
        </w:tc>
      </w:tr>
      <w:tr w:rsidTr="00A354F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Performance Criteria</w:t>
            </w:r>
          </w:p>
        </w:tc>
      </w:tr>
      <w:tr w:rsidTr="00A3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1</w:t>
            </w:r>
          </w:p>
        </w:tc>
        <w:tc>
          <w:tcPr>
            <w:tcW w:w="30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Plan and prepare work</w:t>
            </w:r>
          </w:p>
        </w:tc>
        <w:tc>
          <w:tcPr>
            <w:tcW w:w="500" w:type="dxa"/>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1.1</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 xml:space="preserve">Work instructions </w:t>
            </w:r>
            <w:r w:rsidRPr="00771E43">
              <w:t>relating to constructing the retaining wall are interpreted and confirmed with the supervisor.</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1.2</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 xml:space="preserve">Services </w:t>
            </w:r>
            <w:r w:rsidRPr="00771E43">
              <w:t>are located according to site and construction plans.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1.3</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 xml:space="preserve">Tools and equipment </w:t>
            </w:r>
            <w:r w:rsidRPr="00771E43">
              <w:t>are prepared and used according to the supervisor's instructions.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1.4</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The quantity and quality of </w:t>
            </w:r>
            <w:r w:rsidRPr="00771E43">
              <w:rPr>
                <w:rStyle w:val="SpecialBold"/>
              </w:rPr>
              <w:t xml:space="preserve">materials </w:t>
            </w:r>
            <w:r w:rsidRPr="00771E43">
              <w:t xml:space="preserve">are checked to ensure they conform </w:t>
            </w:r>
            <w:r w:rsidRPr="00771E43">
              <w:t>to the requirements of the job.</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1.5</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Manual handling and other </w:t>
            </w:r>
            <w:r w:rsidRPr="00771E43">
              <w:rPr>
                <w:rStyle w:val="SpecialBold"/>
              </w:rPr>
              <w:t xml:space="preserve">OHS hazards </w:t>
            </w:r>
            <w:r w:rsidRPr="00771E43">
              <w:t>are identified, risks assessed and reported to the supervisor.</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1.6</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 xml:space="preserve">Personal protective clothing and equipment </w:t>
            </w:r>
            <w:r w:rsidRPr="00771E43">
              <w:t>is selected, used and maintained.</w:t>
            </w:r>
          </w:p>
        </w:tc>
      </w:tr>
      <w:tr w:rsidTr="00A3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2</w:t>
            </w:r>
          </w:p>
        </w:tc>
        <w:tc>
          <w:tcPr>
            <w:tcW w:w="30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Mark out site for retaining wall</w:t>
            </w: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2.1</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The position of the retaining wall is marked out according to site and construction plans.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2.2</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The location and depth of excavations are determined from site and construction plans.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2.3</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Profiles are established to</w:t>
            </w:r>
            <w:r w:rsidRPr="00771E43">
              <w:t xml:space="preserve"> conform to the tolerances designated by the supervisor and/or site and construction plans.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2.4</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 xml:space="preserve">Survey benchmarks </w:t>
            </w:r>
            <w:r w:rsidRPr="00771E43">
              <w:t>are established.</w:t>
            </w:r>
          </w:p>
        </w:tc>
      </w:tr>
      <w:tr w:rsidTr="00A3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3</w:t>
            </w:r>
          </w:p>
        </w:tc>
        <w:tc>
          <w:tcPr>
            <w:tcW w:w="30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Prepare </w:t>
            </w:r>
            <w:r w:rsidRPr="00771E43">
              <w:rPr>
                <w:rStyle w:val="SpecialBold"/>
              </w:rPr>
              <w:t xml:space="preserve">footings </w:t>
            </w:r>
            <w:r w:rsidRPr="00771E43">
              <w:t xml:space="preserve">according to </w:t>
            </w:r>
            <w:r w:rsidRPr="00771E43">
              <w:rPr>
                <w:rStyle w:val="SpecialBold"/>
              </w:rPr>
              <w:t>industry standards</w:t>
            </w: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3.1</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Foundations for the retaining wall are excavated to depth and dimensions according industry standards.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3.2</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Soil and waste material are removed and stockpiled to ensure a safe working area.</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3.3</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Reinforcing and/or steps in the excavated site are located and positioned according to industry standards.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3.4</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Pegs or levels are positioned to maintain even </w:t>
            </w:r>
            <w:r w:rsidRPr="00771E43">
              <w:t>depth and horizontal plane to the top of footings.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3.5</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 xml:space="preserve">Footings </w:t>
            </w:r>
            <w:r w:rsidRPr="00771E43">
              <w:t>are placed, consolidated and</w:t>
            </w:r>
            <w:r w:rsidRPr="00771E43">
              <w:t xml:space="preserve"> finished to determined levels, to ensure coverage of reinforcement as necessary and according to </w:t>
            </w:r>
            <w:r w:rsidRPr="00771E43">
              <w:rPr>
                <w:rStyle w:val="SpecialBold"/>
              </w:rPr>
              <w:t>industry standards</w:t>
            </w:r>
            <w:r w:rsidRPr="00771E43">
              <w:t>.</w:t>
            </w:r>
          </w:p>
        </w:tc>
      </w:tr>
      <w:tr w:rsidTr="00A3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w:t>
            </w:r>
          </w:p>
        </w:tc>
        <w:tc>
          <w:tcPr>
            <w:tcW w:w="30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Prepare and install retaining wall components</w:t>
            </w: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4.1</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Components for installation are prepared and laid out.</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4.2</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Components to be cut are marked out to length and/or shape and cut accurately to the requirements of profiles already established.</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4.3</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Drainage media is installed according to supervisors instructions.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4.4</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Base layer of retaining wall is constructed </w:t>
            </w:r>
            <w:r w:rsidRPr="00771E43">
              <w:t>to a point above the top of the drainage media and weep holes are formed where indicated.</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4.5</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Fill material is back-filled and compacted behind base of retaining wall.</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4.6</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Retaining wall components are constructed to d</w:t>
            </w:r>
            <w:r w:rsidRPr="00771E43">
              <w:t>imensions, profiles and levels as outlined in the specified site and construction plans and/or according to supervisors instructions.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4.7</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Capping to top of retaining wall is set to specified levels with a tolerance appropriate to the style of capping.</w:t>
            </w:r>
          </w:p>
        </w:tc>
      </w:tr>
      <w:tr w:rsidTr="00A3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5</w:t>
            </w:r>
          </w:p>
        </w:tc>
        <w:tc>
          <w:tcPr>
            <w:tcW w:w="3000" w:type="dxa"/>
            <w:vMerge w:val="restart"/>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Clean up site and store tools and equipment</w:t>
            </w: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5.1</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Soil and waste material from the site is disposed of or recycled to minimise damage to the environment.</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5.2</w:t>
            </w:r>
          </w:p>
        </w:tc>
        <w:tc>
          <w:tcPr>
            <w:tcW w:w="51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Unused construction materials are stored and stacked for future re-use according to supervisors instructions.</w:t>
            </w:r>
          </w:p>
        </w:tc>
      </w:tr>
      <w:tr w:rsidTr="00A3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5.3</w:t>
            </w:r>
          </w:p>
        </w:tc>
        <w:tc>
          <w:tcPr>
            <w:tcW w:w="5100" w:type="dxa"/>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All tools and equipment are cleaned and stored according to supervisors instructions.</w:t>
            </w:r>
          </w:p>
        </w:tc>
      </w:tr>
    </w:tbl>
    <w:p w:rsidR="00000000" w:rsidRPr="00771E43" w:rsidP="00771E43">
      <w:pPr>
        <w:pStyle w:val="BodyText"/>
      </w:pPr>
    </w:p>
    <w:p w:rsidR="00000000" w:rsidRPr="00771E43" w:rsidP="00771E43">
      <w:pPr>
        <w:pStyle w:val="AllowPageBreak"/>
      </w:pPr>
    </w:p>
    <w:p w:rsidR="00000000" w:rsidRPr="00771E43" w:rsidP="00771E43">
      <w:pPr>
        <w:pStyle w:val="Heading1"/>
      </w:pPr>
      <w:bookmarkStart w:id="9" w:name="O_321044"/>
      <w:bookmarkEnd w:id="9"/>
      <w:r w:rsidRPr="00771E43">
        <w:t>Required Skills and Knowledge</w:t>
      </w:r>
    </w:p>
    <w:p w:rsidR="00000000" w:rsidRPr="00771E43" w:rsidP="00771E43">
      <w:pPr>
        <w:pStyle w:val="BodyText"/>
      </w:pPr>
      <w:r w:rsidRPr="00771E43">
        <w:t>Not applicable.</w:t>
      </w:r>
    </w:p>
    <w:p w:rsidR="00000000" w:rsidRPr="00771E43" w:rsidP="00771E43">
      <w:pPr>
        <w:pStyle w:val="AllowPageBreak"/>
      </w:pPr>
    </w:p>
    <w:p w:rsidR="00000000" w:rsidRPr="00771E43" w:rsidP="00771E43">
      <w:pPr>
        <w:pStyle w:val="Heading1"/>
      </w:pPr>
      <w:bookmarkStart w:id="10" w:name="O_321043"/>
      <w:bookmarkEnd w:id="10"/>
      <w:r w:rsidRPr="00771E43">
        <w:t>Evidence Guide</w:t>
      </w:r>
    </w:p>
    <w:tbl>
      <w:tblPr>
        <w:tblW w:w="0" w:type="auto"/>
        <w:tblLayout w:type="fixed"/>
        <w:tblCellMar>
          <w:left w:w="62" w:type="dxa"/>
          <w:right w:w="62" w:type="dxa"/>
        </w:tblCellMar>
        <w:tblLook w:val="0000"/>
      </w:tblPr>
      <w:tblGrid>
        <w:gridCol w:w="4500"/>
        <w:gridCol w:w="4500"/>
      </w:tblGrid>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rPr>
                <w:rStyle w:val="SpecialBold"/>
              </w:rPr>
              <w:t>What evidence is required to demonstrate competence for this standard as a whole</w:t>
            </w:r>
            <w:r w:rsidRPr="00771E43">
              <w:t>?</w:t>
            </w:r>
          </w:p>
          <w:p w:rsidR="00000000" w:rsidRPr="00771E43" w:rsidP="00771E43">
            <w:pPr>
              <w:pStyle w:val="BodyText"/>
            </w:pPr>
            <w:r w:rsidRPr="00771E43">
              <w:t>Competence in constructing retaining walls requires evidence that work can be planned and prepared, that the retaining wall</w:t>
            </w:r>
            <w:r w:rsidRPr="00771E43">
              <w:t xml:space="preserve"> site can be marked out, footings and reinforcing can be located, components for the wall can be installed and the site can be cleared and cleaned up according to supervisors instructions.</w:t>
            </w:r>
          </w:p>
          <w:p w:rsidR="00000000" w:rsidP="00771E43">
            <w:pPr>
              <w:pStyle w:val="BodyText"/>
              <w:rPr>
                <w:lang w:val="en-NZ"/>
              </w:rPr>
            </w:pPr>
            <w:r w:rsidRPr="00771E43">
              <w:t>The skills and knowledge required to construct retaining walls must</w:t>
            </w:r>
            <w:r w:rsidRPr="00771E43">
              <w:t xml:space="preserve"> be </w:t>
            </w:r>
            <w:r w:rsidRPr="00771E43">
              <w:rPr>
                <w:rStyle w:val="SpecialBold"/>
              </w:rPr>
              <w:t>transferable</w:t>
            </w:r>
            <w:r w:rsidRPr="00771E43">
              <w:t xml:space="preserve"> to a different work environment.  For example, this could include different construction materials, site slopes and locations, and soil types </w:t>
            </w: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What specific knowledge is needed to achieve the performance criteria</w:t>
            </w:r>
            <w:r w:rsidRPr="00771E43">
              <w:t xml:space="preserve">?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Knowledge and under</w:t>
            </w:r>
            <w:r w:rsidRPr="00771E43">
              <w:t>standing are essential to apply this standard in the workplace, to transfer the skills to other contexts, and to deal with unplanned events.  The knowledge requirements for this competency standard are listed below:</w:t>
            </w:r>
            <w:r w:rsidRPr="00771E43">
              <w:br/>
              <w:t xml:space="preserve">1. different construction materials for </w:t>
            </w:r>
            <w:r w:rsidRPr="00771E43">
              <w:t>retaining walls</w:t>
            </w:r>
            <w:r w:rsidRPr="00771E43">
              <w:br/>
              <w:t>2. construction approaches and methods</w:t>
            </w:r>
            <w:r w:rsidRPr="00771E43">
              <w:br/>
              <w:t>3. OHS responsibilities of employees</w:t>
            </w:r>
            <w:r w:rsidRPr="00771E43">
              <w:br/>
              <w:t>4. safe lifting practices for carrying large and heavy components</w:t>
            </w:r>
            <w:r w:rsidRPr="00771E43">
              <w:br/>
              <w:t>5. the environmental impact of soil disturbance when excavating an area to be retained and the env</w:t>
            </w:r>
            <w:r w:rsidRPr="00771E43">
              <w:t>ironmental effects of altering water flow when installing retaining walls, with or without drainage media</w:t>
            </w:r>
            <w:r w:rsidRPr="00771E43">
              <w:br/>
              <w:t>6. methods of disposing of soil and waste materials in order to minimise damage to the environment</w:t>
            </w:r>
            <w:r w:rsidRPr="00771E43">
              <w:br/>
              <w:t>7. Building Code of Australia relating to construct</w:t>
            </w:r>
            <w:r w:rsidRPr="00771E43">
              <w:t xml:space="preserve">ing retaining walls.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rPr>
                <w:rStyle w:val="SpecialBold"/>
              </w:rPr>
              <w:t>What specific skills are needed to achieve the performance criteria</w:t>
            </w:r>
            <w:r w:rsidRPr="00771E43">
              <w:t xml:space="preserve">?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To achieve the performance criteria, appropriate literacy and numeracy levels as well as some complementary skills are required.  These include the ability to:</w:t>
            </w:r>
            <w:r w:rsidRPr="00771E43">
              <w:br/>
            </w:r>
            <w:r w:rsidRPr="00771E43">
              <w:t>8. read and interpret site and construction plans</w:t>
            </w:r>
            <w:r w:rsidRPr="00771E43">
              <w:br/>
              <w:t>9. calculate the amount of materials required and accurately mark out the area to be retained</w:t>
            </w:r>
            <w:r w:rsidRPr="00771E43">
              <w:br/>
              <w:t>10. sort soil and waste material from the excavation site in an environmentally aware and sensitive manner, such</w:t>
            </w:r>
            <w:r w:rsidRPr="00771E43">
              <w:t xml:space="preserve"> as sorting it into organic, inorganic and recyclable piles.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rPr>
                <w:rStyle w:val="SpecialBold"/>
              </w:rPr>
              <w:t>What processes should be applied to this competency standard</w:t>
            </w:r>
            <w:r w:rsidRPr="00771E43">
              <w:t>?</w:t>
            </w:r>
          </w:p>
          <w:p w:rsidR="00000000" w:rsidP="00771E43">
            <w:pPr>
              <w:pStyle w:val="BodyText"/>
              <w:rPr>
                <w:lang w:val="en-NZ"/>
              </w:rPr>
            </w:pPr>
            <w:r w:rsidRPr="00771E43">
              <w:t>There are a number of processes that are learnt throughout work and life, which are required in all jobs.  They are fundament</w:t>
            </w:r>
            <w:r w:rsidRPr="00771E43">
              <w:t xml:space="preserve">al processes and generally transferable to other work functions.  Some of these are covered by the </w:t>
            </w:r>
            <w:r w:rsidRPr="00771E43">
              <w:rPr>
                <w:rStyle w:val="SpecialBold"/>
              </w:rPr>
              <w:t>key competencies</w:t>
            </w:r>
            <w:r w:rsidRPr="00771E43">
              <w:t>, although others may be added.  The questions below highlight how these processes are applied in this competency standard.  Following each q</w:t>
            </w:r>
            <w:r w:rsidRPr="00771E43">
              <w:t xml:space="preserve">uestion a number in brackets indicates the level to which the key competency needs to be demonstrated where 0 = not required, 1 = perform the process, 2 = perform and administer the process and 3 = perform, administer and design the process.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1. How can </w:t>
            </w:r>
            <w:r w:rsidRPr="00771E43">
              <w:rPr>
                <w:rStyle w:val="SpecialBold"/>
              </w:rPr>
              <w:t>communication of ideas and information</w:t>
            </w:r>
            <w:r w:rsidRPr="00771E43">
              <w:t xml:space="preserve"> (</w:t>
            </w:r>
            <w:r w:rsidRPr="00771E43">
              <w:rPr>
                <w:rStyle w:val="SpecialBold"/>
              </w:rPr>
              <w:t>1</w:t>
            </w:r>
            <w:r w:rsidRPr="00771E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Ideas and information regarding the tasks to be performed when constructing a retaining wall should be discussed with other members of the work team and/or the supervisor.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2. How can </w:t>
            </w:r>
            <w:r w:rsidRPr="00771E43">
              <w:rPr>
                <w:rStyle w:val="SpecialBold"/>
              </w:rPr>
              <w:t>information be collected</w:t>
            </w:r>
            <w:r w:rsidRPr="00771E43">
              <w:t xml:space="preserve">, </w:t>
            </w:r>
            <w:r w:rsidRPr="00771E43">
              <w:rPr>
                <w:rStyle w:val="SpecialBold"/>
              </w:rPr>
              <w:t>analysed and organised</w:t>
            </w:r>
            <w:r w:rsidRPr="00771E43">
              <w:t xml:space="preserve"> (</w:t>
            </w:r>
            <w:r w:rsidRPr="00771E43">
              <w:rPr>
                <w:rStyle w:val="SpecialBold"/>
              </w:rPr>
              <w:t>1</w:t>
            </w:r>
            <w:r w:rsidRPr="00771E43">
              <w:t xml:space="preserve">)?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Site and construction plans and information regarding industry standards should be obtained from the supervisor and read and interpreted to undertake construction activities.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3. How are </w:t>
            </w:r>
            <w:r w:rsidRPr="00771E43">
              <w:rPr>
                <w:rStyle w:val="SpecialBold"/>
              </w:rPr>
              <w:t>activities pl</w:t>
            </w:r>
            <w:r w:rsidRPr="00771E43">
              <w:rPr>
                <w:rStyle w:val="SpecialBold"/>
              </w:rPr>
              <w:t>anned and organised</w:t>
            </w:r>
            <w:r w:rsidRPr="00771E43">
              <w:t xml:space="preserve"> (</w:t>
            </w:r>
            <w:r w:rsidRPr="00771E43">
              <w:rPr>
                <w:rStyle w:val="SpecialBold"/>
              </w:rPr>
              <w:t>1</w:t>
            </w:r>
            <w:r w:rsidRPr="00771E43">
              <w:t xml:space="preserve">)?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Activities using equipment and materials may need to be planned and organised to ensure completion of the project on time and within budget.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4. How can </w:t>
            </w:r>
            <w:r w:rsidRPr="00771E43">
              <w:rPr>
                <w:rStyle w:val="SpecialBold"/>
              </w:rPr>
              <w:t>team work</w:t>
            </w:r>
            <w:r w:rsidRPr="00771E43">
              <w:t xml:space="preserve"> (</w:t>
            </w:r>
            <w:r w:rsidRPr="00771E43">
              <w:rPr>
                <w:rStyle w:val="SpecialBold"/>
              </w:rPr>
              <w:t>1</w:t>
            </w:r>
            <w:r w:rsidRPr="00771E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Teamwork may be necessary to complete specified tasks in the construction of a retaining wall.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5. How can the use of </w:t>
            </w:r>
            <w:r w:rsidRPr="00771E43">
              <w:rPr>
                <w:rStyle w:val="SpecialBold"/>
              </w:rPr>
              <w:t>mathematical ideas and techniques</w:t>
            </w:r>
            <w:r w:rsidRPr="00771E43">
              <w:t xml:space="preserve"> (</w:t>
            </w:r>
            <w:r w:rsidRPr="00771E43">
              <w:rPr>
                <w:rStyle w:val="SpecialBold"/>
              </w:rPr>
              <w:t>1</w:t>
            </w:r>
            <w:r w:rsidRPr="00771E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Mathematical techniques should be used to measure and calculate construction areas and</w:t>
            </w:r>
            <w:r w:rsidRPr="00771E43">
              <w:t xml:space="preserve"> components.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6. How can </w:t>
            </w:r>
            <w:r w:rsidRPr="00771E43">
              <w:rPr>
                <w:rStyle w:val="SpecialBold"/>
              </w:rPr>
              <w:t>problem</w:t>
            </w:r>
            <w:r w:rsidRPr="00771E43">
              <w:t>-</w:t>
            </w:r>
            <w:r w:rsidRPr="00771E43">
              <w:rPr>
                <w:rStyle w:val="SpecialBold"/>
              </w:rPr>
              <w:t>solving skills</w:t>
            </w:r>
            <w:r w:rsidRPr="00771E43">
              <w:t xml:space="preserve"> (</w:t>
            </w:r>
            <w:r w:rsidRPr="00771E43">
              <w:rPr>
                <w:rStyle w:val="SpecialBold"/>
              </w:rPr>
              <w:t>1</w:t>
            </w:r>
            <w:r w:rsidRPr="00771E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Problems may arise when interpreting site and construction plans or with the installation of footings and reinforcement.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7. How can the </w:t>
            </w:r>
            <w:r w:rsidRPr="00771E43">
              <w:rPr>
                <w:rStyle w:val="SpecialBold"/>
              </w:rPr>
              <w:t>use of technology</w:t>
            </w:r>
            <w:r w:rsidRPr="00771E43">
              <w:t xml:space="preserve"> (</w:t>
            </w:r>
            <w:r w:rsidRPr="00771E43">
              <w:rPr>
                <w:rStyle w:val="SpecialBold"/>
              </w:rPr>
              <w:t>1</w:t>
            </w:r>
            <w:r w:rsidRPr="00771E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Equipment and mac</w:t>
            </w:r>
            <w:r w:rsidRPr="00771E43">
              <w:t xml:space="preserve">hinery used for installing retaining walls may require the use of technology.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rPr>
                <w:rStyle w:val="SpecialBold"/>
              </w:rPr>
              <w:t>Are there other competency standards that could be assessed with this one</w:t>
            </w:r>
            <w:r w:rsidRPr="00771E43">
              <w:t>?</w:t>
            </w:r>
          </w:p>
          <w:p w:rsidR="00000000" w:rsidP="00771E43">
            <w:pPr>
              <w:pStyle w:val="BodyText"/>
              <w:rPr>
                <w:lang w:val="en-NZ"/>
              </w:rPr>
            </w:pPr>
            <w:r w:rsidRPr="00771E43">
              <w:t xml:space="preserve">This competency standard </w:t>
            </w:r>
            <w:r w:rsidRPr="00771E43">
              <w:rPr>
                <w:rStyle w:val="SpecialBold"/>
              </w:rPr>
              <w:t>could</w:t>
            </w:r>
            <w:r w:rsidRPr="00771E43">
              <w:t xml:space="preserve"> be </w:t>
            </w:r>
            <w:r w:rsidRPr="00771E43">
              <w:t xml:space="preserve">assessed on its own or in combination with other competencies relevant to the job function.   </w:t>
            </w: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t xml:space="preserve">There is essential information about </w:t>
            </w:r>
            <w:r w:rsidRPr="00771E43">
              <w:rPr>
                <w:rStyle w:val="SpecialBold"/>
              </w:rPr>
              <w:t>assessing this competency standard for consistent performance</w:t>
            </w:r>
            <w:r w:rsidRPr="00771E43">
              <w:t xml:space="preserve"> and </w:t>
            </w:r>
            <w:r w:rsidRPr="00771E43">
              <w:rPr>
                <w:rStyle w:val="SpecialBold"/>
              </w:rPr>
              <w:t>where and how it may be assessed</w:t>
            </w:r>
            <w:r w:rsidRPr="00771E43">
              <w:t>, in the Assessment G</w:t>
            </w:r>
            <w:r w:rsidRPr="00771E43">
              <w:t xml:space="preserve">uidelines for this Training Package.  All users of these competency standards must have </w:t>
            </w:r>
            <w:r w:rsidRPr="00771E43">
              <w:rPr>
                <w:rStyle w:val="SpecialBold"/>
              </w:rPr>
              <w:t>access</w:t>
            </w:r>
            <w:r w:rsidRPr="00771E43">
              <w:t xml:space="preserve"> to the </w:t>
            </w:r>
            <w:r w:rsidRPr="00771E43">
              <w:rPr>
                <w:rStyle w:val="SpecialBold"/>
              </w:rPr>
              <w:t>Assessment Guidelines</w:t>
            </w:r>
            <w:r w:rsidRPr="00771E43">
              <w:t xml:space="preserve">.  Further advice may also be sought from the relevant </w:t>
            </w:r>
            <w:r w:rsidRPr="00771E43">
              <w:rPr>
                <w:rStyle w:val="SpecialBold"/>
              </w:rPr>
              <w:t>sector booklet</w:t>
            </w:r>
            <w:r w:rsidRPr="00771E43">
              <w:t xml:space="preserve">. </w:t>
            </w:r>
          </w:p>
        </w:tc>
      </w:tr>
    </w:tbl>
    <w:p w:rsidR="00000000" w:rsidRPr="00771E43" w:rsidP="00771E43">
      <w:pPr>
        <w:pStyle w:val="BodyText"/>
      </w:pPr>
    </w:p>
    <w:p w:rsidR="00000000" w:rsidRPr="00771E43" w:rsidP="00771E43">
      <w:pPr>
        <w:pStyle w:val="AllowPageBreak"/>
      </w:pPr>
    </w:p>
    <w:p w:rsidR="00000000" w:rsidRPr="00771E43" w:rsidP="00771E43">
      <w:pPr>
        <w:pStyle w:val="Heading1"/>
      </w:pPr>
      <w:bookmarkStart w:id="11" w:name="O_321042"/>
      <w:bookmarkEnd w:id="11"/>
      <w:r w:rsidRPr="00771E43">
        <w:t>Range Statement</w:t>
      </w:r>
    </w:p>
    <w:tbl>
      <w:tblPr>
        <w:tblW w:w="0" w:type="auto"/>
        <w:tblLayout w:type="fixed"/>
        <w:tblCellMar>
          <w:left w:w="62" w:type="dxa"/>
          <w:right w:w="62" w:type="dxa"/>
        </w:tblCellMar>
        <w:tblLook w:val="0000"/>
      </w:tblPr>
      <w:tblGrid>
        <w:gridCol w:w="4500"/>
        <w:gridCol w:w="4500"/>
      </w:tblGrid>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1E43" w:rsidP="00771E43">
            <w:pPr>
              <w:pStyle w:val="BodyText"/>
            </w:pPr>
            <w:r w:rsidRPr="00771E43">
              <w:rPr>
                <w:rStyle w:val="SpecialBold"/>
              </w:rPr>
              <w:t>Range of Variables</w:t>
            </w:r>
          </w:p>
          <w:p w:rsidR="00000000" w:rsidP="00771E43">
            <w:pPr>
              <w:pStyle w:val="BodyText"/>
              <w:rPr>
                <w:lang w:val="en-NZ"/>
              </w:rPr>
            </w:pPr>
            <w:r w:rsidRPr="00771E43">
              <w:t>The Range of Variables explains the contexts within which the performance and knowledge requirements of this standard may be assessed.  The scope of variables chosen in particular training and assessment requirements may depend on the work situations avail</w:t>
            </w:r>
            <w:r w:rsidRPr="00771E43">
              <w:t>able</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w:t>
            </w:r>
            <w:r w:rsidRPr="00771E43">
              <w:rPr>
                <w:rStyle w:val="SpecialBold"/>
              </w:rPr>
              <w:t>work instructions</w:t>
            </w:r>
            <w:r w:rsidRPr="00771E43">
              <w:t xml:space="preserve"> might be required for this standard?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Work instructions may include standard operating procedures (SOPs), specifications, work notes, manufacturers instructions, site plans, construction plans or verbal directions from the man</w:t>
            </w:r>
            <w:r w:rsidRPr="00771E43">
              <w:t xml:space="preserve">ager, supervisor, or senior operator.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w:t>
            </w:r>
            <w:r w:rsidRPr="00771E43">
              <w:rPr>
                <w:rStyle w:val="SpecialBold"/>
              </w:rPr>
              <w:t>services</w:t>
            </w:r>
            <w:r w:rsidRPr="00771E43">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Services may include water supply, power (electricity), storm water, drainage and sewerage.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w:t>
            </w:r>
            <w:r w:rsidRPr="00771E43">
              <w:rPr>
                <w:rStyle w:val="SpecialBold"/>
              </w:rPr>
              <w:t>tools and equipment are</w:t>
            </w:r>
            <w:r w:rsidRPr="00771E43">
              <w:t xml:space="preserve"> likely to be used when building retaining walls?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Tool</w:t>
            </w:r>
            <w:r w:rsidRPr="00771E43">
              <w:t xml:space="preserve">s and equipment may include timber or concrete saws, wheelbarrows, concrete mixers, hammers, mallets, and levels.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w:t>
            </w:r>
            <w:r w:rsidRPr="00771E43">
              <w:rPr>
                <w:rStyle w:val="SpecialBold"/>
              </w:rPr>
              <w:t>materials</w:t>
            </w:r>
            <w:r w:rsidRPr="00771E43">
              <w:t xml:space="preserve"> are likely to be used when constructing a retaining wall?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Materials used may include timber and modular concrete units.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Wh</w:t>
            </w:r>
            <w:r w:rsidRPr="00771E43">
              <w:t xml:space="preserve">at </w:t>
            </w:r>
            <w:r w:rsidRPr="00771E43">
              <w:rPr>
                <w:rStyle w:val="SpecialBold"/>
              </w:rPr>
              <w:t>OHS hazards</w:t>
            </w:r>
            <w:r w:rsidRPr="00771E43">
              <w:t xml:space="preserve"> may be associated with building retaining walls?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Hazards may include solar radiation, noise, heavy materials, sharp tools, uneven surfaces, holes and steep gradients.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w:t>
            </w:r>
            <w:r w:rsidRPr="00771E43">
              <w:rPr>
                <w:rStyle w:val="SpecialBold"/>
              </w:rPr>
              <w:t>personal protective clothing and equipment</w:t>
            </w:r>
            <w:r w:rsidRPr="00771E43">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Personal protective clothing and equipment may include boots, gloves, overalls, sun hat, sunscreen lotion, goggles and earmuffs, knee guards/pads.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may be used as </w:t>
            </w:r>
            <w:r w:rsidRPr="00771E43">
              <w:rPr>
                <w:rStyle w:val="SpecialBold"/>
              </w:rPr>
              <w:t>survey benchmarks</w:t>
            </w:r>
            <w:r w:rsidRPr="00771E43">
              <w:t xml:space="preserve">?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Survey benchmarks may include a boundary line, a building or struct</w:t>
            </w:r>
            <w:r w:rsidRPr="00771E43">
              <w:t xml:space="preserve">ure, a temporary benchmark or a datum point.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type of </w:t>
            </w:r>
            <w:r w:rsidRPr="00771E43">
              <w:rPr>
                <w:rStyle w:val="SpecialBold"/>
              </w:rPr>
              <w:t>footings</w:t>
            </w:r>
            <w:r w:rsidRPr="00771E43">
              <w:t xml:space="preserve"> may be required when constructing retaining walls?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Footings may include concrete, road rubble and quartz sand. </w:t>
            </w:r>
          </w:p>
        </w:tc>
      </w:tr>
      <w:tr w:rsidTr="00A354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 xml:space="preserve">What </w:t>
            </w:r>
            <w:r w:rsidRPr="00771E43">
              <w:rPr>
                <w:rStyle w:val="SpecialBold"/>
              </w:rPr>
              <w:t>industry standards</w:t>
            </w:r>
            <w:r w:rsidRPr="00771E43">
              <w:t xml:space="preserve"> may apply when constructing a retaining wall? </w:t>
            </w:r>
          </w:p>
        </w:tc>
        <w:tc>
          <w:tcPr>
            <w:tcW w:w="4500" w:type="dxa"/>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I</w:t>
            </w:r>
            <w:r w:rsidRPr="00771E43">
              <w:t xml:space="preserve">ndustry standards may include the type, size and height of the retaining wall.  Compliance with the Building Code of Australia requirements may be necessary when constructing retaining walls. </w:t>
            </w: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1E43">
            <w:pPr>
              <w:pStyle w:val="BodyText"/>
              <w:rPr>
                <w:lang w:val="en-NZ"/>
              </w:rPr>
            </w:pPr>
            <w:r w:rsidRPr="00771E43">
              <w:t>For more information on contexts, environment and variables fo</w:t>
            </w:r>
            <w:r w:rsidRPr="00771E43">
              <w:t xml:space="preserve">r training and assessment, refer to the Sector Booklet. </w:t>
            </w:r>
          </w:p>
        </w:tc>
      </w:tr>
      <w:tr w:rsidTr="00A354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1E43">
            <w:pPr>
              <w:pStyle w:val="BodyText"/>
              <w:keepNext w:val="0"/>
              <w:keepLines w:val="0"/>
              <w:contextualSpacing w:val="0"/>
            </w:pPr>
          </w:p>
        </w:tc>
      </w:tr>
    </w:tbl>
    <w:p w:rsidR="00000000" w:rsidRPr="00771E43" w:rsidP="00771E43">
      <w:pPr>
        <w:pStyle w:val="BodyText"/>
      </w:pPr>
    </w:p>
    <w:p w:rsidR="00000000" w:rsidRPr="00771E43" w:rsidP="00771E43">
      <w:pPr>
        <w:pStyle w:val="AllowPageBreak"/>
      </w:pPr>
    </w:p>
    <w:p w:rsidR="00000000" w:rsidRPr="00771E43" w:rsidP="00771E43">
      <w:pPr>
        <w:pStyle w:val="Heading1"/>
      </w:pPr>
      <w:bookmarkStart w:id="12" w:name="O_321041"/>
      <w:bookmarkEnd w:id="12"/>
      <w:r w:rsidRPr="00771E43">
        <w:t>Unit Sector(s)</w:t>
      </w:r>
    </w:p>
    <w:p w:rsidR="00000000" w:rsidRPr="00771E43" w:rsidP="00771E43">
      <w:pPr>
        <w:pStyle w:val="BodyText"/>
      </w:pPr>
      <w:r w:rsidRPr="00771E43">
        <w:t>Not applicable.</w:t>
      </w:r>
    </w:p>
    <w:p w:rsidR="00000000" w:rsidRPr="00771E43" w:rsidP="00771E43"/>
    <w:sectPr w:rsidSect="00771E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4F6" w:rsidP="00A354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4F6" w:rsidP="00771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54F6" w:rsidP="00771E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354F6" w:rsidP="00771E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4F6" w:rsidP="00A354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4F6" w:rsidP="00771E43">
    <w:pPr>
      <w:pStyle w:val="Header"/>
      <w:framePr w:wrap="around"/>
    </w:pPr>
    <w:r>
      <w:fldChar w:fldCharType="begin"/>
    </w:r>
    <w:r>
      <w:instrText xml:space="preserve"> TITLE   \* MERGEFORMAT </w:instrText>
    </w:r>
    <w:r>
      <w:fldChar w:fldCharType="separate"/>
    </w:r>
    <w:r>
      <w:t>RTF2204A Construct low-profile timber or modular retaining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54F6" w:rsidP="00771E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E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E43"/>
    <w:pPr>
      <w:spacing w:before="360" w:after="60"/>
      <w:outlineLvl w:val="0"/>
    </w:pPr>
    <w:rPr>
      <w:sz w:val="32"/>
    </w:rPr>
  </w:style>
  <w:style w:type="paragraph" w:styleId="Heading2">
    <w:name w:val="heading 2"/>
    <w:basedOn w:val="HeadingBase"/>
    <w:next w:val="BodyText"/>
    <w:link w:val="Heading2Char"/>
    <w:qFormat/>
    <w:rsid w:val="00771E43"/>
    <w:pPr>
      <w:keepLines/>
      <w:spacing w:before="240" w:after="120"/>
      <w:outlineLvl w:val="1"/>
    </w:pPr>
    <w:rPr>
      <w:sz w:val="28"/>
      <w:szCs w:val="40"/>
    </w:rPr>
  </w:style>
  <w:style w:type="paragraph" w:styleId="Heading3">
    <w:name w:val="heading 3"/>
    <w:basedOn w:val="HeadingBase"/>
    <w:next w:val="BodyText"/>
    <w:link w:val="Heading3Char"/>
    <w:qFormat/>
    <w:rsid w:val="00771E43"/>
    <w:pPr>
      <w:spacing w:before="180" w:after="120"/>
      <w:outlineLvl w:val="2"/>
    </w:pPr>
    <w:rPr>
      <w:spacing w:val="-10"/>
      <w:kern w:val="32"/>
    </w:rPr>
  </w:style>
  <w:style w:type="paragraph" w:styleId="Heading4">
    <w:name w:val="heading 4"/>
    <w:basedOn w:val="HeadingBase"/>
    <w:next w:val="BodyText"/>
    <w:link w:val="Heading4Char"/>
    <w:qFormat/>
    <w:rsid w:val="00771E43"/>
    <w:pPr>
      <w:spacing w:before="160" w:after="120"/>
      <w:outlineLvl w:val="3"/>
    </w:pPr>
    <w:rPr>
      <w:sz w:val="22"/>
    </w:rPr>
  </w:style>
  <w:style w:type="paragraph" w:styleId="Heading5">
    <w:name w:val="heading 5"/>
    <w:basedOn w:val="HeadingBase"/>
    <w:next w:val="Normal"/>
    <w:link w:val="Heading5Char"/>
    <w:qFormat/>
    <w:rsid w:val="00771E43"/>
    <w:pPr>
      <w:spacing w:before="80"/>
      <w:outlineLvl w:val="4"/>
    </w:pPr>
    <w:rPr>
      <w:color w:val="918585"/>
      <w:sz w:val="20"/>
    </w:rPr>
  </w:style>
  <w:style w:type="paragraph" w:styleId="Heading6">
    <w:name w:val="heading 6"/>
    <w:basedOn w:val="HeadingBase"/>
    <w:next w:val="Normal"/>
    <w:link w:val="Heading6Char"/>
    <w:qFormat/>
    <w:rsid w:val="00771E43"/>
    <w:pPr>
      <w:spacing w:before="60"/>
      <w:outlineLvl w:val="5"/>
    </w:pPr>
    <w:rPr>
      <w:color w:val="918585"/>
      <w:sz w:val="20"/>
    </w:rPr>
  </w:style>
  <w:style w:type="paragraph" w:styleId="Heading7">
    <w:name w:val="heading 7"/>
    <w:basedOn w:val="Normal"/>
    <w:next w:val="Normal"/>
    <w:link w:val="Heading7Char"/>
    <w:qFormat/>
    <w:rsid w:val="00771E43"/>
    <w:pPr>
      <w:ind w:left="720"/>
      <w:outlineLvl w:val="6"/>
    </w:pPr>
    <w:rPr>
      <w:i/>
    </w:rPr>
  </w:style>
  <w:style w:type="paragraph" w:styleId="Heading8">
    <w:name w:val="heading 8"/>
    <w:basedOn w:val="Normal"/>
    <w:next w:val="Normal"/>
    <w:link w:val="Heading8Char"/>
    <w:qFormat/>
    <w:rsid w:val="00771E43"/>
    <w:pPr>
      <w:ind w:left="720"/>
      <w:outlineLvl w:val="7"/>
    </w:pPr>
    <w:rPr>
      <w:i/>
    </w:rPr>
  </w:style>
  <w:style w:type="paragraph" w:styleId="Heading9">
    <w:name w:val="heading 9"/>
    <w:basedOn w:val="Normal"/>
    <w:next w:val="Normal"/>
    <w:link w:val="Heading9Char"/>
    <w:qFormat/>
    <w:rsid w:val="00771E43"/>
    <w:pPr>
      <w:ind w:left="720"/>
      <w:outlineLvl w:val="8"/>
    </w:pPr>
    <w:rPr>
      <w:i/>
    </w:rPr>
  </w:style>
  <w:style w:type="character" w:default="1" w:styleId="DefaultParagraphFont">
    <w:name w:val="Default Paragraph Font"/>
    <w:uiPriority w:val="1"/>
    <w:unhideWhenUsed/>
    <w:rsid w:val="00771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E43"/>
  </w:style>
  <w:style w:type="character" w:customStyle="1" w:styleId="Heading1Char">
    <w:name w:val="Heading 1 Char"/>
    <w:basedOn w:val="DefaultParagraphFont"/>
    <w:link w:val="Heading1"/>
    <w:rsid w:val="00771E43"/>
    <w:rPr>
      <w:rFonts w:ascii="Times New Roman" w:eastAsia="Times New Roman" w:hAnsi="Times New Roman" w:cs="Times New Roman"/>
      <w:b/>
      <w:sz w:val="32"/>
      <w:szCs w:val="20"/>
      <w:lang w:eastAsia="en-US"/>
    </w:rPr>
  </w:style>
  <w:style w:type="paragraph" w:styleId="BodyText">
    <w:name w:val="Body Text"/>
    <w:basedOn w:val="Normal"/>
    <w:link w:val="BodyTextChar"/>
    <w:rsid w:val="00771E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E43"/>
    <w:rPr>
      <w:rFonts w:ascii="Times New Roman" w:eastAsia="Times New Roman" w:hAnsi="Times New Roman" w:cs="Times New Roman"/>
      <w:sz w:val="24"/>
      <w:lang w:val="en-US" w:eastAsia="en-US"/>
    </w:rPr>
  </w:style>
  <w:style w:type="paragraph" w:styleId="Footer">
    <w:name w:val="footer"/>
    <w:basedOn w:val="Normal"/>
    <w:link w:val="FooterChar"/>
    <w:rsid w:val="00771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E4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71E43"/>
    <w:rPr>
      <w:b/>
      <w:spacing w:val="0"/>
    </w:rPr>
  </w:style>
  <w:style w:type="paragraph" w:styleId="Header">
    <w:name w:val="header"/>
    <w:basedOn w:val="Normal"/>
    <w:link w:val="HeaderChar"/>
    <w:rsid w:val="00771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E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E43"/>
    <w:pPr>
      <w:spacing w:before="240" w:after="120"/>
      <w:outlineLvl w:val="0"/>
    </w:pPr>
    <w:rPr>
      <w:rFonts w:ascii="Times New Roman" w:hAnsi="Times New Roman"/>
      <w:b/>
      <w:sz w:val="28"/>
    </w:rPr>
  </w:style>
  <w:style w:type="paragraph" w:customStyle="1" w:styleId="AllowPageBreak">
    <w:name w:val="AllowPageBreak"/>
    <w:rsid w:val="00771E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E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E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E43"/>
    <w:rPr>
      <w:rFonts w:ascii="Courier New" w:eastAsia="Times New Roman" w:hAnsi="Courier New" w:cs="Times New Roman"/>
      <w:i/>
      <w:szCs w:val="20"/>
      <w:lang w:val="en-US" w:eastAsia="en-US"/>
    </w:rPr>
  </w:style>
  <w:style w:type="paragraph" w:customStyle="1" w:styleId="HeadingBase">
    <w:name w:val="Heading Base"/>
    <w:rsid w:val="00771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E43"/>
    <w:pPr>
      <w:tabs>
        <w:tab w:val="right" w:leader="dot" w:pos="9072"/>
      </w:tabs>
      <w:ind w:left="567"/>
    </w:pPr>
    <w:rPr>
      <w:szCs w:val="22"/>
    </w:rPr>
  </w:style>
  <w:style w:type="paragraph" w:customStyle="1" w:styleId="TOCBase">
    <w:name w:val="TOC Base"/>
    <w:rsid w:val="00771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E43"/>
    <w:pPr>
      <w:tabs>
        <w:tab w:val="right" w:leader="dot" w:pos="9072"/>
      </w:tabs>
      <w:spacing w:before="40" w:after="40"/>
      <w:ind w:left="284"/>
    </w:pPr>
    <w:rPr>
      <w:rFonts w:ascii="Times New Roman" w:hAnsi="Times New Roman"/>
    </w:rPr>
  </w:style>
  <w:style w:type="paragraph" w:styleId="TOC1">
    <w:name w:val="toc 1"/>
    <w:basedOn w:val="TOCBase"/>
    <w:next w:val="Normal"/>
    <w:rsid w:val="00771E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E43"/>
    <w:pPr>
      <w:spacing w:before="5040"/>
      <w:jc w:val="center"/>
    </w:pPr>
    <w:rPr>
      <w:sz w:val="48"/>
      <w:szCs w:val="72"/>
      <w:lang w:val="en-US"/>
    </w:rPr>
  </w:style>
  <w:style w:type="character" w:customStyle="1" w:styleId="TitleChar">
    <w:name w:val="Title Char"/>
    <w:basedOn w:val="DefaultParagraphFont"/>
    <w:link w:val="Title"/>
    <w:rsid w:val="00771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E43"/>
    <w:pPr>
      <w:tabs>
        <w:tab w:val="left" w:pos="3600"/>
        <w:tab w:val="left" w:pos="3958"/>
      </w:tabs>
    </w:pPr>
  </w:style>
  <w:style w:type="paragraph" w:styleId="List">
    <w:name w:val="List"/>
    <w:basedOn w:val="BodyText"/>
    <w:next w:val="BodyText"/>
    <w:rsid w:val="00771E43"/>
    <w:pPr>
      <w:tabs>
        <w:tab w:val="left" w:pos="340"/>
      </w:tabs>
      <w:spacing w:before="60" w:after="60"/>
      <w:ind w:left="340" w:hanging="340"/>
    </w:pPr>
  </w:style>
  <w:style w:type="paragraph" w:styleId="ListBullet">
    <w:name w:val="List Bullet"/>
    <w:basedOn w:val="List"/>
    <w:rsid w:val="00771E43"/>
    <w:pPr>
      <w:numPr>
        <w:numId w:val="11"/>
      </w:numPr>
      <w:tabs>
        <w:tab w:val="clear" w:pos="340"/>
      </w:tabs>
      <w:spacing w:before="40" w:after="40"/>
    </w:pPr>
  </w:style>
  <w:style w:type="paragraph" w:customStyle="1" w:styleId="Note">
    <w:name w:val="Note"/>
    <w:basedOn w:val="BodyText"/>
    <w:rsid w:val="00771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E43"/>
    <w:pPr>
      <w:framePr w:wrap="auto" w:hAnchor="text" w:y="6049"/>
    </w:pPr>
    <w:rPr>
      <w:color w:val="000000"/>
      <w:sz w:val="40"/>
    </w:rPr>
  </w:style>
  <w:style w:type="paragraph" w:customStyle="1" w:styleId="TOCTitle">
    <w:name w:val="TOCTitle"/>
    <w:basedOn w:val="Heading1"/>
    <w:rsid w:val="00771E43"/>
    <w:pPr>
      <w:spacing w:after="240"/>
      <w:jc w:val="center"/>
      <w:outlineLvl w:val="9"/>
    </w:pPr>
    <w:rPr>
      <w:caps/>
    </w:rPr>
  </w:style>
  <w:style w:type="paragraph" w:customStyle="1" w:styleId="Version">
    <w:name w:val="Version"/>
    <w:rsid w:val="00771E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E43"/>
    <w:pPr>
      <w:numPr>
        <w:numId w:val="12"/>
      </w:numPr>
      <w:tabs>
        <w:tab w:val="clear" w:pos="680"/>
      </w:tabs>
    </w:pPr>
  </w:style>
  <w:style w:type="paragraph" w:styleId="Index1">
    <w:name w:val="index 1"/>
    <w:basedOn w:val="Normal"/>
    <w:next w:val="Normal"/>
    <w:semiHidden/>
    <w:rsid w:val="00771E43"/>
    <w:pPr>
      <w:keepNext w:val="0"/>
      <w:tabs>
        <w:tab w:val="right" w:pos="4176"/>
      </w:tabs>
      <w:ind w:left="198" w:hanging="198"/>
    </w:pPr>
    <w:rPr>
      <w:rFonts w:ascii="Garamond" w:hAnsi="Garamond"/>
    </w:rPr>
  </w:style>
  <w:style w:type="paragraph" w:styleId="IndexHeading">
    <w:name w:val="index heading"/>
    <w:basedOn w:val="Normal"/>
    <w:next w:val="Index1"/>
    <w:semiHidden/>
    <w:rsid w:val="00771E43"/>
    <w:pPr>
      <w:spacing w:before="120" w:after="120"/>
    </w:pPr>
    <w:rPr>
      <w:rFonts w:ascii="Arial" w:hAnsi="Arial"/>
      <w:b/>
      <w:color w:val="918585"/>
      <w:sz w:val="24"/>
    </w:rPr>
  </w:style>
  <w:style w:type="paragraph" w:customStyle="1" w:styleId="Chapter">
    <w:name w:val="Chapter"/>
    <w:basedOn w:val="Normal"/>
    <w:rsid w:val="00771E43"/>
    <w:pPr>
      <w:spacing w:before="240"/>
    </w:pPr>
    <w:rPr>
      <w:rFonts w:ascii="Times New Roman" w:hAnsi="Times New Roman"/>
      <w:smallCaps/>
      <w:spacing w:val="80"/>
      <w:sz w:val="28"/>
    </w:rPr>
  </w:style>
  <w:style w:type="paragraph" w:customStyle="1" w:styleId="InChapter">
    <w:name w:val="InChapter"/>
    <w:basedOn w:val="Heading3"/>
    <w:rsid w:val="00771E43"/>
    <w:pPr>
      <w:spacing w:after="240"/>
      <w:outlineLvl w:val="9"/>
    </w:pPr>
    <w:rPr>
      <w:noProof/>
    </w:rPr>
  </w:style>
  <w:style w:type="paragraph" w:styleId="Index2">
    <w:name w:val="index 2"/>
    <w:basedOn w:val="Normal"/>
    <w:next w:val="Normal"/>
    <w:semiHidden/>
    <w:rsid w:val="00771E43"/>
    <w:pPr>
      <w:tabs>
        <w:tab w:val="right" w:pos="4176"/>
      </w:tabs>
      <w:ind w:left="568" w:hanging="284"/>
    </w:pPr>
    <w:rPr>
      <w:rFonts w:ascii="Garamond" w:hAnsi="Garamond"/>
    </w:rPr>
  </w:style>
  <w:style w:type="paragraph" w:customStyle="1" w:styleId="Byline">
    <w:name w:val="Byline"/>
    <w:rsid w:val="00771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E43"/>
    <w:pPr>
      <w:tabs>
        <w:tab w:val="clear" w:pos="3600"/>
        <w:tab w:val="clear" w:pos="3958"/>
      </w:tabs>
      <w:jc w:val="right"/>
    </w:pPr>
  </w:style>
  <w:style w:type="character" w:styleId="Emphasis">
    <w:name w:val="Emphasis"/>
    <w:basedOn w:val="DefaultParagraphFont"/>
    <w:qFormat/>
    <w:rsid w:val="00771E43"/>
    <w:rPr>
      <w:i/>
    </w:rPr>
  </w:style>
  <w:style w:type="paragraph" w:styleId="Caption">
    <w:name w:val="caption"/>
    <w:basedOn w:val="BodyText"/>
    <w:next w:val="Normal"/>
    <w:qFormat/>
    <w:rsid w:val="00771E43"/>
    <w:pPr>
      <w:framePr w:w="2268" w:hSpace="181" w:vSpace="181" w:wrap="around" w:vAnchor="text" w:hAnchor="page" w:x="1135" w:y="285" w:anchorLock="1"/>
    </w:pPr>
    <w:rPr>
      <w:i/>
    </w:rPr>
  </w:style>
  <w:style w:type="paragraph" w:customStyle="1" w:styleId="MiniTOCTitle">
    <w:name w:val="MiniTOCTitle"/>
    <w:basedOn w:val="Heading4"/>
    <w:rsid w:val="00771E43"/>
    <w:pPr>
      <w:spacing w:before="240"/>
      <w:outlineLvl w:val="9"/>
    </w:pPr>
    <w:rPr>
      <w:noProof/>
      <w:sz w:val="24"/>
    </w:rPr>
  </w:style>
  <w:style w:type="paragraph" w:customStyle="1" w:styleId="MiniTOCItem">
    <w:name w:val="MiniTOCItem"/>
    <w:basedOn w:val="ListBullet"/>
    <w:rsid w:val="00771E43"/>
    <w:pPr>
      <w:numPr>
        <w:numId w:val="0"/>
      </w:numPr>
      <w:tabs>
        <w:tab w:val="right" w:leader="dot" w:pos="6521"/>
      </w:tabs>
      <w:spacing w:before="0" w:after="0"/>
    </w:pPr>
  </w:style>
  <w:style w:type="paragraph" w:customStyle="1" w:styleId="TOFTitle">
    <w:name w:val="TOFTitle"/>
    <w:basedOn w:val="TOCTitle"/>
    <w:rsid w:val="00771E43"/>
  </w:style>
  <w:style w:type="paragraph" w:styleId="TableofFigures">
    <w:name w:val="table of figures"/>
    <w:basedOn w:val="Normal"/>
    <w:next w:val="Normal"/>
    <w:semiHidden/>
    <w:rsid w:val="00771E43"/>
    <w:pPr>
      <w:tabs>
        <w:tab w:val="right" w:leader="dot" w:pos="9072"/>
      </w:tabs>
      <w:ind w:left="970" w:hanging="403"/>
    </w:pPr>
    <w:rPr>
      <w:rFonts w:ascii="Times New Roman" w:hAnsi="Times New Roman"/>
      <w:b/>
    </w:rPr>
  </w:style>
  <w:style w:type="paragraph" w:styleId="ListNumber">
    <w:name w:val="List Number"/>
    <w:basedOn w:val="List"/>
    <w:rsid w:val="00771E43"/>
    <w:pPr>
      <w:numPr>
        <w:numId w:val="9"/>
      </w:numPr>
    </w:pPr>
  </w:style>
  <w:style w:type="character" w:customStyle="1" w:styleId="WingdingSymbols">
    <w:name w:val="Wingding Symbols"/>
    <w:rsid w:val="00771E43"/>
    <w:rPr>
      <w:rFonts w:ascii="Wingdings" w:hAnsi="Wingdings"/>
    </w:rPr>
  </w:style>
  <w:style w:type="paragraph" w:customStyle="1" w:styleId="TableHeading">
    <w:name w:val="Table Heading"/>
    <w:basedOn w:val="HeadingBase"/>
    <w:rsid w:val="00771E43"/>
    <w:pPr>
      <w:keepLines/>
      <w:pBdr>
        <w:bottom w:val="single" w:sz="6" w:space="1" w:color="918585"/>
      </w:pBdr>
      <w:spacing w:before="240"/>
    </w:pPr>
  </w:style>
  <w:style w:type="character" w:customStyle="1" w:styleId="HotSpot">
    <w:name w:val="HotSpot"/>
    <w:rsid w:val="00771E43"/>
    <w:rPr>
      <w:color w:val="0033CC"/>
      <w:u w:val="none"/>
    </w:rPr>
  </w:style>
  <w:style w:type="paragraph" w:customStyle="1" w:styleId="BodyTextRight">
    <w:name w:val="Body Text Right"/>
    <w:basedOn w:val="BodyText"/>
    <w:rsid w:val="00771E43"/>
    <w:pPr>
      <w:spacing w:before="0" w:after="0"/>
      <w:jc w:val="right"/>
    </w:pPr>
  </w:style>
  <w:style w:type="paragraph" w:styleId="Index3">
    <w:name w:val="index 3"/>
    <w:basedOn w:val="ListNumber2"/>
    <w:next w:val="Normal"/>
    <w:semiHidden/>
    <w:rsid w:val="00771E43"/>
    <w:pPr>
      <w:numPr>
        <w:numId w:val="0"/>
      </w:numPr>
      <w:tabs>
        <w:tab w:val="right" w:leader="dot" w:pos="4176"/>
      </w:tabs>
    </w:pPr>
  </w:style>
  <w:style w:type="paragraph" w:styleId="ListNumber2">
    <w:name w:val="List Number 2"/>
    <w:basedOn w:val="List2"/>
    <w:rsid w:val="00771E43"/>
    <w:pPr>
      <w:numPr>
        <w:numId w:val="8"/>
      </w:numPr>
      <w:tabs>
        <w:tab w:val="clear" w:pos="1060"/>
      </w:tabs>
    </w:pPr>
  </w:style>
  <w:style w:type="paragraph" w:customStyle="1" w:styleId="MarginNote">
    <w:name w:val="Margin Note"/>
    <w:basedOn w:val="BodyText"/>
    <w:rsid w:val="00771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E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E43"/>
    <w:rPr>
      <w:sz w:val="32"/>
    </w:rPr>
  </w:style>
  <w:style w:type="paragraph" w:customStyle="1" w:styleId="HeadingProcedure">
    <w:name w:val="Heading Procedure"/>
    <w:basedOn w:val="HeadingBase"/>
    <w:next w:val="Normal"/>
    <w:rsid w:val="00771E43"/>
    <w:pPr>
      <w:tabs>
        <w:tab w:val="left" w:pos="0"/>
      </w:tabs>
      <w:spacing w:before="120" w:after="60"/>
    </w:pPr>
    <w:rPr>
      <w:i/>
      <w:color w:val="918585"/>
      <w:sz w:val="22"/>
    </w:rPr>
  </w:style>
  <w:style w:type="paragraph" w:customStyle="1" w:styleId="TableBodyText">
    <w:name w:val="Table Body Text"/>
    <w:basedOn w:val="BodyText"/>
    <w:rsid w:val="00771E43"/>
    <w:pPr>
      <w:spacing w:before="60" w:after="60"/>
    </w:pPr>
  </w:style>
  <w:style w:type="paragraph" w:styleId="ListContinue">
    <w:name w:val="List Continue"/>
    <w:basedOn w:val="List"/>
    <w:rsid w:val="00771E43"/>
    <w:pPr>
      <w:ind w:firstLine="0"/>
    </w:pPr>
  </w:style>
  <w:style w:type="paragraph" w:customStyle="1" w:styleId="ListNote">
    <w:name w:val="List Note"/>
    <w:basedOn w:val="List"/>
    <w:rsid w:val="00771E43"/>
    <w:pPr>
      <w:pBdr>
        <w:top w:val="single" w:sz="6" w:space="2" w:color="918585"/>
        <w:bottom w:val="single" w:sz="6" w:space="2" w:color="918585"/>
      </w:pBdr>
      <w:tabs>
        <w:tab w:val="left" w:pos="1021"/>
      </w:tabs>
      <w:ind w:firstLine="0"/>
    </w:pPr>
  </w:style>
  <w:style w:type="paragraph" w:customStyle="1" w:styleId="Warning">
    <w:name w:val="Warning"/>
    <w:basedOn w:val="BodyText"/>
    <w:rsid w:val="00771E43"/>
    <w:pPr>
      <w:shd w:val="clear" w:color="auto" w:fill="D9D9D9"/>
      <w:tabs>
        <w:tab w:val="left" w:pos="992"/>
      </w:tabs>
      <w:ind w:left="119" w:right="119"/>
    </w:pPr>
    <w:rPr>
      <w:sz w:val="20"/>
    </w:rPr>
  </w:style>
  <w:style w:type="paragraph" w:customStyle="1" w:styleId="MarginIcons">
    <w:name w:val="Margin Icons"/>
    <w:basedOn w:val="BodyText"/>
    <w:rsid w:val="00771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E43"/>
    <w:rPr>
      <w:rFonts w:ascii="Courier New" w:hAnsi="Courier New"/>
    </w:rPr>
  </w:style>
  <w:style w:type="paragraph" w:customStyle="1" w:styleId="NoteBullet">
    <w:name w:val="Note Bullet"/>
    <w:basedOn w:val="Note"/>
    <w:rsid w:val="00771E43"/>
    <w:pPr>
      <w:tabs>
        <w:tab w:val="clear" w:pos="680"/>
      </w:tabs>
      <w:spacing w:before="60" w:after="60"/>
    </w:pPr>
  </w:style>
  <w:style w:type="paragraph" w:customStyle="1" w:styleId="SubHeading2">
    <w:name w:val="SubHeading2"/>
    <w:basedOn w:val="HeadingBase"/>
    <w:rsid w:val="00771E43"/>
    <w:pPr>
      <w:spacing w:before="240" w:after="60"/>
    </w:pPr>
    <w:rPr>
      <w:sz w:val="20"/>
    </w:rPr>
  </w:style>
  <w:style w:type="paragraph" w:customStyle="1" w:styleId="SubHeading1">
    <w:name w:val="SubHeading1"/>
    <w:basedOn w:val="HeadingBase"/>
    <w:rsid w:val="00771E43"/>
    <w:pPr>
      <w:spacing w:before="240" w:after="60"/>
    </w:pPr>
    <w:rPr>
      <w:color w:val="918585"/>
      <w:sz w:val="22"/>
    </w:rPr>
  </w:style>
  <w:style w:type="paragraph" w:customStyle="1" w:styleId="SideHeading">
    <w:name w:val="Side Heading"/>
    <w:basedOn w:val="HeadingBase"/>
    <w:rsid w:val="00771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E43"/>
    <w:pPr>
      <w:numPr>
        <w:numId w:val="10"/>
      </w:numPr>
    </w:pPr>
  </w:style>
  <w:style w:type="paragraph" w:styleId="PlainText">
    <w:name w:val="Plain Text"/>
    <w:basedOn w:val="Normal"/>
    <w:link w:val="PlainTextChar"/>
    <w:rsid w:val="00771E43"/>
    <w:rPr>
      <w:sz w:val="20"/>
    </w:rPr>
  </w:style>
  <w:style w:type="character" w:customStyle="1" w:styleId="PlainTextChar">
    <w:name w:val="Plain Text Char"/>
    <w:basedOn w:val="DefaultParagraphFont"/>
    <w:link w:val="PlainText"/>
    <w:rsid w:val="00771E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1E43"/>
    <w:rPr>
      <w:b/>
      <w:smallCaps/>
    </w:rPr>
  </w:style>
  <w:style w:type="paragraph" w:customStyle="1" w:styleId="TableListNumber">
    <w:name w:val="Table List Number"/>
    <w:basedOn w:val="ListNumber"/>
    <w:rsid w:val="00771E43"/>
    <w:pPr>
      <w:numPr>
        <w:numId w:val="0"/>
      </w:numPr>
    </w:pPr>
  </w:style>
  <w:style w:type="paragraph" w:styleId="TOC4">
    <w:name w:val="toc 4"/>
    <w:basedOn w:val="TOCBase"/>
    <w:next w:val="Normal"/>
    <w:semiHidden/>
    <w:rsid w:val="00771E43"/>
    <w:pPr>
      <w:tabs>
        <w:tab w:val="right" w:leader="dot" w:pos="9071"/>
      </w:tabs>
      <w:ind w:left="1701"/>
    </w:pPr>
  </w:style>
  <w:style w:type="paragraph" w:customStyle="1" w:styleId="ListAlpha">
    <w:name w:val="List Alpha"/>
    <w:basedOn w:val="List"/>
    <w:rsid w:val="00771E43"/>
    <w:pPr>
      <w:numPr>
        <w:numId w:val="7"/>
      </w:numPr>
    </w:pPr>
  </w:style>
  <w:style w:type="paragraph" w:customStyle="1" w:styleId="ListAlpha2">
    <w:name w:val="List Alpha 2"/>
    <w:basedOn w:val="List2"/>
    <w:rsid w:val="00771E43"/>
    <w:pPr>
      <w:numPr>
        <w:numId w:val="6"/>
      </w:numPr>
    </w:pPr>
  </w:style>
  <w:style w:type="paragraph" w:styleId="List2">
    <w:name w:val="List 2"/>
    <w:basedOn w:val="BodyText"/>
    <w:rsid w:val="00771E43"/>
    <w:pPr>
      <w:tabs>
        <w:tab w:val="left" w:pos="680"/>
      </w:tabs>
      <w:spacing w:before="60" w:after="60"/>
      <w:ind w:left="680" w:hanging="340"/>
    </w:pPr>
  </w:style>
  <w:style w:type="paragraph" w:styleId="List3">
    <w:name w:val="List 3"/>
    <w:basedOn w:val="BodyText"/>
    <w:rsid w:val="00771E43"/>
    <w:pPr>
      <w:tabs>
        <w:tab w:val="left" w:pos="1021"/>
      </w:tabs>
      <w:spacing w:before="60" w:after="60"/>
      <w:ind w:left="1020" w:hanging="340"/>
    </w:pPr>
  </w:style>
  <w:style w:type="paragraph" w:styleId="List4">
    <w:name w:val="List 4"/>
    <w:basedOn w:val="BodyText"/>
    <w:rsid w:val="00771E43"/>
    <w:pPr>
      <w:tabs>
        <w:tab w:val="left" w:pos="1361"/>
      </w:tabs>
      <w:spacing w:before="60" w:after="60"/>
      <w:ind w:left="1361" w:hanging="340"/>
    </w:pPr>
  </w:style>
  <w:style w:type="paragraph" w:styleId="List5">
    <w:name w:val="List 5"/>
    <w:basedOn w:val="BodyText"/>
    <w:rsid w:val="00771E43"/>
    <w:pPr>
      <w:tabs>
        <w:tab w:val="left" w:pos="1701"/>
      </w:tabs>
      <w:spacing w:before="60" w:after="60"/>
      <w:ind w:left="1701" w:hanging="340"/>
    </w:pPr>
  </w:style>
  <w:style w:type="paragraph" w:styleId="ListBullet3">
    <w:name w:val="List Bullet 3"/>
    <w:basedOn w:val="List3"/>
    <w:rsid w:val="00771E43"/>
    <w:pPr>
      <w:numPr>
        <w:numId w:val="13"/>
      </w:numPr>
      <w:tabs>
        <w:tab w:val="clear" w:pos="1021"/>
      </w:tabs>
      <w:ind w:left="1037" w:hanging="357"/>
    </w:pPr>
  </w:style>
  <w:style w:type="paragraph" w:styleId="ListBullet4">
    <w:name w:val="List Bullet 4"/>
    <w:basedOn w:val="List4"/>
    <w:rsid w:val="00771E43"/>
    <w:pPr>
      <w:numPr>
        <w:numId w:val="1"/>
      </w:numPr>
    </w:pPr>
  </w:style>
  <w:style w:type="paragraph" w:styleId="ListBullet5">
    <w:name w:val="List Bullet 5"/>
    <w:basedOn w:val="List5"/>
    <w:rsid w:val="00771E43"/>
    <w:pPr>
      <w:numPr>
        <w:numId w:val="2"/>
      </w:numPr>
    </w:pPr>
  </w:style>
  <w:style w:type="paragraph" w:styleId="ListContinue2">
    <w:name w:val="List Continue 2"/>
    <w:basedOn w:val="List2"/>
    <w:rsid w:val="00771E43"/>
    <w:pPr>
      <w:ind w:firstLine="0"/>
    </w:pPr>
  </w:style>
  <w:style w:type="paragraph" w:styleId="ListContinue3">
    <w:name w:val="List Continue 3"/>
    <w:basedOn w:val="List3"/>
    <w:rsid w:val="00771E43"/>
    <w:pPr>
      <w:ind w:left="1021" w:firstLine="0"/>
    </w:pPr>
  </w:style>
  <w:style w:type="paragraph" w:styleId="ListContinue4">
    <w:name w:val="List Continue 4"/>
    <w:basedOn w:val="List4"/>
    <w:rsid w:val="00771E43"/>
    <w:pPr>
      <w:ind w:firstLine="0"/>
    </w:pPr>
  </w:style>
  <w:style w:type="paragraph" w:styleId="ListContinue5">
    <w:name w:val="List Continue 5"/>
    <w:basedOn w:val="List5"/>
    <w:rsid w:val="00771E43"/>
    <w:pPr>
      <w:ind w:firstLine="0"/>
    </w:pPr>
  </w:style>
  <w:style w:type="paragraph" w:styleId="ListNumber3">
    <w:name w:val="List Number 3"/>
    <w:basedOn w:val="List3"/>
    <w:rsid w:val="00771E43"/>
    <w:pPr>
      <w:numPr>
        <w:numId w:val="3"/>
      </w:numPr>
    </w:pPr>
  </w:style>
  <w:style w:type="paragraph" w:styleId="ListNumber4">
    <w:name w:val="List Number 4"/>
    <w:basedOn w:val="List4"/>
    <w:rsid w:val="00771E43"/>
    <w:pPr>
      <w:numPr>
        <w:numId w:val="4"/>
      </w:numPr>
    </w:pPr>
  </w:style>
  <w:style w:type="paragraph" w:styleId="ListNumber5">
    <w:name w:val="List Number 5"/>
    <w:basedOn w:val="List5"/>
    <w:rsid w:val="00771E43"/>
    <w:pPr>
      <w:numPr>
        <w:numId w:val="5"/>
      </w:numPr>
    </w:pPr>
  </w:style>
  <w:style w:type="paragraph" w:styleId="BlockText">
    <w:name w:val="Block Text"/>
    <w:basedOn w:val="Normal"/>
    <w:rsid w:val="00771E43"/>
    <w:pPr>
      <w:spacing w:after="120"/>
      <w:ind w:left="1440" w:right="1440"/>
    </w:pPr>
  </w:style>
  <w:style w:type="character" w:customStyle="1" w:styleId="Subscript">
    <w:name w:val="Subscript"/>
    <w:basedOn w:val="DefaultParagraphFont"/>
    <w:rsid w:val="00771E43"/>
    <w:rPr>
      <w:sz w:val="16"/>
      <w:vertAlign w:val="subscript"/>
    </w:rPr>
  </w:style>
  <w:style w:type="character" w:customStyle="1" w:styleId="Superscript">
    <w:name w:val="Superscript"/>
    <w:basedOn w:val="DefaultParagraphFont"/>
    <w:rsid w:val="00771E43"/>
    <w:rPr>
      <w:sz w:val="16"/>
      <w:vertAlign w:val="superscript"/>
    </w:rPr>
  </w:style>
  <w:style w:type="character" w:customStyle="1" w:styleId="Symbols">
    <w:name w:val="Symbols"/>
    <w:basedOn w:val="DefaultParagraphFont"/>
    <w:rsid w:val="00771E43"/>
    <w:rPr>
      <w:rFonts w:ascii="Symbol" w:hAnsi="Symbol"/>
    </w:rPr>
  </w:style>
  <w:style w:type="character" w:customStyle="1" w:styleId="MenuOptions">
    <w:name w:val="Menu Options"/>
    <w:basedOn w:val="DefaultParagraphFont"/>
    <w:rsid w:val="00771E43"/>
    <w:rPr>
      <w:rFonts w:ascii="Arial Narrow" w:hAnsi="Arial Narrow"/>
      <w:smallCaps/>
    </w:rPr>
  </w:style>
  <w:style w:type="character" w:customStyle="1" w:styleId="Buttons">
    <w:name w:val="Buttons"/>
    <w:basedOn w:val="DefaultParagraphFont"/>
    <w:rsid w:val="00771E43"/>
    <w:rPr>
      <w:b/>
    </w:rPr>
  </w:style>
  <w:style w:type="character" w:customStyle="1" w:styleId="Underlined">
    <w:name w:val="Underlined"/>
    <w:basedOn w:val="DefaultParagraphFont"/>
    <w:rsid w:val="00771E43"/>
    <w:rPr>
      <w:u w:val="single"/>
    </w:rPr>
  </w:style>
  <w:style w:type="paragraph" w:customStyle="1" w:styleId="TableBodyTextRight">
    <w:name w:val="Table Body Text Right"/>
    <w:basedOn w:val="TableBodyText"/>
    <w:rsid w:val="00771E43"/>
    <w:pPr>
      <w:widowControl w:val="0"/>
      <w:autoSpaceDE w:val="0"/>
      <w:autoSpaceDN w:val="0"/>
      <w:adjustRightInd w:val="0"/>
      <w:jc w:val="right"/>
    </w:pPr>
    <w:rPr>
      <w:rFonts w:cs="Arial"/>
      <w:szCs w:val="18"/>
    </w:rPr>
  </w:style>
  <w:style w:type="paragraph" w:customStyle="1" w:styleId="CopyrightText">
    <w:name w:val="Copyright Text"/>
    <w:basedOn w:val="BodyText"/>
    <w:rsid w:val="00771E43"/>
    <w:rPr>
      <w:sz w:val="18"/>
    </w:rPr>
  </w:style>
  <w:style w:type="paragraph" w:customStyle="1" w:styleId="BodySmallRight">
    <w:name w:val="Body Small Right"/>
    <w:basedOn w:val="BodyTextRight"/>
    <w:rsid w:val="00771E43"/>
    <w:rPr>
      <w:sz w:val="18"/>
      <w:szCs w:val="18"/>
    </w:rPr>
  </w:style>
  <w:style w:type="paragraph" w:customStyle="1" w:styleId="MarginEdition">
    <w:name w:val="Margin Edition"/>
    <w:basedOn w:val="MarginNote"/>
    <w:rsid w:val="00771E43"/>
    <w:pPr>
      <w:spacing w:before="0" w:after="0"/>
    </w:pPr>
    <w:rPr>
      <w:rFonts w:ascii="Times New Roman" w:hAnsi="Times New Roman"/>
      <w:color w:val="999999"/>
    </w:rPr>
  </w:style>
  <w:style w:type="paragraph" w:customStyle="1" w:styleId="Spacer">
    <w:name w:val="Spacer"/>
    <w:basedOn w:val="Normal"/>
    <w:rsid w:val="00771E43"/>
    <w:rPr>
      <w:sz w:val="2"/>
      <w:szCs w:val="2"/>
    </w:rPr>
  </w:style>
  <w:style w:type="character" w:customStyle="1" w:styleId="Small">
    <w:name w:val="Small"/>
    <w:basedOn w:val="DefaultParagraphFont"/>
    <w:rsid w:val="00771E43"/>
    <w:rPr>
      <w:sz w:val="16"/>
    </w:rPr>
  </w:style>
  <w:style w:type="paragraph" w:customStyle="1" w:styleId="WideTable">
    <w:name w:val="Wide Table"/>
    <w:basedOn w:val="Normal"/>
    <w:rsid w:val="00771E43"/>
    <w:pPr>
      <w:ind w:left="-1418"/>
    </w:pPr>
    <w:rPr>
      <w:sz w:val="2"/>
      <w:szCs w:val="2"/>
    </w:rPr>
  </w:style>
  <w:style w:type="character" w:styleId="PageNumber">
    <w:name w:val="page number"/>
    <w:basedOn w:val="DefaultParagraphFont"/>
    <w:rsid w:val="00771E43"/>
  </w:style>
  <w:style w:type="paragraph" w:styleId="Quote">
    <w:name w:val="Quote"/>
    <w:basedOn w:val="Heading1"/>
    <w:link w:val="QuoteChar"/>
    <w:qFormat/>
    <w:rsid w:val="00771E43"/>
    <w:rPr>
      <w:b w:val="0"/>
      <w:sz w:val="72"/>
      <w:szCs w:val="72"/>
      <w:lang w:val="en-NZ"/>
    </w:rPr>
  </w:style>
  <w:style w:type="character" w:customStyle="1" w:styleId="QuoteChar">
    <w:name w:val="Quote Char"/>
    <w:basedOn w:val="DefaultParagraphFont"/>
    <w:link w:val="Quote"/>
    <w:rsid w:val="00771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E43"/>
    <w:pPr>
      <w:pageBreakBefore/>
    </w:pPr>
  </w:style>
  <w:style w:type="paragraph" w:customStyle="1" w:styleId="Border">
    <w:name w:val="Border"/>
    <w:basedOn w:val="Normal"/>
    <w:qFormat/>
    <w:rsid w:val="00771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E43"/>
    <w:rPr>
      <w:b/>
      <w:bCs/>
      <w:i/>
      <w:iCs/>
      <w:color w:val="auto"/>
    </w:rPr>
  </w:style>
  <w:style w:type="paragraph" w:styleId="IntenseQuote">
    <w:name w:val="Intense Quote"/>
    <w:basedOn w:val="Normal"/>
    <w:next w:val="Normal"/>
    <w:link w:val="IntenseQuoteChar"/>
    <w:uiPriority w:val="30"/>
    <w:qFormat/>
    <w:rsid w:val="00771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E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1E43"/>
    <w:rPr>
      <w:smallCaps/>
      <w:color w:val="auto"/>
      <w:u w:val="single"/>
    </w:rPr>
  </w:style>
  <w:style w:type="character" w:styleId="IntenseReference">
    <w:name w:val="Intense Reference"/>
    <w:basedOn w:val="DefaultParagraphFont"/>
    <w:uiPriority w:val="32"/>
    <w:qFormat/>
    <w:rsid w:val="00771E43"/>
    <w:rPr>
      <w:b/>
      <w:bCs/>
      <w:smallCaps/>
      <w:color w:val="auto"/>
      <w:spacing w:val="5"/>
      <w:u w:val="single"/>
    </w:rPr>
  </w:style>
  <w:style w:type="paragraph" w:customStyle="1" w:styleId="2ColumnHeading">
    <w:name w:val="2Column Heading"/>
    <w:basedOn w:val="BodyText"/>
    <w:qFormat/>
    <w:rsid w:val="00771E43"/>
    <w:pPr>
      <w:spacing w:after="60"/>
      <w:ind w:left="-2268"/>
    </w:pPr>
    <w:rPr>
      <w:b/>
    </w:rPr>
  </w:style>
  <w:style w:type="paragraph" w:customStyle="1" w:styleId="Heading1TOC">
    <w:name w:val="Heading1 TOC"/>
    <w:basedOn w:val="Normal"/>
    <w:qFormat/>
    <w:rsid w:val="00771E43"/>
    <w:pPr>
      <w:spacing w:before="240" w:after="120"/>
    </w:pPr>
    <w:rPr>
      <w:rFonts w:ascii="Times New Roman" w:hAnsi="Times New Roman"/>
      <w:b/>
      <w:sz w:val="32"/>
    </w:rPr>
  </w:style>
  <w:style w:type="paragraph" w:customStyle="1" w:styleId="Heading2TOC">
    <w:name w:val="Heading2 TOC"/>
    <w:basedOn w:val="Normal"/>
    <w:qFormat/>
    <w:rsid w:val="00771E43"/>
    <w:pPr>
      <w:spacing w:before="240" w:after="60"/>
    </w:pPr>
    <w:rPr>
      <w:rFonts w:ascii="Times New Roman" w:hAnsi="Times New Roman"/>
      <w:b/>
      <w:sz w:val="28"/>
    </w:rPr>
  </w:style>
  <w:style w:type="character" w:customStyle="1" w:styleId="Underline">
    <w:name w:val="Underline"/>
    <w:basedOn w:val="DefaultParagraphFont"/>
    <w:qFormat/>
    <w:rsid w:val="00771E43"/>
    <w:rPr>
      <w:u w:val="single"/>
    </w:rPr>
  </w:style>
  <w:style w:type="character" w:customStyle="1" w:styleId="BoldandItalics">
    <w:name w:val="Bold and Italics"/>
    <w:qFormat/>
    <w:rsid w:val="00771E43"/>
    <w:rPr>
      <w:b/>
      <w:i/>
      <w:u w:val="none"/>
    </w:rPr>
  </w:style>
  <w:style w:type="paragraph" w:styleId="BalloonText">
    <w:name w:val="Balloon Text"/>
    <w:basedOn w:val="Normal"/>
    <w:link w:val="BalloonTextChar"/>
    <w:rsid w:val="00771E43"/>
    <w:rPr>
      <w:rFonts w:ascii="Tahoma" w:hAnsi="Tahoma" w:cs="Tahoma"/>
      <w:sz w:val="16"/>
      <w:szCs w:val="16"/>
    </w:rPr>
  </w:style>
  <w:style w:type="character" w:customStyle="1" w:styleId="BalloonTextChar">
    <w:name w:val="Balloon Text Char"/>
    <w:basedOn w:val="DefaultParagraphFont"/>
    <w:link w:val="BalloonText"/>
    <w:rsid w:val="00771E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E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E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8968</Characters>
  <Application>Microsoft Office Word</Application>
  <DocSecurity>0</DocSecurity>
  <Lines>358</Lines>
  <Paragraphs>134</Paragraphs>
  <ScaleCrop>false</ScaleCrop>
  <Company>Author-it Software Corporation Ltd.</Company>
  <LinksUpToDate>false</LinksUpToDate>
  <CharactersWithSpaces>10466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RTF2204A Construct low-profile timber or modular retaining walls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2012-05-27T07:45:00Z</dcterms:created>
  <dcterms:modified xsi:type="dcterms:W3CDTF">2012-05-27T07:45:00Z</dcterms:modified>
</cp:coreProperties>
</file>