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A14" w:rsidP="00620A14">
      <w:pPr>
        <w:pStyle w:val="Title"/>
      </w:pPr>
      <w:r>
        <w:fldChar w:fldCharType="begin"/>
      </w:r>
      <w:r>
        <w:instrText xml:space="preserve"> TITLE   \* MERGEFORMAT </w:instrText>
      </w:r>
      <w:r>
        <w:fldChar w:fldCharType="separate"/>
      </w:r>
      <w:r>
        <w:t>RTF2013A Pot-on plants</w:t>
      </w:r>
      <w:r>
        <w:fldChar w:fldCharType="end"/>
      </w:r>
    </w:p>
    <w:p w:rsidR="00620A14" w:rsidP="00620A14">
      <w:pPr>
        <w:pStyle w:val="Version"/>
        <w:sectPr w:rsidSect="00DC0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A35" w:rsidP="00DC0A35">
      <w:pPr>
        <w:pStyle w:val="SuperHeading"/>
      </w:pPr>
      <w:r w:rsidRPr="00DC0A35">
        <w:t>RTF2013A Pot-on plants</w:t>
      </w:r>
    </w:p>
    <w:p w:rsidR="00000000" w:rsidRPr="00DC0A35" w:rsidP="00DC0A35">
      <w:pPr>
        <w:pStyle w:val="Heading1"/>
      </w:pPr>
      <w:bookmarkStart w:id="1" w:name="O_321109"/>
      <w:bookmarkEnd w:id="1"/>
      <w:r w:rsidRPr="00DC0A35">
        <w:t>Modification History</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2" w:name="O_321111"/>
      <w:bookmarkEnd w:id="2"/>
      <w:r w:rsidRPr="00DC0A35">
        <w:t>Unit Descriptor</w:t>
      </w:r>
    </w:p>
    <w:p w:rsidR="00000000" w:rsidRPr="00DC0A35" w:rsidP="00DC0A35">
      <w:pPr>
        <w:pStyle w:val="BodyText"/>
      </w:pPr>
      <w:r w:rsidRPr="00DC0A35">
        <w:t>This competency standard covers the process of production of containerised nursery plants after propagation in production nurseries.</w:t>
      </w:r>
    </w:p>
    <w:p w:rsidR="00000000" w:rsidRPr="00DC0A35" w:rsidP="00DC0A35">
      <w:pPr>
        <w:pStyle w:val="BodyText"/>
      </w:pPr>
      <w:r w:rsidRPr="00DC0A35">
        <w:t>Competency is</w:t>
      </w:r>
      <w:r w:rsidRPr="00DC0A35">
        <w:t xml:space="preserve"> demonstrated by the application of knowledge and skills to a range of tasks involved in the potting-on process, such as the preparation of growing media, potting-up treatments, and nursery hygiene.  The work is carried out within routine methods and proce</w:t>
      </w:r>
      <w:r w:rsidRPr="00DC0A35">
        <w:t xml:space="preserve">dures under supervision with intermittent checking.  Responsibility for some roles and co-ordination within a team may be required. </w:t>
      </w:r>
    </w:p>
    <w:p w:rsidR="00000000" w:rsidRPr="00DC0A35" w:rsidP="00DC0A35">
      <w:pPr>
        <w:pStyle w:val="AllowPageBreak"/>
      </w:pPr>
    </w:p>
    <w:p w:rsidR="00000000" w:rsidRPr="00DC0A35" w:rsidP="00DC0A35">
      <w:pPr>
        <w:pStyle w:val="Heading1"/>
      </w:pPr>
      <w:bookmarkStart w:id="3" w:name="O_321108"/>
      <w:bookmarkEnd w:id="3"/>
      <w:r w:rsidRPr="00DC0A35">
        <w:t>Application of the Unit</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4" w:name="O_321107"/>
      <w:bookmarkEnd w:id="4"/>
      <w:r w:rsidRPr="00DC0A35">
        <w:t>Licensing/Regulatory Information</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5" w:name="O_321106"/>
      <w:bookmarkEnd w:id="5"/>
      <w:r w:rsidRPr="00DC0A35">
        <w:t>Pre-Requisites</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6" w:name="O_321105"/>
      <w:bookmarkEnd w:id="6"/>
      <w:r w:rsidRPr="00DC0A35">
        <w:t>Employability Skills Information</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7" w:name="O_321100"/>
      <w:bookmarkEnd w:id="7"/>
      <w:r w:rsidRPr="00DC0A35">
        <w:t>Elements and Performance Criteria Pre-Content</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8" w:name="O_321104"/>
      <w:bookmarkEnd w:id="8"/>
      <w:r w:rsidRPr="00DC0A3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20A1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Elements and Performance Criteria</w:t>
            </w:r>
          </w:p>
        </w:tc>
      </w:tr>
      <w:tr w:rsidTr="00620A1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Performance Criteria</w:t>
            </w:r>
          </w:p>
        </w:tc>
      </w:tr>
      <w:tr w:rsidTr="00620A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1</w:t>
            </w:r>
          </w:p>
        </w:tc>
        <w:tc>
          <w:tcPr>
            <w:tcW w:w="30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Prepare for potting-on operations</w:t>
            </w:r>
          </w:p>
        </w:tc>
        <w:tc>
          <w:tcPr>
            <w:tcW w:w="5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1.1</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 xml:space="preserve">Workplace information </w:t>
            </w:r>
            <w:r w:rsidRPr="00DC0A35">
              <w:t>is interpreted and clarified according to instructions.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1.2</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 xml:space="preserve">OHS hazards </w:t>
            </w:r>
            <w:r w:rsidRPr="00DC0A35">
              <w:t>are identified and reported to the supervisor.</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1.3</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 xml:space="preserve">Tools and equipment </w:t>
            </w:r>
            <w:r w:rsidRPr="00DC0A35">
              <w:t>for potting-on are selected and used according to enterprise guidelines.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1.4</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Work area is cleaned and disinfected according to company </w:t>
            </w:r>
            <w:r w:rsidRPr="00DC0A35">
              <w:rPr>
                <w:rStyle w:val="SpecialBold"/>
              </w:rPr>
              <w:t>hygiene practices.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1.5</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Materials are collected and checked to ensure sufficient quantity a</w:t>
            </w:r>
            <w:r w:rsidRPr="00DC0A35">
              <w:t>nd quality for potting-on operations.</w:t>
            </w:r>
          </w:p>
        </w:tc>
      </w:tr>
      <w:tr w:rsidTr="00620A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2</w:t>
            </w:r>
          </w:p>
        </w:tc>
        <w:tc>
          <w:tcPr>
            <w:tcW w:w="30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Prepare growing media</w:t>
            </w: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2.1</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Suitable personal protective equipment (PPE) is selected, used and maintained.</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2.2</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Media components are measured and mixed according to enterprise guidelines.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2.3</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Growing media is tested to ensure the product complies with media specifications.</w:t>
            </w:r>
          </w:p>
        </w:tc>
      </w:tr>
      <w:tr w:rsidTr="00620A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w:t>
            </w:r>
          </w:p>
        </w:tc>
        <w:tc>
          <w:tcPr>
            <w:tcW w:w="30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Pot-on propagated plants</w:t>
            </w: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3.1</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Plants are prepared for potting in accordance with enterprise guidelines.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3.2</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Plants are graded during the potting process according to quality specifications.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3.3</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Soil level in pots is adjusted to produce a well-furnished plant according to supervisors instructions.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3.4</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Placement and depth of plants comply with the planting method and plan.</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3.5</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Potting operations are carried out according to OHS requirements.</w:t>
            </w:r>
          </w:p>
        </w:tc>
      </w:tr>
      <w:tr w:rsidTr="00620A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4</w:t>
            </w:r>
          </w:p>
        </w:tc>
        <w:tc>
          <w:tcPr>
            <w:tcW w:w="3000" w:type="dxa"/>
            <w:vMerge w:val="restart"/>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Complete potting-on operations</w:t>
            </w: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4.1</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Plants are watered in to eliminate air pockets and prevent dehydration.</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4.2</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Cleaning procedures are performed and hygiene practices followed according to enterprise guidelines.</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4.3</w:t>
            </w:r>
          </w:p>
        </w:tc>
        <w:tc>
          <w:tcPr>
            <w:tcW w:w="51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 xml:space="preserve">Waste </w:t>
            </w:r>
            <w:r w:rsidRPr="00DC0A35">
              <w:t>is collected and disposed of or recycled to minimise damage to the external environment.</w:t>
            </w:r>
          </w:p>
        </w:tc>
      </w:tr>
      <w:tr w:rsidTr="00620A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4.4</w:t>
            </w:r>
          </w:p>
        </w:tc>
        <w:tc>
          <w:tcPr>
            <w:tcW w:w="51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 xml:space="preserve">Records </w:t>
            </w:r>
            <w:r w:rsidRPr="00DC0A35">
              <w:t>of potting-on operations are maintained in the appropriate format.</w:t>
            </w:r>
          </w:p>
        </w:tc>
      </w:tr>
    </w:tbl>
    <w:p w:rsidR="00000000" w:rsidRPr="00DC0A35" w:rsidP="00DC0A35">
      <w:pPr>
        <w:pStyle w:val="BodyText"/>
      </w:pPr>
    </w:p>
    <w:p w:rsidR="00000000" w:rsidRPr="00DC0A35" w:rsidP="00DC0A35">
      <w:pPr>
        <w:pStyle w:val="AllowPageBreak"/>
      </w:pPr>
    </w:p>
    <w:p w:rsidR="00000000" w:rsidRPr="00DC0A35" w:rsidP="00DC0A35">
      <w:pPr>
        <w:pStyle w:val="Heading1"/>
      </w:pPr>
      <w:bookmarkStart w:id="9" w:name="O_321103"/>
      <w:bookmarkEnd w:id="9"/>
      <w:r w:rsidRPr="00DC0A35">
        <w:t>Required Skills and Knowledge</w:t>
      </w:r>
    </w:p>
    <w:p w:rsidR="00000000" w:rsidRPr="00DC0A35" w:rsidP="00DC0A35">
      <w:pPr>
        <w:pStyle w:val="BodyText"/>
      </w:pPr>
      <w:r w:rsidRPr="00DC0A35">
        <w:t>Not applicable.</w:t>
      </w:r>
    </w:p>
    <w:p w:rsidR="00000000" w:rsidRPr="00DC0A35" w:rsidP="00DC0A35">
      <w:pPr>
        <w:pStyle w:val="AllowPageBreak"/>
      </w:pPr>
    </w:p>
    <w:p w:rsidR="00000000" w:rsidRPr="00DC0A35" w:rsidP="00DC0A35">
      <w:pPr>
        <w:pStyle w:val="Heading1"/>
      </w:pPr>
      <w:bookmarkStart w:id="10" w:name="O_321102"/>
      <w:bookmarkEnd w:id="10"/>
      <w:r w:rsidRPr="00DC0A35">
        <w:t>Evidence Guide</w:t>
      </w:r>
    </w:p>
    <w:tbl>
      <w:tblPr>
        <w:tblW w:w="0" w:type="auto"/>
        <w:tblLayout w:type="fixed"/>
        <w:tblCellMar>
          <w:left w:w="62" w:type="dxa"/>
          <w:right w:w="62" w:type="dxa"/>
        </w:tblCellMar>
        <w:tblLook w:val="0000"/>
      </w:tblPr>
      <w:tblGrid>
        <w:gridCol w:w="9000"/>
      </w:tblGrid>
      <w:tr w:rsidTr="00620A1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What evidence is required to demonstrate competence for this standard as a whole</w:t>
            </w:r>
            <w:r w:rsidRPr="00DC0A35">
              <w:t>?</w:t>
            </w:r>
          </w:p>
          <w:p w:rsidR="00000000" w:rsidRPr="00DC0A35" w:rsidP="00DC0A35">
            <w:pPr>
              <w:pStyle w:val="BodyText"/>
            </w:pPr>
            <w:r w:rsidRPr="00DC0A35">
              <w:t>Competence in potting-on plants requires evidence that the trainee can prepare plants for potting-on, prepare the potting media, pot-on plants and provide the necessary after care.</w:t>
            </w:r>
          </w:p>
          <w:p w:rsidR="00000000" w:rsidP="00DC0A35">
            <w:pPr>
              <w:pStyle w:val="BodyText"/>
              <w:rPr>
                <w:lang w:val="en-NZ"/>
              </w:rPr>
            </w:pPr>
            <w:r w:rsidRPr="00DC0A35">
              <w:t xml:space="preserve">The skills and knowledge required to pot-on plants must be </w:t>
            </w:r>
            <w:r w:rsidRPr="00DC0A35">
              <w:rPr>
                <w:rStyle w:val="SpecialBold"/>
              </w:rPr>
              <w:t>transferable</w:t>
            </w:r>
            <w:r w:rsidRPr="00DC0A35">
              <w:t xml:space="preserve"> to </w:t>
            </w:r>
            <w:r w:rsidRPr="00DC0A35">
              <w:t xml:space="preserve">a different work environment.  For example, a trainee potting-on ornamental plants must be able to pot-on vines in a production nursery after an induction period. </w:t>
            </w:r>
          </w:p>
        </w:tc>
      </w:tr>
      <w:tr w:rsidTr="00620A1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C0A35" w:rsidP="00DC0A35">
            <w:pPr>
              <w:pStyle w:val="BodyText"/>
            </w:pPr>
          </w:p>
        </w:tc>
      </w:tr>
    </w:tbl>
    <w:p w:rsidR="00000000" w:rsidRPr="00DC0A35" w:rsidP="00DC0A35">
      <w:pPr>
        <w:pStyle w:val="BodyText"/>
      </w:pPr>
    </w:p>
    <w:tbl>
      <w:tblPr>
        <w:tblW w:w="0" w:type="auto"/>
        <w:tblLayout w:type="fixed"/>
        <w:tblCellMar>
          <w:left w:w="62" w:type="dxa"/>
          <w:right w:w="62" w:type="dxa"/>
        </w:tblCellMar>
        <w:tblLook w:val="0000"/>
      </w:tblPr>
      <w:tblGrid>
        <w:gridCol w:w="4500"/>
        <w:gridCol w:w="4500"/>
      </w:tblGrid>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What specific knowledge is needed to achieve the performance criteria</w:t>
            </w:r>
            <w:r w:rsidRPr="00DC0A35">
              <w:t xml:space="preserve">?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Knowledge and</w:t>
            </w:r>
            <w:r w:rsidRPr="00DC0A35">
              <w:t xml:space="preserve"> understanding are essential to apply this standard in the workplace, to transfer the skills to other contexts, and to deal with unplanned events.  The knowledge requirements for this competency standard are listed below:</w:t>
            </w:r>
            <w:r w:rsidRPr="00DC0A35">
              <w:br/>
              <w:t>1. the uses and application of dif</w:t>
            </w:r>
            <w:r w:rsidRPr="00DC0A35">
              <w:t>ferent types of potting media</w:t>
            </w:r>
            <w:r w:rsidRPr="00DC0A35">
              <w:br/>
              <w:t>2. basic plant physiology relevant to potting-on activities</w:t>
            </w:r>
            <w:r w:rsidRPr="00DC0A35">
              <w:br/>
              <w:t>3. enterprise plants and their characteristics</w:t>
            </w:r>
            <w:r w:rsidRPr="00DC0A35">
              <w:br/>
              <w:t>4. importance of hygiene and quality control when potting-on and handling potting media</w:t>
            </w:r>
            <w:r w:rsidRPr="00DC0A35">
              <w:br/>
              <w:t>5. tool care and use</w:t>
            </w:r>
            <w:r w:rsidRPr="00DC0A35">
              <w:br/>
              <w:t xml:space="preserve">6. common </w:t>
            </w:r>
            <w:r w:rsidRPr="00DC0A35">
              <w:t>problems that may occur with potting-on plants in a controlled environment and their treatment</w:t>
            </w:r>
            <w:r w:rsidRPr="00DC0A35">
              <w:br/>
              <w:t xml:space="preserve">7. methods of disposing of waste to minimise damage to the external environment.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rPr>
                <w:rStyle w:val="SpecialBold"/>
              </w:rPr>
              <w:t>What specific skills are needed to achieve the performance criteria</w:t>
            </w:r>
            <w:r w:rsidRPr="00DC0A35">
              <w:t xml:space="preserve">?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To achieve the performance criteria, appropriate literacy and numeracy levels as well as some complementary skills are required.  These include the ability to: </w:t>
            </w:r>
            <w:r w:rsidRPr="00DC0A35">
              <w:br/>
              <w:t>8. participate in teams and contribute to team objectives</w:t>
            </w:r>
            <w:r w:rsidRPr="00DC0A35">
              <w:br/>
              <w:t>9. read and interpret enterprise work</w:t>
            </w:r>
            <w:r w:rsidRPr="00DC0A35">
              <w:t xml:space="preserve"> procedures and maintain required records</w:t>
            </w:r>
            <w:r w:rsidRPr="00DC0A35">
              <w:br/>
              <w:t xml:space="preserve">10. measure out media components accurately.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What processes should be applied to this competency standard</w:t>
            </w:r>
            <w:r w:rsidRPr="00DC0A35">
              <w:t>?</w:t>
            </w:r>
          </w:p>
          <w:p w:rsidR="00000000" w:rsidP="00DC0A35">
            <w:pPr>
              <w:pStyle w:val="BodyText"/>
              <w:rPr>
                <w:lang w:val="en-NZ"/>
              </w:rPr>
            </w:pPr>
            <w:r w:rsidRPr="00DC0A35">
              <w:t>There are a number of processes that are learnt throughout work and life, which are required in all</w:t>
            </w:r>
            <w:r w:rsidRPr="00DC0A35">
              <w:t xml:space="preserve"> jobs.  They are fundamental processes and generally transferable to other work functions.  Some of these are covered by the </w:t>
            </w:r>
            <w:r w:rsidRPr="00DC0A35">
              <w:rPr>
                <w:rStyle w:val="SpecialBold"/>
              </w:rPr>
              <w:t>key competencies</w:t>
            </w:r>
            <w:r w:rsidRPr="00DC0A35">
              <w:t>, although others may be added.  The questions below highlight how these processes are applied in this competency s</w:t>
            </w:r>
            <w:r w:rsidRPr="00DC0A35">
              <w:t>tandard.  Following each question a number in brackets indicates the level to which the key competency needs to be demonstrated where 0 = not required, 1 = perform the process, 2 = perform and administer the process and 3 = perform, administer and design t</w:t>
            </w:r>
            <w:r w:rsidRPr="00DC0A35">
              <w:t xml:space="preserve">he process.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1. How can </w:t>
            </w:r>
            <w:r w:rsidRPr="00DC0A35">
              <w:rPr>
                <w:rStyle w:val="SpecialBold"/>
              </w:rPr>
              <w:t>communication of ideas and information</w:t>
            </w:r>
            <w:r w:rsidRPr="00DC0A35">
              <w:t xml:space="preserve"> (</w:t>
            </w:r>
            <w:r w:rsidRPr="00DC0A35">
              <w:rPr>
                <w:rStyle w:val="SpecialBold"/>
              </w:rPr>
              <w:t>1</w:t>
            </w:r>
            <w:r w:rsidRPr="00DC0A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Ideas and information relating to plant potting-on activities and problems encountered should be discussed with other members of the work team and the supervisor.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2. How can </w:t>
            </w:r>
            <w:r w:rsidRPr="00DC0A35">
              <w:rPr>
                <w:rStyle w:val="SpecialBold"/>
              </w:rPr>
              <w:t>information be collected</w:t>
            </w:r>
            <w:r w:rsidRPr="00DC0A35">
              <w:t xml:space="preserve">, </w:t>
            </w:r>
            <w:r w:rsidRPr="00DC0A35">
              <w:rPr>
                <w:rStyle w:val="SpecialBold"/>
              </w:rPr>
              <w:t>analysed and organised</w:t>
            </w:r>
            <w:r w:rsidRPr="00DC0A35">
              <w:t xml:space="preserve"> (</w:t>
            </w:r>
            <w:r w:rsidRPr="00DC0A35">
              <w:rPr>
                <w:rStyle w:val="SpecialBold"/>
              </w:rPr>
              <w:t>1</w:t>
            </w:r>
            <w:r w:rsidRPr="00DC0A35">
              <w:t xml:space="preserve">)?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Enterprise work procedures, such as a daily production schedule or potting plan, should be consulted, interpreted and applied to co-ordinate potting-on activities with further clarification </w:t>
            </w:r>
            <w:r w:rsidRPr="00DC0A35">
              <w:t xml:space="preserve">sought from the supervisor where necessary.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3. How are </w:t>
            </w:r>
            <w:r w:rsidRPr="00DC0A35">
              <w:rPr>
                <w:rStyle w:val="SpecialBold"/>
              </w:rPr>
              <w:t>activities planned and organised</w:t>
            </w:r>
            <w:r w:rsidRPr="00DC0A35">
              <w:t xml:space="preserve"> (</w:t>
            </w:r>
            <w:r w:rsidRPr="00DC0A35">
              <w:rPr>
                <w:rStyle w:val="SpecialBold"/>
              </w:rPr>
              <w:t>1</w:t>
            </w:r>
            <w:r w:rsidRPr="00DC0A35">
              <w:t xml:space="preserve">)?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Materials, tools, equipment and work activities for daily potting up routines may need to be arranged before work periods, and there may be some responsibility </w:t>
            </w:r>
            <w:r w:rsidRPr="00DC0A35">
              <w:t xml:space="preserve">for co-ordinating work activities with other members of the work team.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4. How can </w:t>
            </w:r>
            <w:r w:rsidRPr="00DC0A35">
              <w:rPr>
                <w:rStyle w:val="SpecialBold"/>
              </w:rPr>
              <w:t>team work</w:t>
            </w:r>
            <w:r w:rsidRPr="00DC0A35">
              <w:t xml:space="preserve"> (</w:t>
            </w:r>
            <w:r w:rsidRPr="00DC0A35">
              <w:rPr>
                <w:rStyle w:val="SpecialBold"/>
              </w:rPr>
              <w:t>1</w:t>
            </w:r>
            <w:r w:rsidRPr="00DC0A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Potting-on activities may involve working with other members of a team to complete operations within the daily work routine.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5. How can the use</w:t>
            </w:r>
            <w:r w:rsidRPr="00DC0A35">
              <w:t xml:space="preserve"> of </w:t>
            </w:r>
            <w:r w:rsidRPr="00DC0A35">
              <w:rPr>
                <w:rStyle w:val="SpecialBold"/>
              </w:rPr>
              <w:t>mathematical ideas and techniques</w:t>
            </w:r>
            <w:r w:rsidRPr="00DC0A35">
              <w:t xml:space="preserve"> (</w:t>
            </w:r>
            <w:r w:rsidRPr="00DC0A35">
              <w:rPr>
                <w:rStyle w:val="SpecialBold"/>
              </w:rPr>
              <w:t>1</w:t>
            </w:r>
            <w:r w:rsidRPr="00DC0A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Mixing and testing media, measuring volumes, calibration, and counting, and tallying, may all require mathematical application.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6. How can </w:t>
            </w:r>
            <w:r w:rsidRPr="00DC0A35">
              <w:rPr>
                <w:rStyle w:val="SpecialBold"/>
              </w:rPr>
              <w:t>problem</w:t>
            </w:r>
            <w:r w:rsidRPr="00DC0A35">
              <w:t>-</w:t>
            </w:r>
            <w:r w:rsidRPr="00DC0A35">
              <w:rPr>
                <w:rStyle w:val="SpecialBold"/>
              </w:rPr>
              <w:t>solving skills</w:t>
            </w:r>
            <w:r w:rsidRPr="00DC0A35">
              <w:t xml:space="preserve"> (</w:t>
            </w:r>
            <w:r w:rsidRPr="00DC0A35">
              <w:rPr>
                <w:rStyle w:val="SpecialBold"/>
              </w:rPr>
              <w:t>1</w:t>
            </w:r>
            <w:r w:rsidRPr="00DC0A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Problems relating to potting-on, tools and equipment, workplace safety and other team members may arise that require corrective action or consultation with the supervisor.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7. How can the </w:t>
            </w:r>
            <w:r w:rsidRPr="00DC0A35">
              <w:rPr>
                <w:rStyle w:val="SpecialBold"/>
              </w:rPr>
              <w:t>use of technology</w:t>
            </w:r>
            <w:r w:rsidRPr="00DC0A35">
              <w:t xml:space="preserve"> (</w:t>
            </w:r>
            <w:r w:rsidRPr="00DC0A35">
              <w:rPr>
                <w:rStyle w:val="SpecialBold"/>
              </w:rPr>
              <w:t>1</w:t>
            </w:r>
            <w:r w:rsidRPr="00DC0A3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Technology may be applied with t</w:t>
            </w:r>
            <w:r w:rsidRPr="00DC0A35">
              <w:t xml:space="preserve">he use of machines such as potting machines, soil mixing equipment, soil testing equipment and small tractors and trailers.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Are there other competency standards that could be assessed with this one</w:t>
            </w:r>
            <w:r w:rsidRPr="00DC0A35">
              <w:t>?</w:t>
            </w:r>
          </w:p>
          <w:p w:rsidR="00000000" w:rsidP="00DC0A35">
            <w:pPr>
              <w:pStyle w:val="BodyText"/>
              <w:rPr>
                <w:lang w:val="en-NZ"/>
              </w:rPr>
            </w:pPr>
            <w:r w:rsidRPr="00DC0A35">
              <w:t xml:space="preserve">This competency standard </w:t>
            </w:r>
            <w:r w:rsidRPr="00DC0A35">
              <w:rPr>
                <w:rStyle w:val="SpecialBold"/>
              </w:rPr>
              <w:t>could</w:t>
            </w:r>
            <w:r w:rsidRPr="00DC0A35">
              <w:t xml:space="preserve"> be assessed on its own or in combination with other competencies relevant to the job function.   </w:t>
            </w: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0A35">
            <w:pPr>
              <w:pStyle w:val="BodyText"/>
              <w:rPr>
                <w:lang w:val="en-NZ"/>
              </w:rPr>
            </w:pP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t xml:space="preserve">There is essential information about </w:t>
            </w:r>
            <w:r w:rsidRPr="00DC0A35">
              <w:rPr>
                <w:rStyle w:val="SpecialBold"/>
              </w:rPr>
              <w:t>assessing this competency standard for consistent performance</w:t>
            </w:r>
            <w:r w:rsidRPr="00DC0A35">
              <w:t xml:space="preserve"> and </w:t>
            </w:r>
            <w:r w:rsidRPr="00DC0A35">
              <w:rPr>
                <w:rStyle w:val="SpecialBold"/>
              </w:rPr>
              <w:t>where and how it may be assessed</w:t>
            </w:r>
            <w:r w:rsidRPr="00DC0A35">
              <w:t>, in the Assessme</w:t>
            </w:r>
            <w:r w:rsidRPr="00DC0A35">
              <w:t xml:space="preserve">nt Guidelines for this Training Package.  All users of these competency standards must have </w:t>
            </w:r>
            <w:r w:rsidRPr="00DC0A35">
              <w:rPr>
                <w:rStyle w:val="SpecialBold"/>
              </w:rPr>
              <w:t>access</w:t>
            </w:r>
            <w:r w:rsidRPr="00DC0A35">
              <w:t xml:space="preserve"> to the </w:t>
            </w:r>
            <w:r w:rsidRPr="00DC0A35">
              <w:rPr>
                <w:rStyle w:val="SpecialBold"/>
              </w:rPr>
              <w:t>Assessment Guidelines</w:t>
            </w:r>
            <w:r w:rsidRPr="00DC0A35">
              <w:t xml:space="preserve">.  Further advice may also be sought from the relevant </w:t>
            </w:r>
            <w:r w:rsidRPr="00DC0A35">
              <w:rPr>
                <w:rStyle w:val="SpecialBold"/>
              </w:rPr>
              <w:t>sector booklet</w:t>
            </w:r>
            <w:r w:rsidRPr="00DC0A35">
              <w:t xml:space="preserve">. </w:t>
            </w:r>
          </w:p>
        </w:tc>
      </w:tr>
    </w:tbl>
    <w:p w:rsidR="00000000" w:rsidRPr="00DC0A35" w:rsidP="00DC0A35">
      <w:pPr>
        <w:pStyle w:val="BodyText"/>
      </w:pPr>
    </w:p>
    <w:p w:rsidR="00000000" w:rsidRPr="00DC0A35" w:rsidP="00DC0A35">
      <w:pPr>
        <w:pStyle w:val="AllowPageBreak"/>
      </w:pPr>
    </w:p>
    <w:p w:rsidR="00000000" w:rsidRPr="00DC0A35" w:rsidP="00DC0A35">
      <w:pPr>
        <w:pStyle w:val="Heading1"/>
      </w:pPr>
      <w:bookmarkStart w:id="11" w:name="O_321101"/>
      <w:bookmarkEnd w:id="11"/>
      <w:r w:rsidRPr="00DC0A35">
        <w:t>Range Statement</w:t>
      </w:r>
    </w:p>
    <w:tbl>
      <w:tblPr>
        <w:tblW w:w="0" w:type="auto"/>
        <w:tblLayout w:type="fixed"/>
        <w:tblCellMar>
          <w:left w:w="62" w:type="dxa"/>
          <w:right w:w="62" w:type="dxa"/>
        </w:tblCellMar>
        <w:tblLook w:val="0000"/>
      </w:tblPr>
      <w:tblGrid>
        <w:gridCol w:w="4500"/>
        <w:gridCol w:w="4500"/>
      </w:tblGrid>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r w:rsidRPr="00DC0A35">
              <w:rPr>
                <w:rStyle w:val="SpecialBold"/>
              </w:rPr>
              <w:t>Range of Variables</w:t>
            </w:r>
          </w:p>
          <w:p w:rsidR="00000000" w:rsidP="00DC0A35">
            <w:pPr>
              <w:pStyle w:val="BodyText"/>
              <w:rPr>
                <w:lang w:val="en-NZ"/>
              </w:rPr>
            </w:pPr>
            <w:r w:rsidRPr="00DC0A35">
              <w:t>The Range of Variables explains the contexts within which the performance and knowledge requirements of this standard may be assessed.  The scope of variables chosen in particular training and assessment requirements may depend on the work situations avail</w:t>
            </w:r>
            <w:r w:rsidRPr="00DC0A35">
              <w:t>able</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workplace information</w:t>
            </w:r>
            <w:r w:rsidRPr="00DC0A35">
              <w:t xml:space="preserve"> may be relevant when undertaking potting-on operations?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Potting-on plan, Nursery Industry Accreditation Scheme, production statistics, Standard Operating Procedures (SOPs), specifications, work notes, Material Safety Data</w:t>
            </w:r>
            <w:r w:rsidRPr="00DC0A35">
              <w:t xml:space="preserve"> Sheets (MSDS), manufacturers instructions, product labels, or verbal directions from the manager, supervisor, or senior operator.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OHS hazards</w:t>
            </w:r>
            <w:r w:rsidRPr="00DC0A35">
              <w:t xml:space="preserve"> may be identified in the work area?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OHS hazards may include use of hazardous substances, use of potting m</w:t>
            </w:r>
            <w:r w:rsidRPr="00DC0A35">
              <w:t xml:space="preserve">ix, manual handling, moving equipment, sharp hand tools, and slippery or uneven surfaces.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tools andequipment</w:t>
            </w:r>
            <w:r w:rsidRPr="00DC0A35">
              <w:t xml:space="preserve"> may be required for potting-on activities?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Tools and equipment may include potting machine, secateurs, knives and other cutting instruments</w:t>
            </w:r>
            <w:r w:rsidRPr="00DC0A35">
              <w:t xml:space="preserve">, pots and containers, bins, trailers, wheelbarrow, trolley, mechanical trolley, small tractors, shovel, trowel, plant supports, ties and rubbish bins.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hygiene practices</w:t>
            </w:r>
            <w:r w:rsidRPr="00DC0A3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Hygiene practices may include personal hygie</w:t>
            </w:r>
            <w:r w:rsidRPr="00DC0A35">
              <w:t xml:space="preserve">ne, removing and disposing of all media and organic waste from production surfaces, disinfecting production surfaces, tools and equipment; footbaths, access restrictions and handling practices, which minimise cross contamination.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personal protective</w:t>
            </w:r>
            <w:r w:rsidRPr="00DC0A35">
              <w:rPr>
                <w:rStyle w:val="SpecialBold"/>
              </w:rPr>
              <w:t xml:space="preserve"> equipment</w:t>
            </w:r>
            <w:r w:rsidRPr="00DC0A35">
              <w:t xml:space="preserve"> (PPE) may be needed to carry out potting-on activities?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Personal protective clothing and equipment may include breathing apparatus, gloves, overalls, and boots.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media components</w:t>
            </w:r>
            <w:r w:rsidRPr="00DC0A35">
              <w:t xml:space="preserve"> may be required for the preparation of growing media?</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Media components may include sand, potting mix, gravel, gro-wool, sawdust, pine bark, perlite, vermiculite, foam, peat, amendments, nutrients, ameliorants, ash, rice hulls, sphagnum moss, and commercial mixes.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media specifications</w:t>
            </w:r>
            <w:r w:rsidRPr="00DC0A35">
              <w:t xml:space="preserve"> might be relevant </w:t>
            </w:r>
            <w:r w:rsidRPr="00DC0A35">
              <w:t xml:space="preserve">to this standard?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Media specifications may include pH, drainage, aeration, salinity and nitrate levels, and water repellence.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propagatedplants</w:t>
            </w:r>
            <w:r w:rsidRPr="00DC0A35">
              <w:t xml:space="preserve"> may require potting-on procedures?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Propagated plants may include established plants with developed root </w:t>
            </w:r>
            <w:r w:rsidRPr="00DC0A35">
              <w:t xml:space="preserve">systems sown from seed, from cuttings, layering, growing on tissue cultured plants, division or splitting, spores, cloning, and budding or grafting.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How might plants be </w:t>
            </w:r>
            <w:r w:rsidRPr="00DC0A35">
              <w:rPr>
                <w:rStyle w:val="SpecialBold"/>
              </w:rPr>
              <w:t>prepared</w:t>
            </w:r>
            <w:r w:rsidRPr="00DC0A35">
              <w:t xml:space="preserve"> for potting-on?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Preparation steps may include root trimming, thinning and s</w:t>
            </w:r>
            <w:r w:rsidRPr="00DC0A35">
              <w:t xml:space="preserve">preading, and shoot trimming.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criteria can be used to </w:t>
            </w:r>
            <w:r w:rsidRPr="00DC0A35">
              <w:rPr>
                <w:rStyle w:val="SpecialBold"/>
              </w:rPr>
              <w:t>grade</w:t>
            </w:r>
            <w:r w:rsidRPr="00DC0A35">
              <w:t xml:space="preserve"> plants during the potting-on process?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Grading parameters may include size, health and potential.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types of </w:t>
            </w:r>
            <w:r w:rsidRPr="00DC0A35">
              <w:rPr>
                <w:rStyle w:val="SpecialBold"/>
              </w:rPr>
              <w:t>pots</w:t>
            </w:r>
            <w:r w:rsidRPr="00DC0A35">
              <w:t xml:space="preserve"> may be used during the potting-on process?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Pots may include cells, tu</w:t>
            </w:r>
            <w:r w:rsidRPr="00DC0A35">
              <w:t xml:space="preserve">bes, standard, squat, planter bags, and root trainers.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OHS requirements</w:t>
            </w:r>
            <w:r w:rsidRPr="00DC0A35">
              <w:t xml:space="preserve"> apply to this standard?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OHS requirements may include identifying, assessing and reporting risks; working with hazardous substances such as potting mixes and organic matter, cle</w:t>
            </w:r>
            <w:r w:rsidRPr="00DC0A35">
              <w:t xml:space="preserve">aning, maintaining and storing tools and equipment, appropriate use of personal protective equipment, safe operation of tools and equipment, correct manual handling, basic first aid; personal hygiene and reporting problems to supervisors.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type of </w:t>
            </w:r>
            <w:r w:rsidRPr="00DC0A35">
              <w:rPr>
                <w:rStyle w:val="SpecialBold"/>
              </w:rPr>
              <w:t>waste</w:t>
            </w:r>
            <w:r w:rsidRPr="00DC0A35">
              <w:t xml:space="preserve"> may be collected?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Waste may include left over media and components, pots and containers, and organic waste. </w:t>
            </w:r>
          </w:p>
        </w:tc>
      </w:tr>
      <w:tr w:rsidTr="00620A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What </w:t>
            </w:r>
            <w:r w:rsidRPr="00DC0A35">
              <w:rPr>
                <w:rStyle w:val="SpecialBold"/>
              </w:rPr>
              <w:t>records</w:t>
            </w:r>
            <w:r w:rsidRPr="00DC0A35">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Records may include number of plants potted-on, date, problems encountered, and batch numbe</w:t>
            </w:r>
            <w:r w:rsidRPr="00DC0A35">
              <w:t xml:space="preserve">r. </w:t>
            </w: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0A35">
            <w:pPr>
              <w:pStyle w:val="BodyText"/>
              <w:rPr>
                <w:lang w:val="en-NZ"/>
              </w:rPr>
            </w:pPr>
            <w:r w:rsidRPr="00DC0A35">
              <w:t xml:space="preserve">For more information on contexts, environment and variables for training and assessment, refer to the Sector Booklet. </w:t>
            </w:r>
          </w:p>
        </w:tc>
      </w:tr>
      <w:tr w:rsidTr="00620A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0A35" w:rsidP="00DC0A35">
            <w:pPr>
              <w:pStyle w:val="BodyText"/>
            </w:pPr>
          </w:p>
        </w:tc>
      </w:tr>
    </w:tbl>
    <w:p w:rsidR="00000000" w:rsidRPr="00DC0A35" w:rsidP="00DC0A35">
      <w:pPr>
        <w:pStyle w:val="BodyText"/>
      </w:pPr>
    </w:p>
    <w:p w:rsidR="00000000" w:rsidRPr="00DC0A35" w:rsidP="00DC0A35">
      <w:pPr>
        <w:pStyle w:val="AllowPageBreak"/>
      </w:pPr>
    </w:p>
    <w:p w:rsidR="00000000" w:rsidRPr="00DC0A35" w:rsidP="00DC0A35">
      <w:pPr>
        <w:pStyle w:val="Heading1"/>
      </w:pPr>
      <w:bookmarkStart w:id="12" w:name="O_321110"/>
      <w:bookmarkEnd w:id="12"/>
      <w:r w:rsidRPr="00DC0A35">
        <w:t>Unit Sector(s)</w:t>
      </w:r>
    </w:p>
    <w:p w:rsidR="00000000" w:rsidRPr="00DC0A35" w:rsidP="00DC0A35">
      <w:pPr>
        <w:pStyle w:val="BodyText"/>
      </w:pPr>
      <w:r w:rsidRPr="00DC0A35">
        <w:t>Not applicable.</w:t>
      </w:r>
    </w:p>
    <w:p w:rsidR="00000000" w:rsidRPr="00DC0A35" w:rsidP="00DC0A35"/>
    <w:sectPr w:rsidSect="00DC0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A14" w:rsidP="00620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14" w:rsidP="00DC0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0A14" w:rsidP="00DC0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0A14" w:rsidP="00DC0A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A14" w:rsidP="00620A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14" w:rsidP="00DC0A35">
    <w:pPr>
      <w:pStyle w:val="Header"/>
      <w:framePr w:wrap="around"/>
    </w:pPr>
    <w:r>
      <w:fldChar w:fldCharType="begin"/>
    </w:r>
    <w:r>
      <w:instrText xml:space="preserve"> TITLE   \* MERGEFORMAT </w:instrText>
    </w:r>
    <w:r>
      <w:fldChar w:fldCharType="separate"/>
    </w:r>
    <w:r>
      <w:t>RTF2013A Pot-on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A14" w:rsidP="00DC0A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A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A35"/>
    <w:pPr>
      <w:spacing w:before="360" w:after="60"/>
      <w:outlineLvl w:val="0"/>
    </w:pPr>
    <w:rPr>
      <w:sz w:val="32"/>
    </w:rPr>
  </w:style>
  <w:style w:type="paragraph" w:styleId="Heading2">
    <w:name w:val="heading 2"/>
    <w:basedOn w:val="HeadingBase"/>
    <w:next w:val="BodyText"/>
    <w:link w:val="Heading2Char"/>
    <w:qFormat/>
    <w:rsid w:val="00DC0A35"/>
    <w:pPr>
      <w:keepLines/>
      <w:spacing w:before="240" w:after="120"/>
      <w:outlineLvl w:val="1"/>
    </w:pPr>
    <w:rPr>
      <w:sz w:val="28"/>
      <w:szCs w:val="40"/>
    </w:rPr>
  </w:style>
  <w:style w:type="paragraph" w:styleId="Heading3">
    <w:name w:val="heading 3"/>
    <w:basedOn w:val="HeadingBase"/>
    <w:next w:val="BodyText"/>
    <w:link w:val="Heading3Char"/>
    <w:qFormat/>
    <w:rsid w:val="00DC0A35"/>
    <w:pPr>
      <w:spacing w:before="180" w:after="120"/>
      <w:outlineLvl w:val="2"/>
    </w:pPr>
    <w:rPr>
      <w:spacing w:val="-10"/>
      <w:kern w:val="32"/>
    </w:rPr>
  </w:style>
  <w:style w:type="paragraph" w:styleId="Heading4">
    <w:name w:val="heading 4"/>
    <w:basedOn w:val="HeadingBase"/>
    <w:next w:val="BodyText"/>
    <w:link w:val="Heading4Char"/>
    <w:qFormat/>
    <w:rsid w:val="00DC0A35"/>
    <w:pPr>
      <w:spacing w:before="160" w:after="120"/>
      <w:outlineLvl w:val="3"/>
    </w:pPr>
    <w:rPr>
      <w:sz w:val="22"/>
    </w:rPr>
  </w:style>
  <w:style w:type="paragraph" w:styleId="Heading5">
    <w:name w:val="heading 5"/>
    <w:basedOn w:val="HeadingBase"/>
    <w:next w:val="Normal"/>
    <w:link w:val="Heading5Char"/>
    <w:qFormat/>
    <w:rsid w:val="00DC0A35"/>
    <w:pPr>
      <w:spacing w:before="80"/>
      <w:outlineLvl w:val="4"/>
    </w:pPr>
    <w:rPr>
      <w:color w:val="918585"/>
      <w:sz w:val="20"/>
    </w:rPr>
  </w:style>
  <w:style w:type="paragraph" w:styleId="Heading6">
    <w:name w:val="heading 6"/>
    <w:basedOn w:val="HeadingBase"/>
    <w:next w:val="Normal"/>
    <w:link w:val="Heading6Char"/>
    <w:qFormat/>
    <w:rsid w:val="00DC0A35"/>
    <w:pPr>
      <w:spacing w:before="60"/>
      <w:outlineLvl w:val="5"/>
    </w:pPr>
    <w:rPr>
      <w:color w:val="918585"/>
      <w:sz w:val="20"/>
    </w:rPr>
  </w:style>
  <w:style w:type="paragraph" w:styleId="Heading7">
    <w:name w:val="heading 7"/>
    <w:basedOn w:val="Normal"/>
    <w:next w:val="Normal"/>
    <w:link w:val="Heading7Char"/>
    <w:qFormat/>
    <w:rsid w:val="00DC0A35"/>
    <w:pPr>
      <w:ind w:left="720"/>
      <w:outlineLvl w:val="6"/>
    </w:pPr>
    <w:rPr>
      <w:i/>
    </w:rPr>
  </w:style>
  <w:style w:type="paragraph" w:styleId="Heading8">
    <w:name w:val="heading 8"/>
    <w:basedOn w:val="Normal"/>
    <w:next w:val="Normal"/>
    <w:link w:val="Heading8Char"/>
    <w:qFormat/>
    <w:rsid w:val="00DC0A35"/>
    <w:pPr>
      <w:ind w:left="720"/>
      <w:outlineLvl w:val="7"/>
    </w:pPr>
    <w:rPr>
      <w:i/>
    </w:rPr>
  </w:style>
  <w:style w:type="paragraph" w:styleId="Heading9">
    <w:name w:val="heading 9"/>
    <w:basedOn w:val="Normal"/>
    <w:next w:val="Normal"/>
    <w:link w:val="Heading9Char"/>
    <w:qFormat/>
    <w:rsid w:val="00DC0A35"/>
    <w:pPr>
      <w:ind w:left="720"/>
      <w:outlineLvl w:val="8"/>
    </w:pPr>
    <w:rPr>
      <w:i/>
    </w:rPr>
  </w:style>
  <w:style w:type="character" w:default="1" w:styleId="DefaultParagraphFont">
    <w:name w:val="Default Paragraph Font"/>
    <w:uiPriority w:val="1"/>
    <w:unhideWhenUsed/>
    <w:rsid w:val="00DC0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A35"/>
  </w:style>
  <w:style w:type="character" w:customStyle="1" w:styleId="Heading1Char">
    <w:name w:val="Heading 1 Char"/>
    <w:link w:val="Heading1"/>
    <w:rsid w:val="00DC0A35"/>
    <w:rPr>
      <w:rFonts w:ascii="Times New Roman" w:eastAsia="Times New Roman" w:hAnsi="Times New Roman" w:cs="Times New Roman"/>
      <w:b/>
      <w:sz w:val="32"/>
      <w:szCs w:val="20"/>
      <w:lang w:eastAsia="en-US"/>
    </w:rPr>
  </w:style>
  <w:style w:type="paragraph" w:styleId="BodyText">
    <w:name w:val="Body Text"/>
    <w:basedOn w:val="Normal"/>
    <w:link w:val="BodyTextChar"/>
    <w:rsid w:val="00DC0A35"/>
    <w:pPr>
      <w:spacing w:before="120" w:after="120"/>
      <w:contextualSpacing/>
    </w:pPr>
    <w:rPr>
      <w:rFonts w:ascii="Times New Roman" w:hAnsi="Times New Roman"/>
      <w:sz w:val="24"/>
      <w:szCs w:val="22"/>
    </w:rPr>
  </w:style>
  <w:style w:type="character" w:customStyle="1" w:styleId="BodyTextChar">
    <w:name w:val="Body Text Char"/>
    <w:link w:val="BodyText"/>
    <w:rsid w:val="00DC0A35"/>
    <w:rPr>
      <w:rFonts w:ascii="Times New Roman" w:eastAsia="Times New Roman" w:hAnsi="Times New Roman" w:cs="Times New Roman"/>
      <w:sz w:val="24"/>
      <w:lang w:val="en-US" w:eastAsia="en-US"/>
    </w:rPr>
  </w:style>
  <w:style w:type="paragraph" w:styleId="Footer">
    <w:name w:val="footer"/>
    <w:basedOn w:val="Normal"/>
    <w:link w:val="FooterChar"/>
    <w:rsid w:val="00DC0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0A35"/>
    <w:rPr>
      <w:rFonts w:ascii="Times New Roman" w:eastAsia="Times New Roman" w:hAnsi="Times New Roman" w:cs="Times New Roman"/>
      <w:sz w:val="16"/>
      <w:lang w:val="en-US" w:eastAsia="en-US"/>
    </w:rPr>
  </w:style>
  <w:style w:type="character" w:customStyle="1" w:styleId="SpecialBold">
    <w:name w:val="Special Bold"/>
    <w:rsid w:val="00DC0A35"/>
    <w:rPr>
      <w:b/>
      <w:spacing w:val="0"/>
    </w:rPr>
  </w:style>
  <w:style w:type="paragraph" w:styleId="Header">
    <w:name w:val="header"/>
    <w:basedOn w:val="Normal"/>
    <w:link w:val="HeaderChar"/>
    <w:rsid w:val="00DC0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0A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A35"/>
    <w:pPr>
      <w:spacing w:before="240" w:after="120"/>
      <w:outlineLvl w:val="0"/>
    </w:pPr>
    <w:rPr>
      <w:rFonts w:ascii="Times New Roman" w:hAnsi="Times New Roman"/>
      <w:b/>
      <w:sz w:val="28"/>
    </w:rPr>
  </w:style>
  <w:style w:type="paragraph" w:customStyle="1" w:styleId="AllowPageBreak">
    <w:name w:val="AllowPageBreak"/>
    <w:rsid w:val="00DC0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C0A35"/>
    <w:rPr>
      <w:rFonts w:ascii="Times New Roman" w:eastAsia="Times New Roman" w:hAnsi="Times New Roman" w:cs="Times New Roman"/>
      <w:b/>
      <w:sz w:val="28"/>
      <w:szCs w:val="40"/>
      <w:lang w:eastAsia="en-US"/>
    </w:rPr>
  </w:style>
  <w:style w:type="character" w:customStyle="1" w:styleId="Heading3Char">
    <w:name w:val="Heading 3 Char"/>
    <w:link w:val="Heading3"/>
    <w:rsid w:val="00DC0A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0A35"/>
    <w:rPr>
      <w:rFonts w:ascii="Times New Roman" w:eastAsia="Times New Roman" w:hAnsi="Times New Roman" w:cs="Times New Roman"/>
      <w:b/>
      <w:szCs w:val="20"/>
      <w:lang w:eastAsia="en-US"/>
    </w:rPr>
  </w:style>
  <w:style w:type="character" w:customStyle="1" w:styleId="Heading5Char">
    <w:name w:val="Heading 5 Char"/>
    <w:link w:val="Heading5"/>
    <w:rsid w:val="00DC0A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0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A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A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A35"/>
    <w:rPr>
      <w:rFonts w:ascii="Courier New" w:eastAsia="Times New Roman" w:hAnsi="Courier New" w:cs="Times New Roman"/>
      <w:i/>
      <w:szCs w:val="20"/>
      <w:lang w:val="en-US" w:eastAsia="en-US"/>
    </w:rPr>
  </w:style>
  <w:style w:type="paragraph" w:customStyle="1" w:styleId="HeadingBase">
    <w:name w:val="Heading Base"/>
    <w:rsid w:val="00DC0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A35"/>
    <w:pPr>
      <w:tabs>
        <w:tab w:val="right" w:leader="dot" w:pos="9072"/>
      </w:tabs>
      <w:ind w:left="567"/>
    </w:pPr>
    <w:rPr>
      <w:szCs w:val="22"/>
    </w:rPr>
  </w:style>
  <w:style w:type="paragraph" w:customStyle="1" w:styleId="TOCBase">
    <w:name w:val="TOC Base"/>
    <w:rsid w:val="00DC0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A35"/>
    <w:pPr>
      <w:tabs>
        <w:tab w:val="right" w:leader="dot" w:pos="9072"/>
      </w:tabs>
      <w:spacing w:before="40" w:after="40"/>
      <w:ind w:left="284"/>
    </w:pPr>
    <w:rPr>
      <w:rFonts w:ascii="Times New Roman" w:hAnsi="Times New Roman"/>
    </w:rPr>
  </w:style>
  <w:style w:type="paragraph" w:styleId="TOC1">
    <w:name w:val="toc 1"/>
    <w:basedOn w:val="TOCBase"/>
    <w:next w:val="Normal"/>
    <w:rsid w:val="00DC0A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A35"/>
    <w:pPr>
      <w:spacing w:before="5040"/>
      <w:jc w:val="center"/>
    </w:pPr>
    <w:rPr>
      <w:sz w:val="48"/>
      <w:szCs w:val="72"/>
      <w:lang w:val="en-US"/>
    </w:rPr>
  </w:style>
  <w:style w:type="character" w:customStyle="1" w:styleId="TitleChar">
    <w:name w:val="Title Char"/>
    <w:link w:val="Title"/>
    <w:rsid w:val="00DC0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A35"/>
    <w:pPr>
      <w:tabs>
        <w:tab w:val="left" w:pos="3600"/>
        <w:tab w:val="left" w:pos="3958"/>
      </w:tabs>
    </w:pPr>
  </w:style>
  <w:style w:type="paragraph" w:styleId="List">
    <w:name w:val="List"/>
    <w:basedOn w:val="BodyText"/>
    <w:next w:val="BodyText"/>
    <w:rsid w:val="00DC0A35"/>
    <w:pPr>
      <w:tabs>
        <w:tab w:val="left" w:pos="340"/>
      </w:tabs>
      <w:spacing w:before="60" w:after="60"/>
      <w:ind w:left="340" w:hanging="340"/>
    </w:pPr>
  </w:style>
  <w:style w:type="paragraph" w:styleId="ListBullet">
    <w:name w:val="List Bullet"/>
    <w:basedOn w:val="List"/>
    <w:rsid w:val="00DC0A35"/>
    <w:pPr>
      <w:numPr>
        <w:numId w:val="11"/>
      </w:numPr>
      <w:tabs>
        <w:tab w:val="clear" w:pos="340"/>
      </w:tabs>
      <w:spacing w:before="40" w:after="40"/>
    </w:pPr>
  </w:style>
  <w:style w:type="paragraph" w:customStyle="1" w:styleId="Note">
    <w:name w:val="Note"/>
    <w:basedOn w:val="BodyText"/>
    <w:rsid w:val="00DC0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A35"/>
    <w:pPr>
      <w:framePr w:wrap="auto" w:hAnchor="text" w:y="6049"/>
    </w:pPr>
    <w:rPr>
      <w:color w:val="000000"/>
      <w:sz w:val="40"/>
    </w:rPr>
  </w:style>
  <w:style w:type="paragraph" w:customStyle="1" w:styleId="TOCTitle">
    <w:name w:val="TOCTitle"/>
    <w:basedOn w:val="Heading1"/>
    <w:rsid w:val="00DC0A35"/>
    <w:pPr>
      <w:spacing w:after="240"/>
      <w:jc w:val="center"/>
      <w:outlineLvl w:val="9"/>
    </w:pPr>
    <w:rPr>
      <w:caps/>
    </w:rPr>
  </w:style>
  <w:style w:type="paragraph" w:customStyle="1" w:styleId="Version">
    <w:name w:val="Version"/>
    <w:rsid w:val="00DC0A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A35"/>
    <w:pPr>
      <w:numPr>
        <w:numId w:val="12"/>
      </w:numPr>
      <w:tabs>
        <w:tab w:val="clear" w:pos="680"/>
      </w:tabs>
    </w:pPr>
  </w:style>
  <w:style w:type="paragraph" w:styleId="Index1">
    <w:name w:val="index 1"/>
    <w:basedOn w:val="Normal"/>
    <w:next w:val="Normal"/>
    <w:semiHidden/>
    <w:rsid w:val="00DC0A35"/>
    <w:pPr>
      <w:keepNext w:val="0"/>
      <w:tabs>
        <w:tab w:val="right" w:pos="4176"/>
      </w:tabs>
      <w:ind w:left="198" w:hanging="198"/>
    </w:pPr>
    <w:rPr>
      <w:rFonts w:ascii="Garamond" w:hAnsi="Garamond"/>
    </w:rPr>
  </w:style>
  <w:style w:type="paragraph" w:styleId="IndexHeading">
    <w:name w:val="index heading"/>
    <w:basedOn w:val="Normal"/>
    <w:next w:val="Index1"/>
    <w:semiHidden/>
    <w:rsid w:val="00DC0A35"/>
    <w:pPr>
      <w:spacing w:before="120" w:after="120"/>
    </w:pPr>
    <w:rPr>
      <w:rFonts w:ascii="Arial" w:hAnsi="Arial"/>
      <w:b/>
      <w:color w:val="918585"/>
      <w:sz w:val="24"/>
    </w:rPr>
  </w:style>
  <w:style w:type="paragraph" w:customStyle="1" w:styleId="Chapter">
    <w:name w:val="Chapter"/>
    <w:basedOn w:val="Normal"/>
    <w:rsid w:val="00DC0A35"/>
    <w:pPr>
      <w:spacing w:before="240"/>
    </w:pPr>
    <w:rPr>
      <w:rFonts w:ascii="Times New Roman" w:hAnsi="Times New Roman"/>
      <w:smallCaps/>
      <w:spacing w:val="80"/>
      <w:sz w:val="28"/>
    </w:rPr>
  </w:style>
  <w:style w:type="paragraph" w:customStyle="1" w:styleId="InChapter">
    <w:name w:val="InChapter"/>
    <w:basedOn w:val="Heading3"/>
    <w:rsid w:val="00DC0A35"/>
    <w:pPr>
      <w:spacing w:after="240"/>
      <w:outlineLvl w:val="9"/>
    </w:pPr>
    <w:rPr>
      <w:noProof/>
    </w:rPr>
  </w:style>
  <w:style w:type="paragraph" w:styleId="Index2">
    <w:name w:val="index 2"/>
    <w:basedOn w:val="Normal"/>
    <w:next w:val="Normal"/>
    <w:semiHidden/>
    <w:rsid w:val="00DC0A35"/>
    <w:pPr>
      <w:tabs>
        <w:tab w:val="right" w:pos="4176"/>
      </w:tabs>
      <w:ind w:left="568" w:hanging="284"/>
    </w:pPr>
    <w:rPr>
      <w:rFonts w:ascii="Garamond" w:hAnsi="Garamond"/>
    </w:rPr>
  </w:style>
  <w:style w:type="paragraph" w:customStyle="1" w:styleId="Byline">
    <w:name w:val="Byline"/>
    <w:rsid w:val="00DC0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A35"/>
    <w:pPr>
      <w:tabs>
        <w:tab w:val="clear" w:pos="3600"/>
        <w:tab w:val="clear" w:pos="3958"/>
      </w:tabs>
      <w:jc w:val="right"/>
    </w:pPr>
  </w:style>
  <w:style w:type="character" w:styleId="Emphasis">
    <w:name w:val="Emphasis"/>
    <w:qFormat/>
    <w:rsid w:val="00DC0A35"/>
    <w:rPr>
      <w:i/>
    </w:rPr>
  </w:style>
  <w:style w:type="paragraph" w:styleId="Caption">
    <w:name w:val="caption"/>
    <w:basedOn w:val="BodyText"/>
    <w:next w:val="Normal"/>
    <w:qFormat/>
    <w:rsid w:val="00DC0A35"/>
    <w:pPr>
      <w:framePr w:w="2268" w:hSpace="181" w:vSpace="181" w:wrap="around" w:vAnchor="text" w:hAnchor="page" w:x="1135" w:y="285" w:anchorLock="1"/>
    </w:pPr>
    <w:rPr>
      <w:i/>
    </w:rPr>
  </w:style>
  <w:style w:type="paragraph" w:customStyle="1" w:styleId="MiniTOCTitle">
    <w:name w:val="MiniTOCTitle"/>
    <w:basedOn w:val="Heading4"/>
    <w:rsid w:val="00DC0A35"/>
    <w:pPr>
      <w:spacing w:before="240"/>
      <w:outlineLvl w:val="9"/>
    </w:pPr>
    <w:rPr>
      <w:noProof/>
      <w:sz w:val="24"/>
    </w:rPr>
  </w:style>
  <w:style w:type="paragraph" w:customStyle="1" w:styleId="MiniTOCItem">
    <w:name w:val="MiniTOCItem"/>
    <w:basedOn w:val="ListBullet"/>
    <w:rsid w:val="00DC0A35"/>
    <w:pPr>
      <w:numPr>
        <w:numId w:val="0"/>
      </w:numPr>
      <w:tabs>
        <w:tab w:val="right" w:leader="dot" w:pos="6521"/>
      </w:tabs>
      <w:spacing w:before="0" w:after="0"/>
    </w:pPr>
  </w:style>
  <w:style w:type="paragraph" w:customStyle="1" w:styleId="TOFTitle">
    <w:name w:val="TOFTitle"/>
    <w:basedOn w:val="TOCTitle"/>
    <w:rsid w:val="00DC0A35"/>
  </w:style>
  <w:style w:type="paragraph" w:styleId="TableofFigures">
    <w:name w:val="table of figures"/>
    <w:basedOn w:val="Normal"/>
    <w:next w:val="Normal"/>
    <w:semiHidden/>
    <w:rsid w:val="00DC0A35"/>
    <w:pPr>
      <w:tabs>
        <w:tab w:val="right" w:leader="dot" w:pos="9072"/>
      </w:tabs>
      <w:ind w:left="970" w:hanging="403"/>
    </w:pPr>
    <w:rPr>
      <w:rFonts w:ascii="Times New Roman" w:hAnsi="Times New Roman"/>
      <w:b/>
    </w:rPr>
  </w:style>
  <w:style w:type="paragraph" w:styleId="ListNumber">
    <w:name w:val="List Number"/>
    <w:basedOn w:val="List"/>
    <w:rsid w:val="00DC0A35"/>
    <w:pPr>
      <w:numPr>
        <w:numId w:val="9"/>
      </w:numPr>
    </w:pPr>
  </w:style>
  <w:style w:type="character" w:customStyle="1" w:styleId="WingdingSymbols">
    <w:name w:val="Wingding Symbols"/>
    <w:rsid w:val="00DC0A35"/>
    <w:rPr>
      <w:rFonts w:ascii="Wingdings" w:hAnsi="Wingdings"/>
    </w:rPr>
  </w:style>
  <w:style w:type="paragraph" w:customStyle="1" w:styleId="TableHeading">
    <w:name w:val="Table Heading"/>
    <w:basedOn w:val="HeadingBase"/>
    <w:rsid w:val="00DC0A35"/>
    <w:pPr>
      <w:keepLines/>
      <w:pBdr>
        <w:bottom w:val="single" w:sz="6" w:space="1" w:color="918585"/>
      </w:pBdr>
      <w:spacing w:before="240"/>
    </w:pPr>
  </w:style>
  <w:style w:type="character" w:customStyle="1" w:styleId="HotSpot">
    <w:name w:val="HotSpot"/>
    <w:rsid w:val="00DC0A35"/>
    <w:rPr>
      <w:color w:val="0033CC"/>
      <w:u w:val="none"/>
    </w:rPr>
  </w:style>
  <w:style w:type="paragraph" w:customStyle="1" w:styleId="BodyTextRight">
    <w:name w:val="Body Text Right"/>
    <w:basedOn w:val="BodyText"/>
    <w:rsid w:val="00DC0A35"/>
    <w:pPr>
      <w:spacing w:before="0" w:after="0"/>
      <w:jc w:val="right"/>
    </w:pPr>
  </w:style>
  <w:style w:type="paragraph" w:styleId="Index3">
    <w:name w:val="index 3"/>
    <w:basedOn w:val="ListNumber2"/>
    <w:next w:val="Normal"/>
    <w:semiHidden/>
    <w:rsid w:val="00DC0A35"/>
    <w:pPr>
      <w:numPr>
        <w:numId w:val="0"/>
      </w:numPr>
      <w:tabs>
        <w:tab w:val="right" w:leader="dot" w:pos="4176"/>
      </w:tabs>
    </w:pPr>
  </w:style>
  <w:style w:type="paragraph" w:styleId="ListNumber2">
    <w:name w:val="List Number 2"/>
    <w:basedOn w:val="List2"/>
    <w:rsid w:val="00DC0A35"/>
    <w:pPr>
      <w:numPr>
        <w:numId w:val="8"/>
      </w:numPr>
      <w:tabs>
        <w:tab w:val="clear" w:pos="1060"/>
      </w:tabs>
    </w:pPr>
  </w:style>
  <w:style w:type="paragraph" w:customStyle="1" w:styleId="MarginNote">
    <w:name w:val="Margin Note"/>
    <w:basedOn w:val="BodyText"/>
    <w:rsid w:val="00DC0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0A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A35"/>
    <w:rPr>
      <w:sz w:val="32"/>
    </w:rPr>
  </w:style>
  <w:style w:type="paragraph" w:customStyle="1" w:styleId="HeadingProcedure">
    <w:name w:val="Heading Procedure"/>
    <w:basedOn w:val="HeadingBase"/>
    <w:next w:val="Normal"/>
    <w:rsid w:val="00DC0A35"/>
    <w:pPr>
      <w:tabs>
        <w:tab w:val="left" w:pos="0"/>
      </w:tabs>
      <w:spacing w:before="120" w:after="60"/>
    </w:pPr>
    <w:rPr>
      <w:i/>
      <w:color w:val="918585"/>
      <w:sz w:val="22"/>
    </w:rPr>
  </w:style>
  <w:style w:type="paragraph" w:customStyle="1" w:styleId="TableBodyText">
    <w:name w:val="Table Body Text"/>
    <w:basedOn w:val="BodyText"/>
    <w:rsid w:val="00DC0A35"/>
    <w:pPr>
      <w:spacing w:before="60" w:after="60"/>
    </w:pPr>
  </w:style>
  <w:style w:type="paragraph" w:styleId="ListContinue">
    <w:name w:val="List Continue"/>
    <w:basedOn w:val="List"/>
    <w:rsid w:val="00DC0A35"/>
    <w:pPr>
      <w:ind w:firstLine="0"/>
    </w:pPr>
  </w:style>
  <w:style w:type="paragraph" w:customStyle="1" w:styleId="ListNote">
    <w:name w:val="List Note"/>
    <w:basedOn w:val="List"/>
    <w:rsid w:val="00DC0A35"/>
    <w:pPr>
      <w:pBdr>
        <w:top w:val="single" w:sz="6" w:space="2" w:color="918585"/>
        <w:bottom w:val="single" w:sz="6" w:space="2" w:color="918585"/>
      </w:pBdr>
      <w:tabs>
        <w:tab w:val="left" w:pos="1021"/>
      </w:tabs>
      <w:ind w:firstLine="0"/>
    </w:pPr>
  </w:style>
  <w:style w:type="paragraph" w:customStyle="1" w:styleId="Warning">
    <w:name w:val="Warning"/>
    <w:basedOn w:val="BodyText"/>
    <w:rsid w:val="00DC0A35"/>
    <w:pPr>
      <w:shd w:val="clear" w:color="auto" w:fill="D9D9D9"/>
      <w:tabs>
        <w:tab w:val="left" w:pos="992"/>
      </w:tabs>
      <w:ind w:left="119" w:right="119"/>
    </w:pPr>
    <w:rPr>
      <w:sz w:val="20"/>
    </w:rPr>
  </w:style>
  <w:style w:type="paragraph" w:customStyle="1" w:styleId="MarginIcons">
    <w:name w:val="Margin Icons"/>
    <w:basedOn w:val="BodyText"/>
    <w:rsid w:val="00DC0A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0A35"/>
    <w:rPr>
      <w:rFonts w:ascii="Courier New" w:hAnsi="Courier New"/>
    </w:rPr>
  </w:style>
  <w:style w:type="paragraph" w:customStyle="1" w:styleId="NoteBullet">
    <w:name w:val="Note Bullet"/>
    <w:basedOn w:val="Note"/>
    <w:rsid w:val="00DC0A35"/>
    <w:pPr>
      <w:tabs>
        <w:tab w:val="clear" w:pos="680"/>
      </w:tabs>
      <w:spacing w:before="60" w:after="60"/>
    </w:pPr>
  </w:style>
  <w:style w:type="paragraph" w:customStyle="1" w:styleId="SubHeading2">
    <w:name w:val="SubHeading2"/>
    <w:basedOn w:val="HeadingBase"/>
    <w:rsid w:val="00DC0A35"/>
    <w:pPr>
      <w:spacing w:before="240" w:after="60"/>
    </w:pPr>
    <w:rPr>
      <w:sz w:val="20"/>
    </w:rPr>
  </w:style>
  <w:style w:type="paragraph" w:customStyle="1" w:styleId="SubHeading1">
    <w:name w:val="SubHeading1"/>
    <w:basedOn w:val="HeadingBase"/>
    <w:rsid w:val="00DC0A35"/>
    <w:pPr>
      <w:spacing w:before="240" w:after="60"/>
    </w:pPr>
    <w:rPr>
      <w:color w:val="918585"/>
      <w:sz w:val="22"/>
    </w:rPr>
  </w:style>
  <w:style w:type="paragraph" w:customStyle="1" w:styleId="SideHeading">
    <w:name w:val="Side Heading"/>
    <w:basedOn w:val="HeadingBase"/>
    <w:rsid w:val="00DC0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A35"/>
    <w:pPr>
      <w:numPr>
        <w:numId w:val="10"/>
      </w:numPr>
    </w:pPr>
  </w:style>
  <w:style w:type="paragraph" w:styleId="PlainText">
    <w:name w:val="Plain Text"/>
    <w:basedOn w:val="Normal"/>
    <w:link w:val="PlainTextChar"/>
    <w:rsid w:val="00DC0A35"/>
    <w:rPr>
      <w:sz w:val="20"/>
    </w:rPr>
  </w:style>
  <w:style w:type="character" w:customStyle="1" w:styleId="PlainTextChar">
    <w:name w:val="Plain Text Char"/>
    <w:basedOn w:val="DefaultParagraphFont"/>
    <w:link w:val="PlainText"/>
    <w:rsid w:val="00DC0A35"/>
    <w:rPr>
      <w:rFonts w:ascii="Courier New" w:eastAsia="Times New Roman" w:hAnsi="Courier New" w:cs="Times New Roman"/>
      <w:sz w:val="20"/>
      <w:szCs w:val="20"/>
      <w:lang w:val="en-US" w:eastAsia="en-US"/>
    </w:rPr>
  </w:style>
  <w:style w:type="character" w:customStyle="1" w:styleId="MenuOption">
    <w:name w:val="Menu Option"/>
    <w:rsid w:val="00DC0A35"/>
    <w:rPr>
      <w:b/>
      <w:smallCaps/>
    </w:rPr>
  </w:style>
  <w:style w:type="paragraph" w:customStyle="1" w:styleId="TableListNumber">
    <w:name w:val="Table List Number"/>
    <w:basedOn w:val="ListNumber"/>
    <w:rsid w:val="00DC0A35"/>
    <w:pPr>
      <w:numPr>
        <w:numId w:val="0"/>
      </w:numPr>
    </w:pPr>
  </w:style>
  <w:style w:type="paragraph" w:styleId="TOC4">
    <w:name w:val="toc 4"/>
    <w:basedOn w:val="TOCBase"/>
    <w:next w:val="Normal"/>
    <w:semiHidden/>
    <w:rsid w:val="00DC0A35"/>
    <w:pPr>
      <w:tabs>
        <w:tab w:val="right" w:leader="dot" w:pos="9071"/>
      </w:tabs>
      <w:ind w:left="1701"/>
    </w:pPr>
  </w:style>
  <w:style w:type="paragraph" w:customStyle="1" w:styleId="ListAlpha">
    <w:name w:val="List Alpha"/>
    <w:basedOn w:val="List"/>
    <w:rsid w:val="00DC0A35"/>
    <w:pPr>
      <w:numPr>
        <w:numId w:val="7"/>
      </w:numPr>
    </w:pPr>
  </w:style>
  <w:style w:type="paragraph" w:customStyle="1" w:styleId="ListAlpha2">
    <w:name w:val="List Alpha 2"/>
    <w:basedOn w:val="List2"/>
    <w:rsid w:val="00DC0A35"/>
    <w:pPr>
      <w:numPr>
        <w:numId w:val="6"/>
      </w:numPr>
    </w:pPr>
  </w:style>
  <w:style w:type="paragraph" w:styleId="List2">
    <w:name w:val="List 2"/>
    <w:basedOn w:val="BodyText"/>
    <w:rsid w:val="00DC0A35"/>
    <w:pPr>
      <w:tabs>
        <w:tab w:val="left" w:pos="680"/>
      </w:tabs>
      <w:spacing w:before="60" w:after="60"/>
      <w:ind w:left="680" w:hanging="340"/>
    </w:pPr>
  </w:style>
  <w:style w:type="paragraph" w:styleId="List3">
    <w:name w:val="List 3"/>
    <w:basedOn w:val="BodyText"/>
    <w:rsid w:val="00DC0A35"/>
    <w:pPr>
      <w:tabs>
        <w:tab w:val="left" w:pos="1021"/>
      </w:tabs>
      <w:spacing w:before="60" w:after="60"/>
      <w:ind w:left="1020" w:hanging="340"/>
    </w:pPr>
  </w:style>
  <w:style w:type="paragraph" w:styleId="List4">
    <w:name w:val="List 4"/>
    <w:basedOn w:val="BodyText"/>
    <w:rsid w:val="00DC0A35"/>
    <w:pPr>
      <w:tabs>
        <w:tab w:val="left" w:pos="1361"/>
      </w:tabs>
      <w:spacing w:before="60" w:after="60"/>
      <w:ind w:left="1361" w:hanging="340"/>
    </w:pPr>
  </w:style>
  <w:style w:type="paragraph" w:styleId="List5">
    <w:name w:val="List 5"/>
    <w:basedOn w:val="BodyText"/>
    <w:rsid w:val="00DC0A35"/>
    <w:pPr>
      <w:tabs>
        <w:tab w:val="left" w:pos="1701"/>
      </w:tabs>
      <w:spacing w:before="60" w:after="60"/>
      <w:ind w:left="1701" w:hanging="340"/>
    </w:pPr>
  </w:style>
  <w:style w:type="paragraph" w:styleId="ListBullet3">
    <w:name w:val="List Bullet 3"/>
    <w:basedOn w:val="List3"/>
    <w:rsid w:val="00DC0A35"/>
    <w:pPr>
      <w:numPr>
        <w:numId w:val="13"/>
      </w:numPr>
      <w:tabs>
        <w:tab w:val="clear" w:pos="1021"/>
      </w:tabs>
      <w:ind w:left="1037" w:hanging="357"/>
    </w:pPr>
  </w:style>
  <w:style w:type="paragraph" w:styleId="ListBullet4">
    <w:name w:val="List Bullet 4"/>
    <w:basedOn w:val="List4"/>
    <w:rsid w:val="00DC0A35"/>
    <w:pPr>
      <w:numPr>
        <w:numId w:val="1"/>
      </w:numPr>
    </w:pPr>
  </w:style>
  <w:style w:type="paragraph" w:styleId="ListBullet5">
    <w:name w:val="List Bullet 5"/>
    <w:basedOn w:val="List5"/>
    <w:rsid w:val="00DC0A35"/>
    <w:pPr>
      <w:numPr>
        <w:numId w:val="2"/>
      </w:numPr>
    </w:pPr>
  </w:style>
  <w:style w:type="paragraph" w:styleId="ListContinue2">
    <w:name w:val="List Continue 2"/>
    <w:basedOn w:val="List2"/>
    <w:rsid w:val="00DC0A35"/>
    <w:pPr>
      <w:ind w:firstLine="0"/>
    </w:pPr>
  </w:style>
  <w:style w:type="paragraph" w:styleId="ListContinue3">
    <w:name w:val="List Continue 3"/>
    <w:basedOn w:val="List3"/>
    <w:rsid w:val="00DC0A35"/>
    <w:pPr>
      <w:ind w:left="1021" w:firstLine="0"/>
    </w:pPr>
  </w:style>
  <w:style w:type="paragraph" w:styleId="ListContinue4">
    <w:name w:val="List Continue 4"/>
    <w:basedOn w:val="List4"/>
    <w:rsid w:val="00DC0A35"/>
    <w:pPr>
      <w:ind w:firstLine="0"/>
    </w:pPr>
  </w:style>
  <w:style w:type="paragraph" w:styleId="ListContinue5">
    <w:name w:val="List Continue 5"/>
    <w:basedOn w:val="List5"/>
    <w:rsid w:val="00DC0A35"/>
    <w:pPr>
      <w:ind w:firstLine="0"/>
    </w:pPr>
  </w:style>
  <w:style w:type="paragraph" w:styleId="ListNumber3">
    <w:name w:val="List Number 3"/>
    <w:basedOn w:val="List3"/>
    <w:rsid w:val="00DC0A35"/>
    <w:pPr>
      <w:numPr>
        <w:numId w:val="3"/>
      </w:numPr>
    </w:pPr>
  </w:style>
  <w:style w:type="paragraph" w:styleId="ListNumber4">
    <w:name w:val="List Number 4"/>
    <w:basedOn w:val="List4"/>
    <w:rsid w:val="00DC0A35"/>
    <w:pPr>
      <w:numPr>
        <w:numId w:val="4"/>
      </w:numPr>
    </w:pPr>
  </w:style>
  <w:style w:type="paragraph" w:styleId="ListNumber5">
    <w:name w:val="List Number 5"/>
    <w:basedOn w:val="List5"/>
    <w:rsid w:val="00DC0A35"/>
    <w:pPr>
      <w:numPr>
        <w:numId w:val="5"/>
      </w:numPr>
    </w:pPr>
  </w:style>
  <w:style w:type="paragraph" w:styleId="BlockText">
    <w:name w:val="Block Text"/>
    <w:basedOn w:val="Normal"/>
    <w:rsid w:val="00DC0A35"/>
    <w:pPr>
      <w:spacing w:after="120"/>
      <w:ind w:left="1440" w:right="1440"/>
    </w:pPr>
  </w:style>
  <w:style w:type="character" w:customStyle="1" w:styleId="Subscript">
    <w:name w:val="Subscript"/>
    <w:rsid w:val="00DC0A35"/>
    <w:rPr>
      <w:sz w:val="16"/>
      <w:vertAlign w:val="subscript"/>
    </w:rPr>
  </w:style>
  <w:style w:type="character" w:customStyle="1" w:styleId="Superscript">
    <w:name w:val="Superscript"/>
    <w:rsid w:val="00DC0A35"/>
    <w:rPr>
      <w:sz w:val="16"/>
      <w:vertAlign w:val="superscript"/>
    </w:rPr>
  </w:style>
  <w:style w:type="character" w:customStyle="1" w:styleId="Symbols">
    <w:name w:val="Symbols"/>
    <w:rsid w:val="00DC0A35"/>
    <w:rPr>
      <w:rFonts w:ascii="Symbol" w:hAnsi="Symbol"/>
    </w:rPr>
  </w:style>
  <w:style w:type="character" w:customStyle="1" w:styleId="MenuOptions">
    <w:name w:val="Menu Options"/>
    <w:rsid w:val="00DC0A35"/>
    <w:rPr>
      <w:rFonts w:ascii="Arial Narrow" w:hAnsi="Arial Narrow"/>
      <w:smallCaps/>
    </w:rPr>
  </w:style>
  <w:style w:type="character" w:customStyle="1" w:styleId="Buttons">
    <w:name w:val="Buttons"/>
    <w:rsid w:val="00DC0A35"/>
    <w:rPr>
      <w:b/>
    </w:rPr>
  </w:style>
  <w:style w:type="character" w:customStyle="1" w:styleId="Underlined">
    <w:name w:val="Underlined"/>
    <w:rsid w:val="00DC0A35"/>
    <w:rPr>
      <w:u w:val="single"/>
    </w:rPr>
  </w:style>
  <w:style w:type="paragraph" w:customStyle="1" w:styleId="TableBodyTextRight">
    <w:name w:val="Table Body Text Right"/>
    <w:basedOn w:val="TableBodyText"/>
    <w:rsid w:val="00DC0A35"/>
    <w:pPr>
      <w:widowControl w:val="0"/>
      <w:autoSpaceDE w:val="0"/>
      <w:autoSpaceDN w:val="0"/>
      <w:adjustRightInd w:val="0"/>
      <w:jc w:val="right"/>
    </w:pPr>
    <w:rPr>
      <w:rFonts w:cs="Arial"/>
      <w:szCs w:val="18"/>
    </w:rPr>
  </w:style>
  <w:style w:type="paragraph" w:customStyle="1" w:styleId="CopyrightText">
    <w:name w:val="Copyright Text"/>
    <w:basedOn w:val="BodyText"/>
    <w:rsid w:val="00DC0A35"/>
    <w:rPr>
      <w:sz w:val="18"/>
    </w:rPr>
  </w:style>
  <w:style w:type="paragraph" w:customStyle="1" w:styleId="BodySmallRight">
    <w:name w:val="Body Small Right"/>
    <w:basedOn w:val="BodyTextRight"/>
    <w:rsid w:val="00DC0A35"/>
    <w:rPr>
      <w:sz w:val="18"/>
      <w:szCs w:val="18"/>
    </w:rPr>
  </w:style>
  <w:style w:type="paragraph" w:customStyle="1" w:styleId="MarginEdition">
    <w:name w:val="Margin Edition"/>
    <w:basedOn w:val="MarginNote"/>
    <w:rsid w:val="00DC0A35"/>
    <w:pPr>
      <w:spacing w:before="0" w:after="0"/>
    </w:pPr>
    <w:rPr>
      <w:rFonts w:ascii="Times New Roman" w:hAnsi="Times New Roman"/>
      <w:color w:val="999999"/>
    </w:rPr>
  </w:style>
  <w:style w:type="paragraph" w:customStyle="1" w:styleId="Spacer">
    <w:name w:val="Spacer"/>
    <w:basedOn w:val="Normal"/>
    <w:rsid w:val="00DC0A35"/>
    <w:rPr>
      <w:sz w:val="2"/>
      <w:szCs w:val="2"/>
    </w:rPr>
  </w:style>
  <w:style w:type="character" w:customStyle="1" w:styleId="Small">
    <w:name w:val="Small"/>
    <w:rsid w:val="00DC0A35"/>
    <w:rPr>
      <w:sz w:val="16"/>
    </w:rPr>
  </w:style>
  <w:style w:type="paragraph" w:customStyle="1" w:styleId="WideTable">
    <w:name w:val="Wide Table"/>
    <w:basedOn w:val="Normal"/>
    <w:rsid w:val="00DC0A35"/>
    <w:pPr>
      <w:ind w:left="-1418"/>
    </w:pPr>
    <w:rPr>
      <w:sz w:val="2"/>
      <w:szCs w:val="2"/>
    </w:rPr>
  </w:style>
  <w:style w:type="character" w:styleId="PageNumber">
    <w:name w:val="page number"/>
    <w:rsid w:val="00DC0A35"/>
  </w:style>
  <w:style w:type="paragraph" w:styleId="Quote">
    <w:name w:val="Quote"/>
    <w:basedOn w:val="Heading1"/>
    <w:link w:val="QuoteChar"/>
    <w:qFormat/>
    <w:rsid w:val="00DC0A35"/>
    <w:rPr>
      <w:b w:val="0"/>
      <w:sz w:val="72"/>
      <w:szCs w:val="72"/>
      <w:lang w:val="en-NZ"/>
    </w:rPr>
  </w:style>
  <w:style w:type="character" w:customStyle="1" w:styleId="QuoteChar">
    <w:name w:val="Quote Char"/>
    <w:link w:val="Quote"/>
    <w:rsid w:val="00DC0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A35"/>
    <w:pPr>
      <w:pageBreakBefore/>
    </w:pPr>
  </w:style>
  <w:style w:type="paragraph" w:customStyle="1" w:styleId="Border">
    <w:name w:val="Border"/>
    <w:basedOn w:val="Normal"/>
    <w:qFormat/>
    <w:rsid w:val="00DC0A35"/>
    <w:pPr>
      <w:pBdr>
        <w:top w:val="single" w:sz="18" w:space="1" w:color="auto"/>
      </w:pBdr>
    </w:pPr>
    <w:rPr>
      <w:rFonts w:ascii="Times New Roman" w:hAnsi="Times New Roman"/>
      <w:color w:val="FFFFFF"/>
      <w:sz w:val="2"/>
    </w:rPr>
  </w:style>
  <w:style w:type="character" w:styleId="IntenseEmphasis">
    <w:name w:val="Intense Emphasis"/>
    <w:uiPriority w:val="21"/>
    <w:qFormat/>
    <w:rsid w:val="00DC0A35"/>
    <w:rPr>
      <w:b/>
      <w:bCs/>
      <w:i/>
      <w:iCs/>
      <w:color w:val="auto"/>
    </w:rPr>
  </w:style>
  <w:style w:type="paragraph" w:styleId="IntenseQuote">
    <w:name w:val="Intense Quote"/>
    <w:basedOn w:val="Normal"/>
    <w:next w:val="Normal"/>
    <w:link w:val="IntenseQuoteChar"/>
    <w:uiPriority w:val="30"/>
    <w:qFormat/>
    <w:rsid w:val="00DC0A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0A35"/>
    <w:rPr>
      <w:rFonts w:ascii="Courier New" w:eastAsia="Times New Roman" w:hAnsi="Courier New" w:cs="Times New Roman"/>
      <w:b/>
      <w:bCs/>
      <w:i/>
      <w:iCs/>
      <w:szCs w:val="20"/>
      <w:lang w:val="en-US" w:eastAsia="en-US"/>
    </w:rPr>
  </w:style>
  <w:style w:type="character" w:styleId="SubtleReference">
    <w:name w:val="Subtle Reference"/>
    <w:uiPriority w:val="31"/>
    <w:qFormat/>
    <w:rsid w:val="00DC0A35"/>
    <w:rPr>
      <w:smallCaps/>
      <w:color w:val="auto"/>
      <w:u w:val="single"/>
    </w:rPr>
  </w:style>
  <w:style w:type="character" w:styleId="IntenseReference">
    <w:name w:val="Intense Reference"/>
    <w:uiPriority w:val="32"/>
    <w:qFormat/>
    <w:rsid w:val="00DC0A35"/>
    <w:rPr>
      <w:b/>
      <w:bCs/>
      <w:smallCaps/>
      <w:color w:val="auto"/>
      <w:spacing w:val="5"/>
      <w:u w:val="single"/>
    </w:rPr>
  </w:style>
  <w:style w:type="paragraph" w:customStyle="1" w:styleId="2ColumnHeading">
    <w:name w:val="2Column Heading"/>
    <w:basedOn w:val="BodyText"/>
    <w:qFormat/>
    <w:rsid w:val="00DC0A35"/>
    <w:pPr>
      <w:spacing w:after="60"/>
      <w:ind w:left="-2268"/>
    </w:pPr>
    <w:rPr>
      <w:b/>
    </w:rPr>
  </w:style>
  <w:style w:type="paragraph" w:customStyle="1" w:styleId="Heading1TOC">
    <w:name w:val="Heading1 TOC"/>
    <w:basedOn w:val="Normal"/>
    <w:qFormat/>
    <w:rsid w:val="00DC0A35"/>
    <w:pPr>
      <w:spacing w:before="240" w:after="120"/>
    </w:pPr>
    <w:rPr>
      <w:rFonts w:ascii="Times New Roman" w:hAnsi="Times New Roman"/>
      <w:b/>
      <w:sz w:val="32"/>
    </w:rPr>
  </w:style>
  <w:style w:type="paragraph" w:customStyle="1" w:styleId="Heading2TOC">
    <w:name w:val="Heading2 TOC"/>
    <w:basedOn w:val="Normal"/>
    <w:qFormat/>
    <w:rsid w:val="00DC0A35"/>
    <w:pPr>
      <w:spacing w:before="240" w:after="60"/>
    </w:pPr>
    <w:rPr>
      <w:rFonts w:ascii="Times New Roman" w:hAnsi="Times New Roman"/>
      <w:b/>
      <w:sz w:val="28"/>
    </w:rPr>
  </w:style>
  <w:style w:type="character" w:customStyle="1" w:styleId="Underline">
    <w:name w:val="Underline"/>
    <w:qFormat/>
    <w:rsid w:val="00DC0A35"/>
    <w:rPr>
      <w:u w:val="single"/>
    </w:rPr>
  </w:style>
  <w:style w:type="character" w:customStyle="1" w:styleId="BoldandItalics">
    <w:name w:val="Bold and Italics"/>
    <w:qFormat/>
    <w:rsid w:val="00DC0A35"/>
    <w:rPr>
      <w:b/>
      <w:i/>
      <w:u w:val="none"/>
    </w:rPr>
  </w:style>
  <w:style w:type="paragraph" w:styleId="BalloonText">
    <w:name w:val="Balloon Text"/>
    <w:basedOn w:val="Normal"/>
    <w:link w:val="BalloonTextChar"/>
    <w:rsid w:val="00DC0A35"/>
    <w:rPr>
      <w:rFonts w:ascii="Tahoma" w:hAnsi="Tahoma" w:cs="Tahoma"/>
      <w:sz w:val="16"/>
      <w:szCs w:val="16"/>
    </w:rPr>
  </w:style>
  <w:style w:type="character" w:customStyle="1" w:styleId="BalloonTextChar">
    <w:name w:val="Balloon Text Char"/>
    <w:link w:val="BalloonText"/>
    <w:rsid w:val="00DC0A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A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0A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Words>
  <Characters>9276</Characters>
  <Application>Microsoft Office Word</Application>
  <DocSecurity>0</DocSecurity>
  <Lines>353</Lines>
  <Paragraphs>127</Paragraphs>
  <ScaleCrop>false</ScaleCrop>
  <Company>Author-it Software Corporation Ltd.</Company>
  <LinksUpToDate>false</LinksUpToDate>
  <CharactersWithSpaces>10777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RTF2013A Pot-on plants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2012-05-27T07:44:00Z</dcterms:created>
  <dcterms:modified xsi:type="dcterms:W3CDTF">2012-05-27T07:44:00Z</dcterms:modified>
</cp:coreProperties>
</file>