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87A" w:rsidP="0095487A">
      <w:pPr>
        <w:pStyle w:val="Title"/>
      </w:pPr>
      <w:r>
        <w:fldChar w:fldCharType="begin"/>
      </w:r>
      <w:r>
        <w:instrText xml:space="preserve"> TITLE   \* MERGEFORMAT </w:instrText>
      </w:r>
      <w:r>
        <w:fldChar w:fldCharType="separate"/>
      </w:r>
      <w:r>
        <w:t>RTE5920A Negotiate and monitor contracts/commercial agreements</w:t>
      </w:r>
      <w:r>
        <w:fldChar w:fldCharType="end"/>
      </w:r>
    </w:p>
    <w:p w:rsidR="0095487A" w:rsidP="0095487A">
      <w:pPr>
        <w:pStyle w:val="Version"/>
        <w:sectPr w:rsidSect="001431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3146" w:rsidP="00143146">
      <w:pPr>
        <w:pStyle w:val="SuperHeading"/>
      </w:pPr>
      <w:r w:rsidRPr="00143146">
        <w:t>RTE5920A Negotiate and monitor contracts/commercial agreements</w:t>
      </w:r>
    </w:p>
    <w:p w:rsidR="00000000" w:rsidRPr="00143146" w:rsidP="00143146">
      <w:pPr>
        <w:pStyle w:val="Heading1"/>
      </w:pPr>
      <w:bookmarkStart w:id="1" w:name="O_319636"/>
      <w:bookmarkEnd w:id="1"/>
      <w:r w:rsidRPr="00143146">
        <w:t>Modification History</w:t>
      </w:r>
    </w:p>
    <w:p w:rsidR="00000000" w:rsidRPr="00143146" w:rsidP="00143146">
      <w:pPr>
        <w:pStyle w:val="BodyText"/>
      </w:pPr>
      <w:r w:rsidRPr="00143146">
        <w:t>Not applicable.</w:t>
      </w:r>
    </w:p>
    <w:p w:rsidR="00000000" w:rsidRPr="00143146" w:rsidP="00143146">
      <w:pPr>
        <w:pStyle w:val="AllowPageBreak"/>
      </w:pPr>
    </w:p>
    <w:p w:rsidR="00000000" w:rsidRPr="00143146" w:rsidP="00143146">
      <w:pPr>
        <w:pStyle w:val="Heading1"/>
      </w:pPr>
      <w:bookmarkStart w:id="2" w:name="O_319645"/>
      <w:bookmarkEnd w:id="2"/>
      <w:r w:rsidRPr="00143146">
        <w:t>Unit Descriptor</w:t>
      </w:r>
    </w:p>
    <w:p w:rsidR="00000000" w:rsidRPr="00143146" w:rsidP="00143146">
      <w:pPr>
        <w:pStyle w:val="BodyText"/>
      </w:pPr>
      <w:r w:rsidRPr="00143146">
        <w:t>This competency standard covers the process of negotiating contracts and/or commercial ag</w:t>
      </w:r>
      <w:r w:rsidRPr="00143146">
        <w:t>reements with clients and others.  It requires the ability to establish agreements with sources external to the enterprise, complete contract documentation, and monitor the performance of contracts.  Negotiating contracts/commercial agreements with clients</w:t>
      </w:r>
      <w:r w:rsidRPr="00143146">
        <w:t xml:space="preserve"> and others requires knowledge of contract/commercial law, formulation and negotiation, enterprise business policies and plans including procedures for maintenance of confidentiality, and selection and appropriate application of technology, information sys</w:t>
      </w:r>
      <w:r w:rsidRPr="00143146">
        <w:t>tems and procedures.</w:t>
      </w:r>
    </w:p>
    <w:p w:rsidR="00000000" w:rsidRPr="00143146" w:rsidP="00143146">
      <w:pPr>
        <w:pStyle w:val="AllowPageBreak"/>
      </w:pPr>
    </w:p>
    <w:p w:rsidR="00000000" w:rsidRPr="00143146" w:rsidP="00143146">
      <w:pPr>
        <w:pStyle w:val="Heading1"/>
      </w:pPr>
      <w:bookmarkStart w:id="3" w:name="O_319644"/>
      <w:bookmarkEnd w:id="3"/>
      <w:r w:rsidRPr="00143146">
        <w:t>Application of the Unit</w:t>
      </w:r>
    </w:p>
    <w:p w:rsidR="00000000" w:rsidRPr="00143146" w:rsidP="00143146">
      <w:pPr>
        <w:pStyle w:val="BodyText"/>
      </w:pPr>
      <w:r w:rsidRPr="00143146">
        <w:t>Not applicable.</w:t>
      </w:r>
    </w:p>
    <w:p w:rsidR="00000000" w:rsidRPr="00143146" w:rsidP="00143146">
      <w:pPr>
        <w:pStyle w:val="AllowPageBreak"/>
      </w:pPr>
    </w:p>
    <w:p w:rsidR="00000000" w:rsidRPr="00143146" w:rsidP="00143146">
      <w:pPr>
        <w:pStyle w:val="Heading1"/>
      </w:pPr>
      <w:bookmarkStart w:id="4" w:name="O_319643"/>
      <w:bookmarkEnd w:id="4"/>
      <w:r w:rsidRPr="00143146">
        <w:t>Licensing/Regulatory Information</w:t>
      </w:r>
    </w:p>
    <w:p w:rsidR="00000000" w:rsidRPr="00143146" w:rsidP="00143146">
      <w:pPr>
        <w:pStyle w:val="BodyText"/>
      </w:pPr>
      <w:r w:rsidRPr="00143146">
        <w:t>Not applicable.</w:t>
      </w:r>
    </w:p>
    <w:p w:rsidR="00000000" w:rsidRPr="00143146" w:rsidP="00143146">
      <w:pPr>
        <w:pStyle w:val="AllowPageBreak"/>
      </w:pPr>
    </w:p>
    <w:p w:rsidR="00000000" w:rsidRPr="00143146" w:rsidP="00143146">
      <w:pPr>
        <w:pStyle w:val="Heading1"/>
      </w:pPr>
      <w:bookmarkStart w:id="5" w:name="O_319642"/>
      <w:bookmarkEnd w:id="5"/>
      <w:r w:rsidRPr="00143146">
        <w:t>Pre-Requisites</w:t>
      </w:r>
    </w:p>
    <w:p w:rsidR="00000000" w:rsidRPr="00143146" w:rsidP="00143146">
      <w:pPr>
        <w:pStyle w:val="BodyText"/>
      </w:pPr>
      <w:r w:rsidRPr="00143146">
        <w:t>Not applicable.</w:t>
      </w:r>
    </w:p>
    <w:p w:rsidR="00000000" w:rsidRPr="00143146" w:rsidP="00143146">
      <w:pPr>
        <w:pStyle w:val="AllowPageBreak"/>
      </w:pPr>
    </w:p>
    <w:p w:rsidR="00000000" w:rsidRPr="00143146" w:rsidP="00143146">
      <w:pPr>
        <w:pStyle w:val="Heading1"/>
      </w:pPr>
      <w:bookmarkStart w:id="6" w:name="O_319635"/>
      <w:bookmarkEnd w:id="6"/>
      <w:r w:rsidRPr="00143146">
        <w:t>Employability Skills Information</w:t>
      </w:r>
    </w:p>
    <w:p w:rsidR="00000000" w:rsidRPr="00143146" w:rsidP="00143146">
      <w:pPr>
        <w:pStyle w:val="BodyText"/>
      </w:pPr>
      <w:r w:rsidRPr="00143146">
        <w:t>Not applicable.</w:t>
      </w:r>
    </w:p>
    <w:p w:rsidR="00000000" w:rsidRPr="00143146" w:rsidP="00143146">
      <w:pPr>
        <w:pStyle w:val="AllowPageBreak"/>
      </w:pPr>
    </w:p>
    <w:p w:rsidR="00000000" w:rsidRPr="00143146" w:rsidP="00143146">
      <w:pPr>
        <w:pStyle w:val="Heading1"/>
      </w:pPr>
      <w:bookmarkStart w:id="7" w:name="O_319640"/>
      <w:bookmarkEnd w:id="7"/>
      <w:r w:rsidRPr="00143146">
        <w:t>Elements and Performance Criteria Pre-Content</w:t>
      </w:r>
    </w:p>
    <w:p w:rsidR="00000000" w:rsidRPr="00143146" w:rsidP="00143146">
      <w:pPr>
        <w:pStyle w:val="BodyText"/>
      </w:pPr>
      <w:r w:rsidRPr="00143146">
        <w:t>Not applicable.</w:t>
      </w:r>
    </w:p>
    <w:p w:rsidR="00000000" w:rsidRPr="00143146" w:rsidP="00143146">
      <w:pPr>
        <w:pStyle w:val="AllowPageBreak"/>
      </w:pPr>
    </w:p>
    <w:p w:rsidR="00000000" w:rsidRPr="00143146" w:rsidP="00143146">
      <w:pPr>
        <w:pStyle w:val="Heading1"/>
      </w:pPr>
      <w:bookmarkStart w:id="8" w:name="O_319646"/>
      <w:bookmarkEnd w:id="8"/>
      <w:r w:rsidRPr="0014314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5487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rPr>
                <w:rStyle w:val="SpecialBold"/>
              </w:rPr>
              <w:t>Elements and Performance Criteria</w:t>
            </w:r>
          </w:p>
        </w:tc>
      </w:tr>
      <w:tr w:rsidTr="0095487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43146" w:rsidP="00143146">
            <w:pPr>
              <w:pStyle w:val="BodyText"/>
            </w:pPr>
            <w:r w:rsidRPr="0014314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rPr>
                <w:rStyle w:val="SpecialBold"/>
              </w:rPr>
              <w:t>Performance Criteria</w:t>
            </w:r>
          </w:p>
        </w:tc>
      </w:tr>
      <w:tr w:rsidTr="0095487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1</w:t>
            </w:r>
          </w:p>
        </w:tc>
        <w:tc>
          <w:tcPr>
            <w:tcW w:w="3000" w:type="dxa"/>
            <w:vMerge w:val="restart"/>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Establish agreements with sources external to the enterprise</w:t>
            </w:r>
          </w:p>
        </w:tc>
        <w:tc>
          <w:tcPr>
            <w:tcW w:w="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1.1</w:t>
            </w:r>
          </w:p>
        </w:tc>
        <w:tc>
          <w:tcPr>
            <w:tcW w:w="51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 xml:space="preserve">The enterprise requirements of a business relationship with </w:t>
            </w:r>
            <w:r w:rsidRPr="00143146">
              <w:rPr>
                <w:rStyle w:val="SpecialBold"/>
              </w:rPr>
              <w:t xml:space="preserve">external sources </w:t>
            </w:r>
            <w:r w:rsidRPr="00143146">
              <w:t>are identified and defined.</w:t>
            </w:r>
          </w:p>
        </w:tc>
      </w:tr>
      <w:tr w:rsidTr="009548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1.2</w:t>
            </w:r>
          </w:p>
        </w:tc>
        <w:tc>
          <w:tcPr>
            <w:tcW w:w="51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The range of acceptable outcomes from a negotiation are established.</w:t>
            </w:r>
          </w:p>
        </w:tc>
      </w:tr>
      <w:tr w:rsidTr="009548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1.3</w:t>
            </w:r>
          </w:p>
        </w:tc>
        <w:tc>
          <w:tcPr>
            <w:tcW w:w="51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Contact is made with individuals, bodies or corporations, the appropriate individual is identified, and requirements of an agreement are discussed and mutually acceptable terms agreed.</w:t>
            </w:r>
          </w:p>
        </w:tc>
      </w:tr>
      <w:tr w:rsidTr="009548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1.4</w:t>
            </w:r>
          </w:p>
        </w:tc>
        <w:tc>
          <w:tcPr>
            <w:tcW w:w="51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Sound practice and procedure for business meetings are maintaine</w:t>
            </w:r>
            <w:r w:rsidRPr="00143146">
              <w:t>d and all agreements are documented.</w:t>
            </w:r>
          </w:p>
        </w:tc>
      </w:tr>
      <w:tr w:rsidTr="0095487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2</w:t>
            </w:r>
          </w:p>
        </w:tc>
        <w:tc>
          <w:tcPr>
            <w:tcW w:w="3000" w:type="dxa"/>
            <w:vMerge w:val="restart"/>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 xml:space="preserve"> Complete contract/commercial agreement documentation</w:t>
            </w:r>
          </w:p>
        </w:tc>
        <w:tc>
          <w:tcPr>
            <w:tcW w:w="500" w:type="dxa"/>
            <w:tcBorders>
              <w:top w:val="nil"/>
              <w:left w:val="nil"/>
              <w:bottom w:val="nil"/>
              <w:right w:val="nil"/>
            </w:tcBorders>
            <w:tcMar>
              <w:top w:w="0" w:type="dxa"/>
              <w:left w:w="62" w:type="dxa"/>
              <w:bottom w:w="0" w:type="dxa"/>
              <w:right w:w="62" w:type="dxa"/>
            </w:tcMar>
          </w:tcPr>
          <w:p w:rsidR="00000000" w:rsidRPr="00143146" w:rsidP="00143146">
            <w:pPr>
              <w:pStyle w:val="BodyText"/>
            </w:pPr>
            <w:r w:rsidRPr="00143146">
              <w:t>2.1</w:t>
            </w:r>
          </w:p>
        </w:tc>
        <w:tc>
          <w:tcPr>
            <w:tcW w:w="51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rPr>
                <w:rStyle w:val="SpecialBold"/>
              </w:rPr>
              <w:t xml:space="preserve">Requirements </w:t>
            </w:r>
            <w:r w:rsidRPr="00143146">
              <w:t>of the contract/commercial agreement are clearly documented and understood by the relevant parties.</w:t>
            </w:r>
          </w:p>
        </w:tc>
      </w:tr>
      <w:tr w:rsidTr="009548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2.2</w:t>
            </w:r>
          </w:p>
        </w:tc>
        <w:tc>
          <w:tcPr>
            <w:tcW w:w="51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Areas of ambiguity or concern are clarified and resolved.</w:t>
            </w:r>
          </w:p>
        </w:tc>
      </w:tr>
      <w:tr w:rsidTr="009548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2.3</w:t>
            </w:r>
          </w:p>
        </w:tc>
        <w:tc>
          <w:tcPr>
            <w:tcW w:w="51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Conditions for service or supply are agreed between the parties including the determination of key performance indicators.</w:t>
            </w:r>
          </w:p>
        </w:tc>
      </w:tr>
      <w:tr w:rsidTr="009548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2.4</w:t>
            </w:r>
          </w:p>
        </w:tc>
        <w:tc>
          <w:tcPr>
            <w:tcW w:w="51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Alternative processes are undertaken where agreement is unabl</w:t>
            </w:r>
            <w:r w:rsidRPr="00143146">
              <w:t>e to be reached in accordance with enterprise procedures.</w:t>
            </w:r>
          </w:p>
        </w:tc>
      </w:tr>
      <w:tr w:rsidTr="009548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2.5</w:t>
            </w:r>
          </w:p>
        </w:tc>
        <w:tc>
          <w:tcPr>
            <w:tcW w:w="51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Negotiations conform to established enterprise requirements and relevant legislation.</w:t>
            </w:r>
          </w:p>
        </w:tc>
      </w:tr>
      <w:tr w:rsidTr="009548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2.6</w:t>
            </w:r>
          </w:p>
        </w:tc>
        <w:tc>
          <w:tcPr>
            <w:tcW w:w="51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Contract/commercial agreement documentation is signed and exchanged between the relevant parties.</w:t>
            </w:r>
          </w:p>
        </w:tc>
      </w:tr>
      <w:tr w:rsidTr="0095487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3</w:t>
            </w:r>
          </w:p>
        </w:tc>
        <w:tc>
          <w:tcPr>
            <w:tcW w:w="3000" w:type="dxa"/>
            <w:vMerge w:val="restart"/>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Monitor the performance of contracts/commercial agreements</w:t>
            </w:r>
          </w:p>
        </w:tc>
        <w:tc>
          <w:tcPr>
            <w:tcW w:w="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3.1</w:t>
            </w:r>
          </w:p>
        </w:tc>
        <w:tc>
          <w:tcPr>
            <w:tcW w:w="51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The rights and obligations of parties to a contract/commercial agreement are identified, and appropriate methods of addressing non-performance are implemented.</w:t>
            </w:r>
          </w:p>
        </w:tc>
      </w:tr>
      <w:tr w:rsidTr="009548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3.2</w:t>
            </w:r>
          </w:p>
        </w:tc>
        <w:tc>
          <w:tcPr>
            <w:tcW w:w="51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Professional and regulatory bodies available to support commercial grievance processes are identified and consulted when required.</w:t>
            </w:r>
          </w:p>
        </w:tc>
      </w:tr>
      <w:tr w:rsidTr="009548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3.3</w:t>
            </w:r>
          </w:p>
        </w:tc>
        <w:tc>
          <w:tcPr>
            <w:tcW w:w="51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Completion of contract/commercial agreement against key performance indicators is monitored.</w:t>
            </w:r>
          </w:p>
        </w:tc>
      </w:tr>
      <w:tr w:rsidTr="009548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3.4</w:t>
            </w:r>
          </w:p>
        </w:tc>
        <w:tc>
          <w:tcPr>
            <w:tcW w:w="5100" w:type="dxa"/>
            <w:tcBorders>
              <w:top w:val="nil"/>
              <w:left w:val="nil"/>
              <w:bottom w:val="nil"/>
              <w:right w:val="nil"/>
            </w:tcBorders>
            <w:tcMar>
              <w:top w:w="0" w:type="dxa"/>
              <w:left w:w="62" w:type="dxa"/>
              <w:bottom w:w="0" w:type="dxa"/>
              <w:right w:w="62" w:type="dxa"/>
            </w:tcMar>
          </w:tcPr>
          <w:p w:rsidR="00000000" w:rsidRPr="00143146" w:rsidP="00143146">
            <w:pPr>
              <w:pStyle w:val="BodyText"/>
            </w:pPr>
            <w:r w:rsidRPr="00143146">
              <w:t xml:space="preserve">Issues in respect </w:t>
            </w:r>
            <w:r w:rsidRPr="00143146">
              <w:t>to non-compliance are advised to the other party in writing.</w:t>
            </w:r>
          </w:p>
        </w:tc>
      </w:tr>
    </w:tbl>
    <w:p w:rsidR="00000000" w:rsidRPr="00143146" w:rsidP="00143146">
      <w:pPr>
        <w:pStyle w:val="BodyText"/>
      </w:pPr>
    </w:p>
    <w:p w:rsidR="00000000" w:rsidRPr="00143146" w:rsidP="00143146">
      <w:pPr>
        <w:pStyle w:val="AllowPageBreak"/>
      </w:pPr>
    </w:p>
    <w:p w:rsidR="00000000" w:rsidRPr="00143146" w:rsidP="00143146">
      <w:pPr>
        <w:pStyle w:val="Heading1"/>
      </w:pPr>
      <w:bookmarkStart w:id="9" w:name="O_319639"/>
      <w:bookmarkEnd w:id="9"/>
      <w:r w:rsidRPr="00143146">
        <w:t>Required Skills and Knowledge</w:t>
      </w:r>
    </w:p>
    <w:p w:rsidR="00000000" w:rsidRPr="00143146" w:rsidP="00143146">
      <w:pPr>
        <w:pStyle w:val="BodyText"/>
      </w:pPr>
      <w:r w:rsidRPr="00143146">
        <w:t>Not applicable.</w:t>
      </w:r>
    </w:p>
    <w:p w:rsidR="00000000" w:rsidRPr="00143146" w:rsidP="00143146">
      <w:pPr>
        <w:pStyle w:val="AllowPageBreak"/>
      </w:pPr>
    </w:p>
    <w:p w:rsidR="00000000" w:rsidRPr="00143146" w:rsidP="00143146">
      <w:pPr>
        <w:pStyle w:val="Heading1"/>
      </w:pPr>
      <w:bookmarkStart w:id="10" w:name="O_319638"/>
      <w:bookmarkEnd w:id="10"/>
      <w:r w:rsidRPr="00143146">
        <w:t>Evidence Guide</w:t>
      </w:r>
    </w:p>
    <w:tbl>
      <w:tblPr>
        <w:tblW w:w="0" w:type="auto"/>
        <w:tblLayout w:type="fixed"/>
        <w:tblCellMar>
          <w:left w:w="62" w:type="dxa"/>
          <w:right w:w="62" w:type="dxa"/>
        </w:tblCellMar>
        <w:tblLook w:val="0000"/>
      </w:tblPr>
      <w:tblGrid>
        <w:gridCol w:w="4500"/>
        <w:gridCol w:w="4500"/>
      </w:tblGrid>
      <w:tr w:rsidTr="0095487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43146">
            <w:pPr>
              <w:pStyle w:val="BodyText"/>
              <w:rPr>
                <w:lang w:val="en-NZ"/>
              </w:rPr>
            </w:pPr>
          </w:p>
        </w:tc>
      </w:tr>
      <w:tr w:rsidTr="0095487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43146" w:rsidP="00143146">
            <w:pPr>
              <w:pStyle w:val="BodyText"/>
            </w:pPr>
            <w:r w:rsidRPr="00143146">
              <w:rPr>
                <w:rStyle w:val="SpecialBold"/>
              </w:rPr>
              <w:t>What evidence is required to demonstrate competence for this standard as a whole</w:t>
            </w:r>
            <w:r w:rsidRPr="00143146">
              <w:t>?</w:t>
            </w:r>
          </w:p>
          <w:p w:rsidR="00000000" w:rsidP="00143146">
            <w:pPr>
              <w:pStyle w:val="BodyText"/>
              <w:rPr>
                <w:lang w:val="en-NZ"/>
              </w:rPr>
            </w:pPr>
            <w:r w:rsidRPr="00143146">
              <w:t>Competence in negotiating contracts requires evidence that contracts/commercial agreements have been successfully and appropriately negotiated and monitored within an enterprise.  The skills and knowledge required to negotiate and monitor contracts/commerc</w:t>
            </w:r>
            <w:r w:rsidRPr="00143146">
              <w:t xml:space="preserve">ial agreements must be </w:t>
            </w:r>
            <w:r w:rsidRPr="00143146">
              <w:rPr>
                <w:rStyle w:val="SpecialBold"/>
              </w:rPr>
              <w:t>transferable</w:t>
            </w:r>
            <w:r w:rsidRPr="00143146">
              <w:t xml:space="preserve"> to a range of work environments and contexts.  For example, this could include different services, supplies of goods, contract/commercial agreement formats, and enterprise procedures. </w:t>
            </w:r>
          </w:p>
        </w:tc>
      </w:tr>
      <w:tr w:rsidTr="0095487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43146">
            <w:pPr>
              <w:pStyle w:val="BodyText"/>
              <w:rPr>
                <w:lang w:val="en-NZ"/>
              </w:rPr>
            </w:pPr>
          </w:p>
        </w:tc>
      </w:tr>
      <w:tr w:rsidTr="009548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rPr>
                <w:rStyle w:val="SpecialBold"/>
              </w:rPr>
              <w:t>What specific knowledge is needed to achieve the performance criteria</w:t>
            </w:r>
            <w:r w:rsidRPr="00143146">
              <w:t>?</w:t>
            </w:r>
          </w:p>
        </w:tc>
        <w:tc>
          <w:tcPr>
            <w:tcW w:w="4500" w:type="dxa"/>
            <w:tcBorders>
              <w:top w:val="nil"/>
              <w:left w:val="nil"/>
              <w:bottom w:val="nil"/>
              <w:right w:val="nil"/>
            </w:tcBorders>
            <w:tcMar>
              <w:top w:w="0" w:type="dxa"/>
              <w:left w:w="62" w:type="dxa"/>
              <w:bottom w:w="0" w:type="dxa"/>
              <w:right w:w="62" w:type="dxa"/>
            </w:tcMar>
          </w:tcPr>
          <w:p w:rsidR="00000000" w:rsidRPr="00143146" w:rsidP="00143146">
            <w:pPr>
              <w:pStyle w:val="BodyText"/>
            </w:pPr>
            <w:r w:rsidRPr="00143146">
              <w:t>Knowledge and understanding are essential to apply this standard in the workplace, to transfer the skills to other contexts, and to deal with unplanned events.  The knowledge requiremen</w:t>
            </w:r>
            <w:r w:rsidRPr="00143146">
              <w:t xml:space="preserve">ts for this unit are listed below:    </w:t>
            </w:r>
          </w:p>
          <w:p w:rsidR="00000000" w:rsidRPr="00143146" w:rsidP="00143146">
            <w:pPr>
              <w:pStyle w:val="BodyText"/>
            </w:pPr>
            <w:r w:rsidRPr="00143146">
              <w:t>contract/commercial law applicable to the type of agreement</w:t>
            </w:r>
          </w:p>
          <w:p w:rsidR="00000000" w:rsidRPr="00143146" w:rsidP="00143146">
            <w:pPr>
              <w:pStyle w:val="BodyText"/>
            </w:pPr>
            <w:r w:rsidRPr="00143146">
              <w:t>processes of formulation and negotiation of contracts/commercial agreements</w:t>
            </w:r>
          </w:p>
          <w:p w:rsidR="00000000" w:rsidRPr="00143146" w:rsidP="00143146">
            <w:pPr>
              <w:pStyle w:val="BodyText"/>
            </w:pPr>
            <w:r w:rsidRPr="00143146">
              <w:t>enterprise business policies and plans including procedures for maintenance of co</w:t>
            </w:r>
            <w:r w:rsidRPr="00143146">
              <w:t>nfidentiality</w:t>
            </w:r>
          </w:p>
          <w:p w:rsidR="00000000" w:rsidP="00143146">
            <w:pPr>
              <w:pStyle w:val="BodyText"/>
              <w:rPr>
                <w:lang w:val="en-NZ"/>
              </w:rPr>
            </w:pPr>
            <w:r w:rsidRPr="00143146">
              <w:t xml:space="preserve">selection and appropriate application of technology, information systems and procedures. </w:t>
            </w:r>
          </w:p>
        </w:tc>
      </w:tr>
      <w:tr w:rsidTr="009548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p>
        </w:tc>
      </w:tr>
      <w:tr w:rsidTr="009548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p>
        </w:tc>
      </w:tr>
      <w:tr w:rsidTr="009548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rPr>
                <w:rStyle w:val="SpecialBold"/>
              </w:rPr>
              <w:t>What specific skills are needed to achieve the performance criteria</w:t>
            </w:r>
            <w:r w:rsidRPr="00143146">
              <w:t xml:space="preserve">? </w:t>
            </w:r>
          </w:p>
        </w:tc>
        <w:tc>
          <w:tcPr>
            <w:tcW w:w="4500" w:type="dxa"/>
            <w:tcBorders>
              <w:top w:val="nil"/>
              <w:left w:val="nil"/>
              <w:bottom w:val="nil"/>
              <w:right w:val="nil"/>
            </w:tcBorders>
            <w:tcMar>
              <w:top w:w="0" w:type="dxa"/>
              <w:left w:w="62" w:type="dxa"/>
              <w:bottom w:w="0" w:type="dxa"/>
              <w:right w:w="62" w:type="dxa"/>
            </w:tcMar>
          </w:tcPr>
          <w:p w:rsidR="00000000" w:rsidRPr="00143146" w:rsidP="00143146">
            <w:pPr>
              <w:pStyle w:val="BodyText"/>
            </w:pPr>
            <w:r w:rsidRPr="00143146">
              <w:t>To achieve the performance c</w:t>
            </w:r>
            <w:r w:rsidRPr="00143146">
              <w:t xml:space="preserve">riteria, some complementary skills are required.  These skills include the ability to:    </w:t>
            </w:r>
          </w:p>
          <w:p w:rsidR="00000000" w:rsidRPr="00143146" w:rsidP="00143146">
            <w:pPr>
              <w:pStyle w:val="BodyText"/>
            </w:pPr>
            <w:r w:rsidRPr="00143146">
              <w:t>establish agreements with sources external to the enterprise</w:t>
            </w:r>
          </w:p>
          <w:p w:rsidR="00000000" w:rsidRPr="00143146" w:rsidP="00143146">
            <w:pPr>
              <w:pStyle w:val="BodyText"/>
            </w:pPr>
            <w:r w:rsidRPr="00143146">
              <w:t>complete contract/commercial agreement documentation</w:t>
            </w:r>
          </w:p>
          <w:p w:rsidR="00000000" w:rsidP="00143146">
            <w:pPr>
              <w:pStyle w:val="BodyText"/>
              <w:rPr>
                <w:lang w:val="en-NZ"/>
              </w:rPr>
            </w:pPr>
            <w:r w:rsidRPr="00143146">
              <w:t>monitor the performance of contracts/commercial agr</w:t>
            </w:r>
            <w:r w:rsidRPr="00143146">
              <w:t xml:space="preserve">eements. </w:t>
            </w:r>
          </w:p>
        </w:tc>
      </w:tr>
      <w:tr w:rsidTr="009548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p>
        </w:tc>
      </w:tr>
      <w:tr w:rsidTr="009548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p>
        </w:tc>
      </w:tr>
      <w:tr w:rsidTr="0095487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43146" w:rsidP="00143146">
            <w:pPr>
              <w:pStyle w:val="BodyText"/>
            </w:pPr>
            <w:r w:rsidRPr="00143146">
              <w:rPr>
                <w:rStyle w:val="SpecialBold"/>
              </w:rPr>
              <w:t>What processes should be applied to this competency standard</w:t>
            </w:r>
            <w:r w:rsidRPr="00143146">
              <w:t>?</w:t>
            </w:r>
          </w:p>
          <w:p w:rsidR="00000000" w:rsidP="00143146">
            <w:pPr>
              <w:pStyle w:val="BodyText"/>
              <w:rPr>
                <w:lang w:val="en-NZ"/>
              </w:rPr>
            </w:pPr>
            <w:r w:rsidRPr="00143146">
              <w:t>There are a number of processes that are learnt throughout work and life, which are required in all jobs.  They are fundamental processes and generally transferable to other wor</w:t>
            </w:r>
            <w:r w:rsidRPr="00143146">
              <w:t xml:space="preserve">k functions.  Some of these are covered by the </w:t>
            </w:r>
            <w:r w:rsidRPr="00143146">
              <w:rPr>
                <w:rStyle w:val="SpecialBold"/>
              </w:rPr>
              <w:t>key competencies</w:t>
            </w:r>
            <w:r w:rsidRPr="00143146">
              <w:t xml:space="preserve">, although others may be added.  The questions below highlight how these processes are applied in this competency standard.  Following each question a number in brackets indicates the level to </w:t>
            </w:r>
            <w:r w:rsidRPr="00143146">
              <w:t xml:space="preserve">which the key competency needs to be demonstrated where 0 = not required, 1 = perform the process, 2 = perform and administer the process and 3 = perform, administer and design the process. </w:t>
            </w:r>
          </w:p>
        </w:tc>
      </w:tr>
      <w:tr w:rsidTr="009548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 xml:space="preserve">1. How can </w:t>
            </w:r>
            <w:r w:rsidRPr="00143146">
              <w:rPr>
                <w:rStyle w:val="SpecialBold"/>
              </w:rPr>
              <w:t>communication of ideas and information</w:t>
            </w:r>
            <w:r w:rsidRPr="00143146">
              <w:t xml:space="preserve"> (</w:t>
            </w:r>
            <w:r w:rsidRPr="00143146">
              <w:rPr>
                <w:rStyle w:val="SpecialBold"/>
              </w:rPr>
              <w:t>3</w:t>
            </w:r>
            <w:r w:rsidRPr="00143146">
              <w:t>) be applie</w:t>
            </w:r>
            <w:r w:rsidRPr="00143146">
              <w:t xml:space="preserve">d? </w:t>
            </w:r>
          </w:p>
        </w:tc>
        <w:tc>
          <w:tcPr>
            <w:tcW w:w="4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 xml:space="preserve">Through contacts with clients and others in management team. </w:t>
            </w:r>
          </w:p>
        </w:tc>
      </w:tr>
      <w:tr w:rsidTr="009548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 xml:space="preserve">2. How can </w:t>
            </w:r>
            <w:r w:rsidRPr="00143146">
              <w:rPr>
                <w:rStyle w:val="SpecialBold"/>
              </w:rPr>
              <w:t>information be collected</w:t>
            </w:r>
            <w:r w:rsidRPr="00143146">
              <w:t xml:space="preserve">, </w:t>
            </w:r>
            <w:r w:rsidRPr="00143146">
              <w:rPr>
                <w:rStyle w:val="SpecialBold"/>
              </w:rPr>
              <w:t>analysed and organised</w:t>
            </w:r>
            <w:r w:rsidRPr="00143146">
              <w:t xml:space="preserve"> (</w:t>
            </w:r>
            <w:r w:rsidRPr="00143146">
              <w:rPr>
                <w:rStyle w:val="SpecialBold"/>
              </w:rPr>
              <w:t>3</w:t>
            </w:r>
            <w:r w:rsidRPr="00143146">
              <w:t xml:space="preserve">)? </w:t>
            </w:r>
          </w:p>
        </w:tc>
        <w:tc>
          <w:tcPr>
            <w:tcW w:w="4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 xml:space="preserve">Through use of available information sources. </w:t>
            </w:r>
          </w:p>
        </w:tc>
      </w:tr>
      <w:tr w:rsidTr="009548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 xml:space="preserve">3. How are </w:t>
            </w:r>
            <w:r w:rsidRPr="00143146">
              <w:rPr>
                <w:rStyle w:val="SpecialBold"/>
              </w:rPr>
              <w:t>activities planned and organised</w:t>
            </w:r>
            <w:r w:rsidRPr="00143146">
              <w:t xml:space="preserve"> (</w:t>
            </w:r>
            <w:r w:rsidRPr="00143146">
              <w:rPr>
                <w:rStyle w:val="SpecialBold"/>
              </w:rPr>
              <w:t>3</w:t>
            </w:r>
            <w:r w:rsidRPr="00143146">
              <w:t xml:space="preserve">)? </w:t>
            </w:r>
          </w:p>
        </w:tc>
        <w:tc>
          <w:tcPr>
            <w:tcW w:w="4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 xml:space="preserve">Through analysis of work against contract and/or commercial agreement specifications. </w:t>
            </w:r>
          </w:p>
        </w:tc>
      </w:tr>
      <w:tr w:rsidTr="009548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 xml:space="preserve">4. How can </w:t>
            </w:r>
            <w:r w:rsidRPr="00143146">
              <w:rPr>
                <w:rStyle w:val="SpecialBold"/>
              </w:rPr>
              <w:t>team work</w:t>
            </w:r>
            <w:r w:rsidRPr="00143146">
              <w:t xml:space="preserve"> (</w:t>
            </w:r>
            <w:r w:rsidRPr="00143146">
              <w:rPr>
                <w:rStyle w:val="SpecialBold"/>
              </w:rPr>
              <w:t>3</w:t>
            </w:r>
            <w:r w:rsidRPr="0014314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 xml:space="preserve">Through consultation with others on contract and/or commercial agreement preparation. </w:t>
            </w:r>
          </w:p>
        </w:tc>
      </w:tr>
      <w:tr w:rsidTr="009548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 xml:space="preserve">5. How can the use of </w:t>
            </w:r>
            <w:r w:rsidRPr="00143146">
              <w:rPr>
                <w:rStyle w:val="SpecialBold"/>
              </w:rPr>
              <w:t>mathematical ideas a</w:t>
            </w:r>
            <w:r w:rsidRPr="00143146">
              <w:rPr>
                <w:rStyle w:val="SpecialBold"/>
              </w:rPr>
              <w:t>nd techniques</w:t>
            </w:r>
            <w:r w:rsidRPr="00143146">
              <w:t xml:space="preserve"> (</w:t>
            </w:r>
            <w:r w:rsidRPr="00143146">
              <w:rPr>
                <w:rStyle w:val="SpecialBold"/>
              </w:rPr>
              <w:t>3</w:t>
            </w:r>
            <w:r w:rsidRPr="0014314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 xml:space="preserve">Through calculations involved in establishing and monitoring the contract/commercial agreement. </w:t>
            </w:r>
          </w:p>
        </w:tc>
      </w:tr>
      <w:tr w:rsidTr="009548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 xml:space="preserve">6. How can </w:t>
            </w:r>
            <w:r w:rsidRPr="00143146">
              <w:rPr>
                <w:rStyle w:val="SpecialBold"/>
              </w:rPr>
              <w:t>problem</w:t>
            </w:r>
            <w:r w:rsidRPr="00143146">
              <w:t>-</w:t>
            </w:r>
            <w:r w:rsidRPr="00143146">
              <w:rPr>
                <w:rStyle w:val="SpecialBold"/>
              </w:rPr>
              <w:t>solving skills</w:t>
            </w:r>
            <w:r w:rsidRPr="00143146">
              <w:t xml:space="preserve"> (</w:t>
            </w:r>
            <w:r w:rsidRPr="00143146">
              <w:rPr>
                <w:rStyle w:val="SpecialBold"/>
              </w:rPr>
              <w:t>3</w:t>
            </w:r>
            <w:r w:rsidRPr="0014314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 xml:space="preserve">Through negotiations to resolve disputes and issues that arise. </w:t>
            </w:r>
          </w:p>
        </w:tc>
      </w:tr>
      <w:tr w:rsidTr="009548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7. How can</w:t>
            </w:r>
            <w:r w:rsidRPr="00143146">
              <w:t xml:space="preserve"> the </w:t>
            </w:r>
            <w:r w:rsidRPr="00143146">
              <w:rPr>
                <w:rStyle w:val="SpecialBold"/>
              </w:rPr>
              <w:t>use of technology</w:t>
            </w:r>
            <w:r w:rsidRPr="00143146">
              <w:t xml:space="preserve"> (</w:t>
            </w:r>
            <w:r w:rsidRPr="00143146">
              <w:rPr>
                <w:rStyle w:val="SpecialBold"/>
              </w:rPr>
              <w:t>3</w:t>
            </w:r>
            <w:r w:rsidRPr="0014314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 xml:space="preserve">Through use of computers and communication systems. </w:t>
            </w:r>
          </w:p>
        </w:tc>
      </w:tr>
      <w:tr w:rsidTr="009548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p>
        </w:tc>
      </w:tr>
      <w:tr w:rsidTr="009548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p>
        </w:tc>
      </w:tr>
      <w:tr w:rsidTr="0095487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43146" w:rsidP="00143146">
            <w:pPr>
              <w:pStyle w:val="BodyText"/>
            </w:pPr>
            <w:r w:rsidRPr="00143146">
              <w:rPr>
                <w:rStyle w:val="SpecialBold"/>
              </w:rPr>
              <w:t>Are there other competency standards that could be assessed with this one</w:t>
            </w:r>
            <w:r w:rsidRPr="00143146">
              <w:t>?</w:t>
            </w:r>
          </w:p>
          <w:p w:rsidR="00000000" w:rsidP="00143146">
            <w:pPr>
              <w:pStyle w:val="BodyText"/>
              <w:rPr>
                <w:lang w:val="en-NZ"/>
              </w:rPr>
            </w:pPr>
            <w:r w:rsidRPr="00143146">
              <w:t xml:space="preserve">This competency standard </w:t>
            </w:r>
            <w:r w:rsidRPr="00143146">
              <w:rPr>
                <w:rStyle w:val="SpecialBold"/>
              </w:rPr>
              <w:t>could</w:t>
            </w:r>
            <w:r w:rsidRPr="00143146">
              <w:t xml:space="preserve"> be assessed on its own or in combination with other competencies relevant to the job function.   </w:t>
            </w:r>
          </w:p>
        </w:tc>
      </w:tr>
      <w:tr w:rsidTr="0095487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43146" w:rsidP="00143146">
            <w:pPr>
              <w:pStyle w:val="BodyText"/>
            </w:pPr>
            <w:r w:rsidRPr="00143146">
              <w:t xml:space="preserve">There is essential information about </w:t>
            </w:r>
            <w:r w:rsidRPr="00143146">
              <w:rPr>
                <w:rStyle w:val="SpecialBold"/>
              </w:rPr>
              <w:t>assessing this competency standard for consistent performance</w:t>
            </w:r>
            <w:r w:rsidRPr="00143146">
              <w:t xml:space="preserve"> and </w:t>
            </w:r>
            <w:r w:rsidRPr="00143146">
              <w:rPr>
                <w:rStyle w:val="SpecialBold"/>
              </w:rPr>
              <w:t>where and how it may be assessed</w:t>
            </w:r>
            <w:r w:rsidRPr="00143146">
              <w:t xml:space="preserve">, in the Assessment </w:t>
            </w:r>
            <w:r w:rsidRPr="00143146">
              <w:t xml:space="preserve">Guidelines for this Training Package.  All users of these competency standards must have </w:t>
            </w:r>
            <w:r w:rsidRPr="00143146">
              <w:rPr>
                <w:rStyle w:val="SpecialBold"/>
              </w:rPr>
              <w:t>access</w:t>
            </w:r>
            <w:r w:rsidRPr="00143146">
              <w:t xml:space="preserve"> to the </w:t>
            </w:r>
            <w:r w:rsidRPr="00143146">
              <w:rPr>
                <w:rStyle w:val="SpecialBold"/>
              </w:rPr>
              <w:t>Assessment Guidelines</w:t>
            </w:r>
            <w:r w:rsidRPr="00143146">
              <w:t xml:space="preserve">.  Further advice may also be sought from the relevant </w:t>
            </w:r>
            <w:r w:rsidRPr="00143146">
              <w:rPr>
                <w:rStyle w:val="SpecialBold"/>
              </w:rPr>
              <w:t>sector booklet</w:t>
            </w:r>
            <w:r w:rsidRPr="00143146">
              <w:t xml:space="preserve">. </w:t>
            </w:r>
          </w:p>
        </w:tc>
      </w:tr>
    </w:tbl>
    <w:p w:rsidR="00000000" w:rsidRPr="00143146" w:rsidP="00143146">
      <w:pPr>
        <w:pStyle w:val="BodyText"/>
      </w:pPr>
    </w:p>
    <w:p w:rsidR="00000000" w:rsidRPr="00143146" w:rsidP="00143146">
      <w:pPr>
        <w:pStyle w:val="AllowPageBreak"/>
      </w:pPr>
    </w:p>
    <w:p w:rsidR="00000000" w:rsidRPr="00143146" w:rsidP="00143146">
      <w:pPr>
        <w:pStyle w:val="Heading1"/>
      </w:pPr>
      <w:bookmarkStart w:id="11" w:name="O_319637"/>
      <w:bookmarkEnd w:id="11"/>
      <w:r w:rsidRPr="00143146">
        <w:t>Range Statement</w:t>
      </w:r>
    </w:p>
    <w:tbl>
      <w:tblPr>
        <w:tblW w:w="0" w:type="auto"/>
        <w:tblLayout w:type="fixed"/>
        <w:tblCellMar>
          <w:left w:w="62" w:type="dxa"/>
          <w:right w:w="62" w:type="dxa"/>
        </w:tblCellMar>
        <w:tblLook w:val="0000"/>
      </w:tblPr>
      <w:tblGrid>
        <w:gridCol w:w="4500"/>
        <w:gridCol w:w="4500"/>
      </w:tblGrid>
      <w:tr w:rsidTr="0095487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43146" w:rsidP="00143146">
            <w:pPr>
              <w:pStyle w:val="BodyText"/>
            </w:pPr>
            <w:r w:rsidRPr="00143146">
              <w:rPr>
                <w:rStyle w:val="SpecialBold"/>
              </w:rPr>
              <w:t>Range of Variables</w:t>
            </w:r>
          </w:p>
          <w:p w:rsidR="00000000" w:rsidP="00143146">
            <w:pPr>
              <w:pStyle w:val="BodyText"/>
              <w:rPr>
                <w:lang w:val="en-NZ"/>
              </w:rPr>
            </w:pPr>
            <w:r w:rsidRPr="00143146">
              <w:t>The R</w:t>
            </w:r>
            <w:r w:rsidRPr="00143146">
              <w:t>ange of Variables explains the contexts within which the performance and knowledge requirements of this standard may be assessed.  The scope of variables chosen in training and assessment requirements may depend on the work situations available</w:t>
            </w:r>
          </w:p>
        </w:tc>
      </w:tr>
      <w:tr w:rsidTr="009548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 xml:space="preserve">What </w:t>
            </w:r>
            <w:r w:rsidRPr="00143146">
              <w:rPr>
                <w:rStyle w:val="SpecialBold"/>
              </w:rPr>
              <w:t>external sources</w:t>
            </w:r>
            <w:r w:rsidRPr="00143146">
              <w:t xml:space="preserve"> may be relevant to this competency standard? </w:t>
            </w:r>
          </w:p>
        </w:tc>
        <w:tc>
          <w:tcPr>
            <w:tcW w:w="4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 xml:space="preserve">External sources may include banks, accountants, legal representatives, sub-contractors, suppliers of services, suppliers of capital equipment items, and government departments. </w:t>
            </w:r>
          </w:p>
        </w:tc>
      </w:tr>
      <w:tr w:rsidTr="009548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 xml:space="preserve">What </w:t>
            </w:r>
            <w:r w:rsidRPr="00143146">
              <w:rPr>
                <w:rStyle w:val="SpecialBold"/>
              </w:rPr>
              <w:t>requirem</w:t>
            </w:r>
            <w:r w:rsidRPr="00143146">
              <w:rPr>
                <w:rStyle w:val="SpecialBold"/>
              </w:rPr>
              <w:t>ents</w:t>
            </w:r>
            <w:r w:rsidRPr="00143146">
              <w:t xml:space="preserve"> may be relevant to contract documentation? </w:t>
            </w:r>
          </w:p>
        </w:tc>
        <w:tc>
          <w:tcPr>
            <w:tcW w:w="4500" w:type="dxa"/>
            <w:tcBorders>
              <w:top w:val="nil"/>
              <w:left w:val="nil"/>
              <w:bottom w:val="nil"/>
              <w:right w:val="nil"/>
            </w:tcBorders>
            <w:tcMar>
              <w:top w:w="0" w:type="dxa"/>
              <w:left w:w="62" w:type="dxa"/>
              <w:bottom w:w="0" w:type="dxa"/>
              <w:right w:w="62" w:type="dxa"/>
            </w:tcMar>
          </w:tcPr>
          <w:p w:rsidR="00000000" w:rsidRPr="00143146" w:rsidP="00143146">
            <w:pPr>
              <w:pStyle w:val="BodyText"/>
            </w:pPr>
            <w:r w:rsidRPr="00143146">
              <w:t xml:space="preserve">Contract/commercial agreement requirements may relate to the following:    </w:t>
            </w:r>
          </w:p>
          <w:p w:rsidR="00000000" w:rsidRPr="00143146" w:rsidP="00143146">
            <w:pPr>
              <w:pStyle w:val="BodyText"/>
            </w:pPr>
            <w:r w:rsidRPr="00143146">
              <w:t>quality or enterprise work specifications and procedures</w:t>
            </w:r>
          </w:p>
          <w:p w:rsidR="00000000" w:rsidRPr="00143146" w:rsidP="00143146">
            <w:pPr>
              <w:pStyle w:val="BodyText"/>
            </w:pPr>
            <w:r w:rsidRPr="00143146">
              <w:t>manufacturers specifications and/or suppliers handling and storage advice</w:t>
            </w:r>
          </w:p>
          <w:p w:rsidR="00000000" w:rsidRPr="00143146" w:rsidP="00143146">
            <w:pPr>
              <w:pStyle w:val="BodyText"/>
            </w:pPr>
            <w:r w:rsidRPr="00143146">
              <w:t>workplace operating procedures and policies</w:t>
            </w:r>
          </w:p>
          <w:p w:rsidR="00000000" w:rsidRPr="00143146" w:rsidP="00143146">
            <w:pPr>
              <w:pStyle w:val="BodyText"/>
            </w:pPr>
            <w:r w:rsidRPr="00143146">
              <w:t>supplier and/or client instructions</w:t>
            </w:r>
          </w:p>
          <w:p w:rsidR="00000000" w:rsidRPr="00143146" w:rsidP="00143146">
            <w:pPr>
              <w:pStyle w:val="BodyText"/>
            </w:pPr>
            <w:r w:rsidRPr="00143146">
              <w:t>legal and contract documentation</w:t>
            </w:r>
          </w:p>
          <w:p w:rsidR="00000000" w:rsidRPr="00143146" w:rsidP="00143146">
            <w:pPr>
              <w:pStyle w:val="BodyText"/>
            </w:pPr>
            <w:r w:rsidRPr="00143146">
              <w:t>Materials Safety Data Sheets</w:t>
            </w:r>
          </w:p>
          <w:p w:rsidR="00000000" w:rsidRPr="00143146" w:rsidP="00143146">
            <w:pPr>
              <w:pStyle w:val="BodyText"/>
            </w:pPr>
            <w:r w:rsidRPr="00143146">
              <w:t>communications technology equipment, oral, aural or signed communications</w:t>
            </w:r>
          </w:p>
          <w:p w:rsidR="00000000" w:rsidRPr="00143146" w:rsidP="00143146">
            <w:pPr>
              <w:pStyle w:val="BodyText"/>
            </w:pPr>
            <w:r w:rsidRPr="00143146">
              <w:t>personal and work area work procedures a</w:t>
            </w:r>
            <w:r w:rsidRPr="00143146">
              <w:t>nd practices</w:t>
            </w:r>
          </w:p>
          <w:p w:rsidR="00000000" w:rsidRPr="00143146" w:rsidP="00143146">
            <w:pPr>
              <w:pStyle w:val="BodyText"/>
            </w:pPr>
            <w:r w:rsidRPr="00143146">
              <w:t>applicable State, Territory and Commonwealth legislative framework concerning contracts and trade practices</w:t>
            </w:r>
          </w:p>
          <w:p w:rsidR="00000000" w:rsidRPr="00143146" w:rsidP="00143146">
            <w:pPr>
              <w:pStyle w:val="BodyText"/>
            </w:pPr>
            <w:r w:rsidRPr="00143146">
              <w:t>OHS in terms of duties of employers, employees, suppliers and contractors</w:t>
            </w:r>
          </w:p>
          <w:p w:rsidR="00000000" w:rsidRPr="00143146" w:rsidP="00143146">
            <w:pPr>
              <w:pStyle w:val="BodyText"/>
            </w:pPr>
            <w:r w:rsidRPr="00143146">
              <w:t>contracts</w:t>
            </w:r>
          </w:p>
          <w:p w:rsidR="00000000" w:rsidRPr="00143146" w:rsidP="00143146">
            <w:pPr>
              <w:pStyle w:val="BodyText"/>
            </w:pPr>
            <w:r w:rsidRPr="00143146">
              <w:t>hazardous substances and dangerous goods</w:t>
            </w:r>
          </w:p>
          <w:p w:rsidR="00000000" w:rsidRPr="00143146" w:rsidP="00143146">
            <w:pPr>
              <w:pStyle w:val="BodyText"/>
            </w:pPr>
            <w:r w:rsidRPr="00143146">
              <w:t>environment protection</w:t>
            </w:r>
          </w:p>
          <w:p w:rsidR="00000000" w:rsidRPr="00143146" w:rsidP="00143146">
            <w:pPr>
              <w:pStyle w:val="BodyText"/>
            </w:pPr>
            <w:r w:rsidRPr="00143146">
              <w:t>equal opportunity, equal employment opportunity and affirmative action</w:t>
            </w:r>
          </w:p>
          <w:p w:rsidR="00000000" w:rsidRPr="00143146" w:rsidP="00143146">
            <w:pPr>
              <w:pStyle w:val="BodyText"/>
            </w:pPr>
            <w:r w:rsidRPr="00143146">
              <w:t>standards and certification requirements</w:t>
            </w:r>
          </w:p>
          <w:p w:rsidR="00000000" w:rsidRPr="00143146" w:rsidP="00143146">
            <w:pPr>
              <w:pStyle w:val="BodyText"/>
            </w:pPr>
            <w:r w:rsidRPr="00143146">
              <w:t>license, patent or copyright arrangements</w:t>
            </w:r>
          </w:p>
          <w:p w:rsidR="00000000" w:rsidRPr="00143146" w:rsidP="00143146">
            <w:pPr>
              <w:pStyle w:val="BodyText"/>
            </w:pPr>
            <w:r w:rsidRPr="00143146">
              <w:t>quality assurance procedures</w:t>
            </w:r>
          </w:p>
          <w:p w:rsidR="00000000" w:rsidP="00143146">
            <w:pPr>
              <w:pStyle w:val="BodyText"/>
              <w:rPr>
                <w:lang w:val="en-NZ"/>
              </w:rPr>
            </w:pPr>
            <w:r w:rsidRPr="00143146">
              <w:t xml:space="preserve">emergency procedures. </w:t>
            </w:r>
          </w:p>
        </w:tc>
      </w:tr>
      <w:tr w:rsidTr="0095487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43146">
            <w:pPr>
              <w:pStyle w:val="BodyText"/>
              <w:rPr>
                <w:lang w:val="en-NZ"/>
              </w:rPr>
            </w:pPr>
            <w:r w:rsidRPr="00143146">
              <w:t>For more information on co</w:t>
            </w:r>
            <w:r w:rsidRPr="00143146">
              <w:t xml:space="preserve">ntexts, environment and variables for training and assessment refer to the Sector Booklet. </w:t>
            </w:r>
          </w:p>
        </w:tc>
      </w:tr>
      <w:tr w:rsidTr="0095487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43146" w:rsidP="00143146">
            <w:pPr>
              <w:pStyle w:val="BodyText"/>
            </w:pPr>
          </w:p>
        </w:tc>
      </w:tr>
    </w:tbl>
    <w:p w:rsidR="00000000" w:rsidRPr="00143146" w:rsidP="00143146">
      <w:pPr>
        <w:pStyle w:val="BodyText"/>
      </w:pPr>
    </w:p>
    <w:p w:rsidR="00000000" w:rsidRPr="00143146" w:rsidP="00143146">
      <w:pPr>
        <w:pStyle w:val="AllowPageBreak"/>
      </w:pPr>
    </w:p>
    <w:p w:rsidR="00000000" w:rsidRPr="00143146" w:rsidP="00143146">
      <w:pPr>
        <w:pStyle w:val="Heading1"/>
      </w:pPr>
      <w:bookmarkStart w:id="12" w:name="O_319641"/>
      <w:bookmarkEnd w:id="12"/>
      <w:r w:rsidRPr="00143146">
        <w:t>Unit Sector(s)</w:t>
      </w:r>
    </w:p>
    <w:p w:rsidR="00000000" w:rsidRPr="00143146" w:rsidP="00143146">
      <w:pPr>
        <w:pStyle w:val="BodyText"/>
      </w:pPr>
      <w:r w:rsidRPr="00143146">
        <w:t>Not applicable.</w:t>
      </w:r>
    </w:p>
    <w:p w:rsidR="00000000" w:rsidRPr="00143146" w:rsidP="00143146"/>
    <w:sectPr w:rsidSect="001431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487A" w:rsidP="009548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87A" w:rsidP="001431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5487A" w:rsidP="001431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5487A" w:rsidP="001431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487A" w:rsidP="009548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87A" w:rsidP="00143146">
    <w:pPr>
      <w:pStyle w:val="Header"/>
      <w:framePr w:wrap="around"/>
    </w:pPr>
    <w:r>
      <w:fldChar w:fldCharType="begin"/>
    </w:r>
    <w:r>
      <w:instrText xml:space="preserve"> TITLE   \* MERGEFORMAT </w:instrText>
    </w:r>
    <w:r>
      <w:fldChar w:fldCharType="separate"/>
    </w:r>
    <w:r>
      <w:t>RTE5920A Negotiate and monitor contracts/commercial agreements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487A" w:rsidP="001431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1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3146"/>
    <w:pPr>
      <w:spacing w:before="360" w:after="60"/>
      <w:outlineLvl w:val="0"/>
    </w:pPr>
    <w:rPr>
      <w:sz w:val="32"/>
    </w:rPr>
  </w:style>
  <w:style w:type="paragraph" w:styleId="Heading2">
    <w:name w:val="heading 2"/>
    <w:basedOn w:val="HeadingBase"/>
    <w:next w:val="BodyText"/>
    <w:link w:val="Heading2Char"/>
    <w:qFormat/>
    <w:rsid w:val="00143146"/>
    <w:pPr>
      <w:keepLines/>
      <w:spacing w:before="240" w:after="120"/>
      <w:outlineLvl w:val="1"/>
    </w:pPr>
    <w:rPr>
      <w:sz w:val="28"/>
      <w:szCs w:val="40"/>
    </w:rPr>
  </w:style>
  <w:style w:type="paragraph" w:styleId="Heading3">
    <w:name w:val="heading 3"/>
    <w:basedOn w:val="HeadingBase"/>
    <w:next w:val="BodyText"/>
    <w:link w:val="Heading3Char"/>
    <w:qFormat/>
    <w:rsid w:val="00143146"/>
    <w:pPr>
      <w:spacing w:before="180" w:after="120"/>
      <w:outlineLvl w:val="2"/>
    </w:pPr>
    <w:rPr>
      <w:spacing w:val="-10"/>
      <w:kern w:val="32"/>
    </w:rPr>
  </w:style>
  <w:style w:type="paragraph" w:styleId="Heading4">
    <w:name w:val="heading 4"/>
    <w:basedOn w:val="HeadingBase"/>
    <w:next w:val="BodyText"/>
    <w:link w:val="Heading4Char"/>
    <w:qFormat/>
    <w:rsid w:val="00143146"/>
    <w:pPr>
      <w:spacing w:before="160" w:after="120"/>
      <w:outlineLvl w:val="3"/>
    </w:pPr>
    <w:rPr>
      <w:sz w:val="22"/>
    </w:rPr>
  </w:style>
  <w:style w:type="paragraph" w:styleId="Heading5">
    <w:name w:val="heading 5"/>
    <w:basedOn w:val="HeadingBase"/>
    <w:next w:val="Normal"/>
    <w:link w:val="Heading5Char"/>
    <w:qFormat/>
    <w:rsid w:val="00143146"/>
    <w:pPr>
      <w:spacing w:before="80"/>
      <w:outlineLvl w:val="4"/>
    </w:pPr>
    <w:rPr>
      <w:color w:val="918585"/>
      <w:sz w:val="20"/>
    </w:rPr>
  </w:style>
  <w:style w:type="paragraph" w:styleId="Heading6">
    <w:name w:val="heading 6"/>
    <w:basedOn w:val="HeadingBase"/>
    <w:next w:val="Normal"/>
    <w:link w:val="Heading6Char"/>
    <w:qFormat/>
    <w:rsid w:val="00143146"/>
    <w:pPr>
      <w:spacing w:before="60"/>
      <w:outlineLvl w:val="5"/>
    </w:pPr>
    <w:rPr>
      <w:color w:val="918585"/>
      <w:sz w:val="20"/>
    </w:rPr>
  </w:style>
  <w:style w:type="paragraph" w:styleId="Heading7">
    <w:name w:val="heading 7"/>
    <w:basedOn w:val="Normal"/>
    <w:next w:val="Normal"/>
    <w:link w:val="Heading7Char"/>
    <w:qFormat/>
    <w:rsid w:val="00143146"/>
    <w:pPr>
      <w:ind w:left="720"/>
      <w:outlineLvl w:val="6"/>
    </w:pPr>
    <w:rPr>
      <w:i/>
    </w:rPr>
  </w:style>
  <w:style w:type="paragraph" w:styleId="Heading8">
    <w:name w:val="heading 8"/>
    <w:basedOn w:val="Normal"/>
    <w:next w:val="Normal"/>
    <w:link w:val="Heading8Char"/>
    <w:qFormat/>
    <w:rsid w:val="00143146"/>
    <w:pPr>
      <w:ind w:left="720"/>
      <w:outlineLvl w:val="7"/>
    </w:pPr>
    <w:rPr>
      <w:i/>
    </w:rPr>
  </w:style>
  <w:style w:type="paragraph" w:styleId="Heading9">
    <w:name w:val="heading 9"/>
    <w:basedOn w:val="Normal"/>
    <w:next w:val="Normal"/>
    <w:link w:val="Heading9Char"/>
    <w:qFormat/>
    <w:rsid w:val="00143146"/>
    <w:pPr>
      <w:ind w:left="720"/>
      <w:outlineLvl w:val="8"/>
    </w:pPr>
    <w:rPr>
      <w:i/>
    </w:rPr>
  </w:style>
  <w:style w:type="character" w:default="1" w:styleId="DefaultParagraphFont">
    <w:name w:val="Default Paragraph Font"/>
    <w:uiPriority w:val="1"/>
    <w:unhideWhenUsed/>
    <w:rsid w:val="001431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146"/>
  </w:style>
  <w:style w:type="character" w:customStyle="1" w:styleId="Heading1Char">
    <w:name w:val="Heading 1 Char"/>
    <w:basedOn w:val="DefaultParagraphFont"/>
    <w:link w:val="Heading1"/>
    <w:rsid w:val="00143146"/>
    <w:rPr>
      <w:rFonts w:ascii="Times New Roman" w:eastAsia="Times New Roman" w:hAnsi="Times New Roman" w:cs="Times New Roman"/>
      <w:b/>
      <w:sz w:val="32"/>
      <w:szCs w:val="20"/>
      <w:lang w:eastAsia="en-US"/>
    </w:rPr>
  </w:style>
  <w:style w:type="paragraph" w:styleId="BodyText">
    <w:name w:val="Body Text"/>
    <w:basedOn w:val="Normal"/>
    <w:link w:val="BodyTextChar"/>
    <w:rsid w:val="001431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3146"/>
    <w:rPr>
      <w:rFonts w:ascii="Times New Roman" w:eastAsia="Times New Roman" w:hAnsi="Times New Roman" w:cs="Times New Roman"/>
      <w:sz w:val="24"/>
      <w:lang w:val="en-US" w:eastAsia="en-US"/>
    </w:rPr>
  </w:style>
  <w:style w:type="paragraph" w:styleId="Footer">
    <w:name w:val="footer"/>
    <w:basedOn w:val="Normal"/>
    <w:link w:val="FooterChar"/>
    <w:rsid w:val="001431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14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43146"/>
    <w:rPr>
      <w:b/>
      <w:spacing w:val="0"/>
    </w:rPr>
  </w:style>
  <w:style w:type="paragraph" w:styleId="Header">
    <w:name w:val="header"/>
    <w:basedOn w:val="Normal"/>
    <w:link w:val="HeaderChar"/>
    <w:rsid w:val="001431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1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3146"/>
    <w:pPr>
      <w:spacing w:before="240" w:after="120"/>
      <w:outlineLvl w:val="0"/>
    </w:pPr>
    <w:rPr>
      <w:rFonts w:ascii="Times New Roman" w:hAnsi="Times New Roman"/>
      <w:b/>
      <w:sz w:val="28"/>
    </w:rPr>
  </w:style>
  <w:style w:type="paragraph" w:customStyle="1" w:styleId="AllowPageBreak">
    <w:name w:val="AllowPageBreak"/>
    <w:rsid w:val="001431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31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1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1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1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1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1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31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3146"/>
    <w:rPr>
      <w:rFonts w:ascii="Courier New" w:eastAsia="Times New Roman" w:hAnsi="Courier New" w:cs="Times New Roman"/>
      <w:i/>
      <w:szCs w:val="20"/>
      <w:lang w:val="en-US" w:eastAsia="en-US"/>
    </w:rPr>
  </w:style>
  <w:style w:type="paragraph" w:customStyle="1" w:styleId="HeadingBase">
    <w:name w:val="Heading Base"/>
    <w:rsid w:val="001431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146"/>
    <w:pPr>
      <w:tabs>
        <w:tab w:val="right" w:leader="dot" w:pos="9072"/>
      </w:tabs>
      <w:ind w:left="567"/>
    </w:pPr>
    <w:rPr>
      <w:szCs w:val="22"/>
    </w:rPr>
  </w:style>
  <w:style w:type="paragraph" w:customStyle="1" w:styleId="TOCBase">
    <w:name w:val="TOC Base"/>
    <w:rsid w:val="001431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146"/>
    <w:pPr>
      <w:tabs>
        <w:tab w:val="right" w:leader="dot" w:pos="9072"/>
      </w:tabs>
      <w:spacing w:before="40" w:after="40"/>
      <w:ind w:left="284"/>
    </w:pPr>
    <w:rPr>
      <w:rFonts w:ascii="Times New Roman" w:hAnsi="Times New Roman"/>
    </w:rPr>
  </w:style>
  <w:style w:type="paragraph" w:styleId="TOC1">
    <w:name w:val="toc 1"/>
    <w:basedOn w:val="TOCBase"/>
    <w:next w:val="Normal"/>
    <w:rsid w:val="001431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3146"/>
    <w:pPr>
      <w:spacing w:before="5040"/>
      <w:jc w:val="center"/>
    </w:pPr>
    <w:rPr>
      <w:sz w:val="48"/>
      <w:szCs w:val="72"/>
      <w:lang w:val="en-US"/>
    </w:rPr>
  </w:style>
  <w:style w:type="character" w:customStyle="1" w:styleId="TitleChar">
    <w:name w:val="Title Char"/>
    <w:basedOn w:val="DefaultParagraphFont"/>
    <w:link w:val="Title"/>
    <w:rsid w:val="001431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146"/>
    <w:pPr>
      <w:tabs>
        <w:tab w:val="left" w:pos="3600"/>
        <w:tab w:val="left" w:pos="3958"/>
      </w:tabs>
    </w:pPr>
  </w:style>
  <w:style w:type="paragraph" w:styleId="List">
    <w:name w:val="List"/>
    <w:basedOn w:val="BodyText"/>
    <w:next w:val="BodyText"/>
    <w:rsid w:val="00143146"/>
    <w:pPr>
      <w:tabs>
        <w:tab w:val="left" w:pos="340"/>
      </w:tabs>
      <w:spacing w:before="60" w:after="60"/>
      <w:ind w:left="340" w:hanging="340"/>
    </w:pPr>
  </w:style>
  <w:style w:type="paragraph" w:styleId="ListBullet">
    <w:name w:val="List Bullet"/>
    <w:basedOn w:val="List"/>
    <w:rsid w:val="00143146"/>
    <w:pPr>
      <w:numPr>
        <w:numId w:val="11"/>
      </w:numPr>
      <w:tabs>
        <w:tab w:val="clear" w:pos="340"/>
      </w:tabs>
      <w:spacing w:before="40" w:after="40"/>
    </w:pPr>
  </w:style>
  <w:style w:type="paragraph" w:customStyle="1" w:styleId="Note">
    <w:name w:val="Note"/>
    <w:basedOn w:val="BodyText"/>
    <w:rsid w:val="001431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3146"/>
    <w:pPr>
      <w:framePr w:wrap="auto" w:hAnchor="text" w:y="6049"/>
    </w:pPr>
    <w:rPr>
      <w:color w:val="000000"/>
      <w:sz w:val="40"/>
    </w:rPr>
  </w:style>
  <w:style w:type="paragraph" w:customStyle="1" w:styleId="TOCTitle">
    <w:name w:val="TOCTitle"/>
    <w:basedOn w:val="Heading1"/>
    <w:rsid w:val="00143146"/>
    <w:pPr>
      <w:spacing w:after="240"/>
      <w:jc w:val="center"/>
      <w:outlineLvl w:val="9"/>
    </w:pPr>
    <w:rPr>
      <w:caps/>
    </w:rPr>
  </w:style>
  <w:style w:type="paragraph" w:customStyle="1" w:styleId="Version">
    <w:name w:val="Version"/>
    <w:rsid w:val="001431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3146"/>
    <w:pPr>
      <w:numPr>
        <w:numId w:val="12"/>
      </w:numPr>
      <w:tabs>
        <w:tab w:val="clear" w:pos="680"/>
      </w:tabs>
    </w:pPr>
  </w:style>
  <w:style w:type="paragraph" w:styleId="Index1">
    <w:name w:val="index 1"/>
    <w:basedOn w:val="Normal"/>
    <w:next w:val="Normal"/>
    <w:semiHidden/>
    <w:rsid w:val="00143146"/>
    <w:pPr>
      <w:keepNext w:val="0"/>
      <w:tabs>
        <w:tab w:val="right" w:pos="4176"/>
      </w:tabs>
      <w:ind w:left="198" w:hanging="198"/>
    </w:pPr>
    <w:rPr>
      <w:rFonts w:ascii="Garamond" w:hAnsi="Garamond"/>
    </w:rPr>
  </w:style>
  <w:style w:type="paragraph" w:styleId="IndexHeading">
    <w:name w:val="index heading"/>
    <w:basedOn w:val="Normal"/>
    <w:next w:val="Index1"/>
    <w:semiHidden/>
    <w:rsid w:val="00143146"/>
    <w:pPr>
      <w:spacing w:before="120" w:after="120"/>
    </w:pPr>
    <w:rPr>
      <w:rFonts w:ascii="Arial" w:hAnsi="Arial"/>
      <w:b/>
      <w:color w:val="918585"/>
      <w:sz w:val="24"/>
    </w:rPr>
  </w:style>
  <w:style w:type="paragraph" w:customStyle="1" w:styleId="Chapter">
    <w:name w:val="Chapter"/>
    <w:basedOn w:val="Normal"/>
    <w:rsid w:val="00143146"/>
    <w:pPr>
      <w:spacing w:before="240"/>
    </w:pPr>
    <w:rPr>
      <w:rFonts w:ascii="Times New Roman" w:hAnsi="Times New Roman"/>
      <w:smallCaps/>
      <w:spacing w:val="80"/>
      <w:sz w:val="28"/>
    </w:rPr>
  </w:style>
  <w:style w:type="paragraph" w:customStyle="1" w:styleId="InChapter">
    <w:name w:val="InChapter"/>
    <w:basedOn w:val="Heading3"/>
    <w:rsid w:val="00143146"/>
    <w:pPr>
      <w:spacing w:after="240"/>
      <w:outlineLvl w:val="9"/>
    </w:pPr>
    <w:rPr>
      <w:noProof/>
    </w:rPr>
  </w:style>
  <w:style w:type="paragraph" w:styleId="Index2">
    <w:name w:val="index 2"/>
    <w:basedOn w:val="Normal"/>
    <w:next w:val="Normal"/>
    <w:semiHidden/>
    <w:rsid w:val="00143146"/>
    <w:pPr>
      <w:tabs>
        <w:tab w:val="right" w:pos="4176"/>
      </w:tabs>
      <w:ind w:left="568" w:hanging="284"/>
    </w:pPr>
    <w:rPr>
      <w:rFonts w:ascii="Garamond" w:hAnsi="Garamond"/>
    </w:rPr>
  </w:style>
  <w:style w:type="paragraph" w:customStyle="1" w:styleId="Byline">
    <w:name w:val="Byline"/>
    <w:rsid w:val="001431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146"/>
    <w:pPr>
      <w:tabs>
        <w:tab w:val="clear" w:pos="3600"/>
        <w:tab w:val="clear" w:pos="3958"/>
      </w:tabs>
      <w:jc w:val="right"/>
    </w:pPr>
  </w:style>
  <w:style w:type="character" w:styleId="Emphasis">
    <w:name w:val="Emphasis"/>
    <w:basedOn w:val="DefaultParagraphFont"/>
    <w:qFormat/>
    <w:rsid w:val="00143146"/>
    <w:rPr>
      <w:i/>
    </w:rPr>
  </w:style>
  <w:style w:type="paragraph" w:styleId="Caption">
    <w:name w:val="caption"/>
    <w:basedOn w:val="BodyText"/>
    <w:next w:val="Normal"/>
    <w:qFormat/>
    <w:rsid w:val="00143146"/>
    <w:pPr>
      <w:framePr w:w="2268" w:hSpace="181" w:vSpace="181" w:wrap="around" w:vAnchor="text" w:hAnchor="page" w:x="1135" w:y="285" w:anchorLock="1"/>
    </w:pPr>
    <w:rPr>
      <w:i/>
    </w:rPr>
  </w:style>
  <w:style w:type="paragraph" w:customStyle="1" w:styleId="MiniTOCTitle">
    <w:name w:val="MiniTOCTitle"/>
    <w:basedOn w:val="Heading4"/>
    <w:rsid w:val="00143146"/>
    <w:pPr>
      <w:spacing w:before="240"/>
      <w:outlineLvl w:val="9"/>
    </w:pPr>
    <w:rPr>
      <w:noProof/>
      <w:sz w:val="24"/>
    </w:rPr>
  </w:style>
  <w:style w:type="paragraph" w:customStyle="1" w:styleId="MiniTOCItem">
    <w:name w:val="MiniTOCItem"/>
    <w:basedOn w:val="ListBullet"/>
    <w:rsid w:val="00143146"/>
    <w:pPr>
      <w:numPr>
        <w:numId w:val="0"/>
      </w:numPr>
      <w:tabs>
        <w:tab w:val="right" w:leader="dot" w:pos="6521"/>
      </w:tabs>
      <w:spacing w:before="0" w:after="0"/>
    </w:pPr>
  </w:style>
  <w:style w:type="paragraph" w:customStyle="1" w:styleId="TOFTitle">
    <w:name w:val="TOFTitle"/>
    <w:basedOn w:val="TOCTitle"/>
    <w:rsid w:val="00143146"/>
  </w:style>
  <w:style w:type="paragraph" w:styleId="TableofFigures">
    <w:name w:val="table of figures"/>
    <w:basedOn w:val="Normal"/>
    <w:next w:val="Normal"/>
    <w:semiHidden/>
    <w:rsid w:val="00143146"/>
    <w:pPr>
      <w:tabs>
        <w:tab w:val="right" w:leader="dot" w:pos="9072"/>
      </w:tabs>
      <w:ind w:left="970" w:hanging="403"/>
    </w:pPr>
    <w:rPr>
      <w:rFonts w:ascii="Times New Roman" w:hAnsi="Times New Roman"/>
      <w:b/>
    </w:rPr>
  </w:style>
  <w:style w:type="paragraph" w:styleId="ListNumber">
    <w:name w:val="List Number"/>
    <w:basedOn w:val="List"/>
    <w:rsid w:val="00143146"/>
    <w:pPr>
      <w:numPr>
        <w:numId w:val="9"/>
      </w:numPr>
    </w:pPr>
  </w:style>
  <w:style w:type="character" w:customStyle="1" w:styleId="WingdingSymbols">
    <w:name w:val="Wingding Symbols"/>
    <w:rsid w:val="00143146"/>
    <w:rPr>
      <w:rFonts w:ascii="Wingdings" w:hAnsi="Wingdings"/>
    </w:rPr>
  </w:style>
  <w:style w:type="paragraph" w:customStyle="1" w:styleId="TableHeading">
    <w:name w:val="Table Heading"/>
    <w:basedOn w:val="HeadingBase"/>
    <w:rsid w:val="00143146"/>
    <w:pPr>
      <w:keepLines/>
      <w:pBdr>
        <w:bottom w:val="single" w:sz="6" w:space="1" w:color="918585"/>
      </w:pBdr>
      <w:spacing w:before="240"/>
    </w:pPr>
  </w:style>
  <w:style w:type="character" w:customStyle="1" w:styleId="HotSpot">
    <w:name w:val="HotSpot"/>
    <w:rsid w:val="00143146"/>
    <w:rPr>
      <w:color w:val="0033CC"/>
      <w:u w:val="none"/>
    </w:rPr>
  </w:style>
  <w:style w:type="paragraph" w:customStyle="1" w:styleId="BodyTextRight">
    <w:name w:val="Body Text Right"/>
    <w:basedOn w:val="BodyText"/>
    <w:rsid w:val="00143146"/>
    <w:pPr>
      <w:spacing w:before="0" w:after="0"/>
      <w:jc w:val="right"/>
    </w:pPr>
  </w:style>
  <w:style w:type="paragraph" w:styleId="Index3">
    <w:name w:val="index 3"/>
    <w:basedOn w:val="ListNumber2"/>
    <w:next w:val="Normal"/>
    <w:semiHidden/>
    <w:rsid w:val="00143146"/>
    <w:pPr>
      <w:numPr>
        <w:numId w:val="0"/>
      </w:numPr>
      <w:tabs>
        <w:tab w:val="right" w:leader="dot" w:pos="4176"/>
      </w:tabs>
    </w:pPr>
  </w:style>
  <w:style w:type="paragraph" w:styleId="ListNumber2">
    <w:name w:val="List Number 2"/>
    <w:basedOn w:val="List2"/>
    <w:rsid w:val="00143146"/>
    <w:pPr>
      <w:numPr>
        <w:numId w:val="8"/>
      </w:numPr>
      <w:tabs>
        <w:tab w:val="clear" w:pos="1060"/>
      </w:tabs>
    </w:pPr>
  </w:style>
  <w:style w:type="paragraph" w:customStyle="1" w:styleId="MarginNote">
    <w:name w:val="Margin Note"/>
    <w:basedOn w:val="BodyText"/>
    <w:rsid w:val="001431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1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1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3146"/>
    <w:rPr>
      <w:sz w:val="32"/>
    </w:rPr>
  </w:style>
  <w:style w:type="paragraph" w:customStyle="1" w:styleId="HeadingProcedure">
    <w:name w:val="Heading Procedure"/>
    <w:basedOn w:val="HeadingBase"/>
    <w:next w:val="Normal"/>
    <w:rsid w:val="00143146"/>
    <w:pPr>
      <w:tabs>
        <w:tab w:val="left" w:pos="0"/>
      </w:tabs>
      <w:spacing w:before="120" w:after="60"/>
    </w:pPr>
    <w:rPr>
      <w:i/>
      <w:color w:val="918585"/>
      <w:sz w:val="22"/>
    </w:rPr>
  </w:style>
  <w:style w:type="paragraph" w:customStyle="1" w:styleId="TableBodyText">
    <w:name w:val="Table Body Text"/>
    <w:basedOn w:val="BodyText"/>
    <w:rsid w:val="00143146"/>
    <w:pPr>
      <w:spacing w:before="60" w:after="60"/>
    </w:pPr>
  </w:style>
  <w:style w:type="paragraph" w:styleId="ListContinue">
    <w:name w:val="List Continue"/>
    <w:basedOn w:val="List"/>
    <w:rsid w:val="00143146"/>
    <w:pPr>
      <w:ind w:firstLine="0"/>
    </w:pPr>
  </w:style>
  <w:style w:type="paragraph" w:customStyle="1" w:styleId="ListNote">
    <w:name w:val="List Note"/>
    <w:basedOn w:val="List"/>
    <w:rsid w:val="00143146"/>
    <w:pPr>
      <w:pBdr>
        <w:top w:val="single" w:sz="6" w:space="2" w:color="918585"/>
        <w:bottom w:val="single" w:sz="6" w:space="2" w:color="918585"/>
      </w:pBdr>
      <w:tabs>
        <w:tab w:val="left" w:pos="1021"/>
      </w:tabs>
      <w:ind w:firstLine="0"/>
    </w:pPr>
  </w:style>
  <w:style w:type="paragraph" w:customStyle="1" w:styleId="Warning">
    <w:name w:val="Warning"/>
    <w:basedOn w:val="BodyText"/>
    <w:rsid w:val="00143146"/>
    <w:pPr>
      <w:shd w:val="clear" w:color="auto" w:fill="D9D9D9"/>
      <w:tabs>
        <w:tab w:val="left" w:pos="992"/>
      </w:tabs>
      <w:ind w:left="119" w:right="119"/>
    </w:pPr>
    <w:rPr>
      <w:sz w:val="20"/>
    </w:rPr>
  </w:style>
  <w:style w:type="paragraph" w:customStyle="1" w:styleId="MarginIcons">
    <w:name w:val="Margin Icons"/>
    <w:basedOn w:val="BodyText"/>
    <w:rsid w:val="001431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146"/>
    <w:rPr>
      <w:rFonts w:ascii="Courier New" w:hAnsi="Courier New"/>
    </w:rPr>
  </w:style>
  <w:style w:type="paragraph" w:customStyle="1" w:styleId="NoteBullet">
    <w:name w:val="Note Bullet"/>
    <w:basedOn w:val="Note"/>
    <w:rsid w:val="00143146"/>
    <w:pPr>
      <w:tabs>
        <w:tab w:val="clear" w:pos="680"/>
      </w:tabs>
      <w:spacing w:before="60" w:after="60"/>
    </w:pPr>
  </w:style>
  <w:style w:type="paragraph" w:customStyle="1" w:styleId="SubHeading2">
    <w:name w:val="SubHeading2"/>
    <w:basedOn w:val="HeadingBase"/>
    <w:rsid w:val="00143146"/>
    <w:pPr>
      <w:spacing w:before="240" w:after="60"/>
    </w:pPr>
    <w:rPr>
      <w:sz w:val="20"/>
    </w:rPr>
  </w:style>
  <w:style w:type="paragraph" w:customStyle="1" w:styleId="SubHeading1">
    <w:name w:val="SubHeading1"/>
    <w:basedOn w:val="HeadingBase"/>
    <w:rsid w:val="00143146"/>
    <w:pPr>
      <w:spacing w:before="240" w:after="60"/>
    </w:pPr>
    <w:rPr>
      <w:color w:val="918585"/>
      <w:sz w:val="22"/>
    </w:rPr>
  </w:style>
  <w:style w:type="paragraph" w:customStyle="1" w:styleId="SideHeading">
    <w:name w:val="Side Heading"/>
    <w:basedOn w:val="HeadingBase"/>
    <w:rsid w:val="001431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146"/>
    <w:pPr>
      <w:numPr>
        <w:numId w:val="10"/>
      </w:numPr>
    </w:pPr>
  </w:style>
  <w:style w:type="paragraph" w:styleId="PlainText">
    <w:name w:val="Plain Text"/>
    <w:basedOn w:val="Normal"/>
    <w:link w:val="PlainTextChar"/>
    <w:rsid w:val="00143146"/>
    <w:rPr>
      <w:sz w:val="20"/>
    </w:rPr>
  </w:style>
  <w:style w:type="character" w:customStyle="1" w:styleId="PlainTextChar">
    <w:name w:val="Plain Text Char"/>
    <w:basedOn w:val="DefaultParagraphFont"/>
    <w:link w:val="PlainText"/>
    <w:rsid w:val="001431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3146"/>
    <w:rPr>
      <w:b/>
      <w:smallCaps/>
    </w:rPr>
  </w:style>
  <w:style w:type="paragraph" w:customStyle="1" w:styleId="TableListNumber">
    <w:name w:val="Table List Number"/>
    <w:basedOn w:val="ListNumber"/>
    <w:rsid w:val="00143146"/>
    <w:pPr>
      <w:numPr>
        <w:numId w:val="0"/>
      </w:numPr>
    </w:pPr>
  </w:style>
  <w:style w:type="paragraph" w:styleId="TOC4">
    <w:name w:val="toc 4"/>
    <w:basedOn w:val="TOCBase"/>
    <w:next w:val="Normal"/>
    <w:semiHidden/>
    <w:rsid w:val="00143146"/>
    <w:pPr>
      <w:tabs>
        <w:tab w:val="right" w:leader="dot" w:pos="9071"/>
      </w:tabs>
      <w:ind w:left="1701"/>
    </w:pPr>
  </w:style>
  <w:style w:type="paragraph" w:customStyle="1" w:styleId="ListAlpha">
    <w:name w:val="List Alpha"/>
    <w:basedOn w:val="List"/>
    <w:rsid w:val="00143146"/>
    <w:pPr>
      <w:numPr>
        <w:numId w:val="7"/>
      </w:numPr>
    </w:pPr>
  </w:style>
  <w:style w:type="paragraph" w:customStyle="1" w:styleId="ListAlpha2">
    <w:name w:val="List Alpha 2"/>
    <w:basedOn w:val="List2"/>
    <w:rsid w:val="00143146"/>
    <w:pPr>
      <w:numPr>
        <w:numId w:val="6"/>
      </w:numPr>
    </w:pPr>
  </w:style>
  <w:style w:type="paragraph" w:styleId="List2">
    <w:name w:val="List 2"/>
    <w:basedOn w:val="BodyText"/>
    <w:rsid w:val="00143146"/>
    <w:pPr>
      <w:tabs>
        <w:tab w:val="left" w:pos="680"/>
      </w:tabs>
      <w:spacing w:before="60" w:after="60"/>
      <w:ind w:left="680" w:hanging="340"/>
    </w:pPr>
  </w:style>
  <w:style w:type="paragraph" w:styleId="List3">
    <w:name w:val="List 3"/>
    <w:basedOn w:val="BodyText"/>
    <w:rsid w:val="00143146"/>
    <w:pPr>
      <w:tabs>
        <w:tab w:val="left" w:pos="1021"/>
      </w:tabs>
      <w:spacing w:before="60" w:after="60"/>
      <w:ind w:left="1020" w:hanging="340"/>
    </w:pPr>
  </w:style>
  <w:style w:type="paragraph" w:styleId="List4">
    <w:name w:val="List 4"/>
    <w:basedOn w:val="BodyText"/>
    <w:rsid w:val="00143146"/>
    <w:pPr>
      <w:tabs>
        <w:tab w:val="left" w:pos="1361"/>
      </w:tabs>
      <w:spacing w:before="60" w:after="60"/>
      <w:ind w:left="1361" w:hanging="340"/>
    </w:pPr>
  </w:style>
  <w:style w:type="paragraph" w:styleId="List5">
    <w:name w:val="List 5"/>
    <w:basedOn w:val="BodyText"/>
    <w:rsid w:val="00143146"/>
    <w:pPr>
      <w:tabs>
        <w:tab w:val="left" w:pos="1701"/>
      </w:tabs>
      <w:spacing w:before="60" w:after="60"/>
      <w:ind w:left="1701" w:hanging="340"/>
    </w:pPr>
  </w:style>
  <w:style w:type="paragraph" w:styleId="ListBullet3">
    <w:name w:val="List Bullet 3"/>
    <w:basedOn w:val="List3"/>
    <w:rsid w:val="00143146"/>
    <w:pPr>
      <w:numPr>
        <w:numId w:val="13"/>
      </w:numPr>
      <w:tabs>
        <w:tab w:val="clear" w:pos="1021"/>
      </w:tabs>
      <w:ind w:left="1037" w:hanging="357"/>
    </w:pPr>
  </w:style>
  <w:style w:type="paragraph" w:styleId="ListBullet4">
    <w:name w:val="List Bullet 4"/>
    <w:basedOn w:val="List4"/>
    <w:rsid w:val="00143146"/>
    <w:pPr>
      <w:numPr>
        <w:numId w:val="1"/>
      </w:numPr>
    </w:pPr>
  </w:style>
  <w:style w:type="paragraph" w:styleId="ListBullet5">
    <w:name w:val="List Bullet 5"/>
    <w:basedOn w:val="List5"/>
    <w:rsid w:val="00143146"/>
    <w:pPr>
      <w:numPr>
        <w:numId w:val="2"/>
      </w:numPr>
    </w:pPr>
  </w:style>
  <w:style w:type="paragraph" w:styleId="ListContinue2">
    <w:name w:val="List Continue 2"/>
    <w:basedOn w:val="List2"/>
    <w:rsid w:val="00143146"/>
    <w:pPr>
      <w:ind w:firstLine="0"/>
    </w:pPr>
  </w:style>
  <w:style w:type="paragraph" w:styleId="ListContinue3">
    <w:name w:val="List Continue 3"/>
    <w:basedOn w:val="List3"/>
    <w:rsid w:val="00143146"/>
    <w:pPr>
      <w:ind w:left="1021" w:firstLine="0"/>
    </w:pPr>
  </w:style>
  <w:style w:type="paragraph" w:styleId="ListContinue4">
    <w:name w:val="List Continue 4"/>
    <w:basedOn w:val="List4"/>
    <w:rsid w:val="00143146"/>
    <w:pPr>
      <w:ind w:firstLine="0"/>
    </w:pPr>
  </w:style>
  <w:style w:type="paragraph" w:styleId="ListContinue5">
    <w:name w:val="List Continue 5"/>
    <w:basedOn w:val="List5"/>
    <w:rsid w:val="00143146"/>
    <w:pPr>
      <w:ind w:firstLine="0"/>
    </w:pPr>
  </w:style>
  <w:style w:type="paragraph" w:styleId="ListNumber3">
    <w:name w:val="List Number 3"/>
    <w:basedOn w:val="List3"/>
    <w:rsid w:val="00143146"/>
    <w:pPr>
      <w:numPr>
        <w:numId w:val="3"/>
      </w:numPr>
    </w:pPr>
  </w:style>
  <w:style w:type="paragraph" w:styleId="ListNumber4">
    <w:name w:val="List Number 4"/>
    <w:basedOn w:val="List4"/>
    <w:rsid w:val="00143146"/>
    <w:pPr>
      <w:numPr>
        <w:numId w:val="4"/>
      </w:numPr>
    </w:pPr>
  </w:style>
  <w:style w:type="paragraph" w:styleId="ListNumber5">
    <w:name w:val="List Number 5"/>
    <w:basedOn w:val="List5"/>
    <w:rsid w:val="00143146"/>
    <w:pPr>
      <w:numPr>
        <w:numId w:val="5"/>
      </w:numPr>
    </w:pPr>
  </w:style>
  <w:style w:type="paragraph" w:styleId="BlockText">
    <w:name w:val="Block Text"/>
    <w:basedOn w:val="Normal"/>
    <w:rsid w:val="00143146"/>
    <w:pPr>
      <w:spacing w:after="120"/>
      <w:ind w:left="1440" w:right="1440"/>
    </w:pPr>
  </w:style>
  <w:style w:type="character" w:customStyle="1" w:styleId="Subscript">
    <w:name w:val="Subscript"/>
    <w:basedOn w:val="DefaultParagraphFont"/>
    <w:rsid w:val="00143146"/>
    <w:rPr>
      <w:sz w:val="16"/>
      <w:vertAlign w:val="subscript"/>
    </w:rPr>
  </w:style>
  <w:style w:type="character" w:customStyle="1" w:styleId="Superscript">
    <w:name w:val="Superscript"/>
    <w:basedOn w:val="DefaultParagraphFont"/>
    <w:rsid w:val="00143146"/>
    <w:rPr>
      <w:sz w:val="16"/>
      <w:vertAlign w:val="superscript"/>
    </w:rPr>
  </w:style>
  <w:style w:type="character" w:customStyle="1" w:styleId="Symbols">
    <w:name w:val="Symbols"/>
    <w:basedOn w:val="DefaultParagraphFont"/>
    <w:rsid w:val="00143146"/>
    <w:rPr>
      <w:rFonts w:ascii="Symbol" w:hAnsi="Symbol"/>
    </w:rPr>
  </w:style>
  <w:style w:type="character" w:customStyle="1" w:styleId="MenuOptions">
    <w:name w:val="Menu Options"/>
    <w:basedOn w:val="DefaultParagraphFont"/>
    <w:rsid w:val="00143146"/>
    <w:rPr>
      <w:rFonts w:ascii="Arial Narrow" w:hAnsi="Arial Narrow"/>
      <w:smallCaps/>
    </w:rPr>
  </w:style>
  <w:style w:type="character" w:customStyle="1" w:styleId="Buttons">
    <w:name w:val="Buttons"/>
    <w:basedOn w:val="DefaultParagraphFont"/>
    <w:rsid w:val="00143146"/>
    <w:rPr>
      <w:b/>
    </w:rPr>
  </w:style>
  <w:style w:type="character" w:customStyle="1" w:styleId="Underlined">
    <w:name w:val="Underlined"/>
    <w:basedOn w:val="DefaultParagraphFont"/>
    <w:rsid w:val="00143146"/>
    <w:rPr>
      <w:u w:val="single"/>
    </w:rPr>
  </w:style>
  <w:style w:type="paragraph" w:customStyle="1" w:styleId="TableBodyTextRight">
    <w:name w:val="Table Body Text Right"/>
    <w:basedOn w:val="TableBodyText"/>
    <w:rsid w:val="00143146"/>
    <w:pPr>
      <w:widowControl w:val="0"/>
      <w:autoSpaceDE w:val="0"/>
      <w:autoSpaceDN w:val="0"/>
      <w:adjustRightInd w:val="0"/>
      <w:jc w:val="right"/>
    </w:pPr>
    <w:rPr>
      <w:rFonts w:cs="Arial"/>
      <w:szCs w:val="18"/>
    </w:rPr>
  </w:style>
  <w:style w:type="paragraph" w:customStyle="1" w:styleId="CopyrightText">
    <w:name w:val="Copyright Text"/>
    <w:basedOn w:val="BodyText"/>
    <w:rsid w:val="00143146"/>
    <w:rPr>
      <w:sz w:val="18"/>
    </w:rPr>
  </w:style>
  <w:style w:type="paragraph" w:customStyle="1" w:styleId="BodySmallRight">
    <w:name w:val="Body Small Right"/>
    <w:basedOn w:val="BodyTextRight"/>
    <w:rsid w:val="00143146"/>
    <w:rPr>
      <w:sz w:val="18"/>
      <w:szCs w:val="18"/>
    </w:rPr>
  </w:style>
  <w:style w:type="paragraph" w:customStyle="1" w:styleId="MarginEdition">
    <w:name w:val="Margin Edition"/>
    <w:basedOn w:val="MarginNote"/>
    <w:rsid w:val="00143146"/>
    <w:pPr>
      <w:spacing w:before="0" w:after="0"/>
    </w:pPr>
    <w:rPr>
      <w:rFonts w:ascii="Times New Roman" w:hAnsi="Times New Roman"/>
      <w:color w:val="999999"/>
    </w:rPr>
  </w:style>
  <w:style w:type="paragraph" w:customStyle="1" w:styleId="Spacer">
    <w:name w:val="Spacer"/>
    <w:basedOn w:val="Normal"/>
    <w:rsid w:val="00143146"/>
    <w:rPr>
      <w:sz w:val="2"/>
      <w:szCs w:val="2"/>
    </w:rPr>
  </w:style>
  <w:style w:type="character" w:customStyle="1" w:styleId="Small">
    <w:name w:val="Small"/>
    <w:basedOn w:val="DefaultParagraphFont"/>
    <w:rsid w:val="00143146"/>
    <w:rPr>
      <w:sz w:val="16"/>
    </w:rPr>
  </w:style>
  <w:style w:type="paragraph" w:customStyle="1" w:styleId="WideTable">
    <w:name w:val="Wide Table"/>
    <w:basedOn w:val="Normal"/>
    <w:rsid w:val="00143146"/>
    <w:pPr>
      <w:ind w:left="-1418"/>
    </w:pPr>
    <w:rPr>
      <w:sz w:val="2"/>
      <w:szCs w:val="2"/>
    </w:rPr>
  </w:style>
  <w:style w:type="character" w:styleId="PageNumber">
    <w:name w:val="page number"/>
    <w:basedOn w:val="DefaultParagraphFont"/>
    <w:rsid w:val="00143146"/>
  </w:style>
  <w:style w:type="paragraph" w:styleId="Quote">
    <w:name w:val="Quote"/>
    <w:basedOn w:val="Heading1"/>
    <w:link w:val="QuoteChar"/>
    <w:qFormat/>
    <w:rsid w:val="00143146"/>
    <w:rPr>
      <w:b w:val="0"/>
      <w:sz w:val="72"/>
      <w:szCs w:val="72"/>
      <w:lang w:val="en-NZ"/>
    </w:rPr>
  </w:style>
  <w:style w:type="character" w:customStyle="1" w:styleId="QuoteChar">
    <w:name w:val="Quote Char"/>
    <w:basedOn w:val="DefaultParagraphFont"/>
    <w:link w:val="Quote"/>
    <w:rsid w:val="001431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146"/>
    <w:pPr>
      <w:pageBreakBefore/>
    </w:pPr>
  </w:style>
  <w:style w:type="paragraph" w:customStyle="1" w:styleId="Border">
    <w:name w:val="Border"/>
    <w:basedOn w:val="Normal"/>
    <w:qFormat/>
    <w:rsid w:val="001431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146"/>
    <w:rPr>
      <w:b/>
      <w:bCs/>
      <w:i/>
      <w:iCs/>
      <w:color w:val="auto"/>
    </w:rPr>
  </w:style>
  <w:style w:type="paragraph" w:styleId="IntenseQuote">
    <w:name w:val="Intense Quote"/>
    <w:basedOn w:val="Normal"/>
    <w:next w:val="Normal"/>
    <w:link w:val="IntenseQuoteChar"/>
    <w:uiPriority w:val="30"/>
    <w:qFormat/>
    <w:rsid w:val="001431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1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3146"/>
    <w:rPr>
      <w:smallCaps/>
      <w:color w:val="auto"/>
      <w:u w:val="single"/>
    </w:rPr>
  </w:style>
  <w:style w:type="character" w:styleId="IntenseReference">
    <w:name w:val="Intense Reference"/>
    <w:basedOn w:val="DefaultParagraphFont"/>
    <w:uiPriority w:val="32"/>
    <w:qFormat/>
    <w:rsid w:val="00143146"/>
    <w:rPr>
      <w:b/>
      <w:bCs/>
      <w:smallCaps/>
      <w:color w:val="auto"/>
      <w:spacing w:val="5"/>
      <w:u w:val="single"/>
    </w:rPr>
  </w:style>
  <w:style w:type="paragraph" w:customStyle="1" w:styleId="2ColumnHeading">
    <w:name w:val="2Column Heading"/>
    <w:basedOn w:val="BodyText"/>
    <w:qFormat/>
    <w:rsid w:val="00143146"/>
    <w:pPr>
      <w:spacing w:after="60"/>
      <w:ind w:left="-2268"/>
    </w:pPr>
    <w:rPr>
      <w:b/>
    </w:rPr>
  </w:style>
  <w:style w:type="paragraph" w:customStyle="1" w:styleId="Heading1TOC">
    <w:name w:val="Heading1 TOC"/>
    <w:basedOn w:val="Normal"/>
    <w:qFormat/>
    <w:rsid w:val="00143146"/>
    <w:pPr>
      <w:spacing w:before="240" w:after="120"/>
    </w:pPr>
    <w:rPr>
      <w:rFonts w:ascii="Times New Roman" w:hAnsi="Times New Roman"/>
      <w:b/>
      <w:sz w:val="32"/>
    </w:rPr>
  </w:style>
  <w:style w:type="paragraph" w:customStyle="1" w:styleId="Heading2TOC">
    <w:name w:val="Heading2 TOC"/>
    <w:basedOn w:val="Normal"/>
    <w:qFormat/>
    <w:rsid w:val="00143146"/>
    <w:pPr>
      <w:spacing w:before="240" w:after="60"/>
    </w:pPr>
    <w:rPr>
      <w:rFonts w:ascii="Times New Roman" w:hAnsi="Times New Roman"/>
      <w:b/>
      <w:sz w:val="28"/>
    </w:rPr>
  </w:style>
  <w:style w:type="character" w:customStyle="1" w:styleId="Underline">
    <w:name w:val="Underline"/>
    <w:basedOn w:val="DefaultParagraphFont"/>
    <w:qFormat/>
    <w:rsid w:val="00143146"/>
    <w:rPr>
      <w:u w:val="single"/>
    </w:rPr>
  </w:style>
  <w:style w:type="character" w:customStyle="1" w:styleId="BoldandItalics">
    <w:name w:val="Bold and Italics"/>
    <w:qFormat/>
    <w:rsid w:val="00143146"/>
    <w:rPr>
      <w:b/>
      <w:i/>
      <w:u w:val="none"/>
    </w:rPr>
  </w:style>
  <w:style w:type="paragraph" w:styleId="BalloonText">
    <w:name w:val="Balloon Text"/>
    <w:basedOn w:val="Normal"/>
    <w:link w:val="BalloonTextChar"/>
    <w:rsid w:val="00143146"/>
    <w:rPr>
      <w:rFonts w:ascii="Tahoma" w:hAnsi="Tahoma" w:cs="Tahoma"/>
      <w:sz w:val="16"/>
      <w:szCs w:val="16"/>
    </w:rPr>
  </w:style>
  <w:style w:type="character" w:customStyle="1" w:styleId="BalloonTextChar">
    <w:name w:val="Balloon Text Char"/>
    <w:basedOn w:val="DefaultParagraphFont"/>
    <w:link w:val="BalloonText"/>
    <w:rsid w:val="001431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31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31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1102</Words>
  <Characters>7155</Characters>
  <Application>Microsoft Office Word</Application>
  <DocSecurity>0</DocSecurity>
  <Lines>272</Lines>
  <Paragraphs>118</Paragraphs>
  <ScaleCrop>false</ScaleCrop>
  <Company>Author-it Software Corporation Ltd.</Company>
  <LinksUpToDate>false</LinksUpToDate>
  <CharactersWithSpaces>8192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RTE5920A Negotiate and monitor contracts/commercial agreements</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2012-05-27T07:44:00Z</dcterms:created>
  <dcterms:modified xsi:type="dcterms:W3CDTF">2012-05-27T07:44:00Z</dcterms:modified>
</cp:coreProperties>
</file>