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6D3C" w:rsidP="00116D3C">
      <w:pPr>
        <w:pStyle w:val="Title"/>
      </w:pPr>
      <w:r>
        <w:fldChar w:fldCharType="begin"/>
      </w:r>
      <w:r>
        <w:instrText xml:space="preserve"> TITLE   \* MERGEFORMAT </w:instrText>
      </w:r>
      <w:r>
        <w:fldChar w:fldCharType="separate"/>
      </w:r>
      <w:r>
        <w:t>RTE5523A Develop climatic risk management strategies</w:t>
      </w:r>
      <w:r>
        <w:fldChar w:fldCharType="end"/>
      </w:r>
    </w:p>
    <w:p w:rsidR="00116D3C" w:rsidP="00116D3C">
      <w:pPr>
        <w:pStyle w:val="Version"/>
        <w:sectPr w:rsidSect="00ED013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013E" w:rsidP="00ED013E">
      <w:pPr>
        <w:pStyle w:val="SuperHeading"/>
      </w:pPr>
      <w:r w:rsidRPr="00ED013E">
        <w:t>RTE5523A Develop climatic risk management strategies</w:t>
      </w:r>
    </w:p>
    <w:p w:rsidR="00000000" w:rsidRPr="00ED013E" w:rsidP="00ED013E">
      <w:pPr>
        <w:pStyle w:val="Heading1"/>
      </w:pPr>
      <w:bookmarkStart w:id="1" w:name="O_319548"/>
      <w:bookmarkEnd w:id="1"/>
      <w:r w:rsidRPr="00ED013E">
        <w:t>Modification History</w:t>
      </w:r>
    </w:p>
    <w:p w:rsidR="00000000" w:rsidRPr="00ED013E" w:rsidP="00ED013E">
      <w:pPr>
        <w:pStyle w:val="BodyText"/>
      </w:pPr>
      <w:r w:rsidRPr="00ED013E">
        <w:t>Not applicable.</w:t>
      </w:r>
    </w:p>
    <w:p w:rsidR="00000000" w:rsidRPr="00ED013E" w:rsidP="00ED013E">
      <w:pPr>
        <w:pStyle w:val="AllowPageBreak"/>
      </w:pPr>
    </w:p>
    <w:p w:rsidR="00000000" w:rsidRPr="00ED013E" w:rsidP="00ED013E">
      <w:pPr>
        <w:pStyle w:val="Heading1"/>
      </w:pPr>
      <w:bookmarkStart w:id="2" w:name="O_319550"/>
      <w:bookmarkEnd w:id="2"/>
      <w:r w:rsidRPr="00ED013E">
        <w:t>Unit Descriptor</w:t>
      </w:r>
    </w:p>
    <w:p w:rsidR="00000000" w:rsidRPr="00ED013E" w:rsidP="00ED013E">
      <w:pPr>
        <w:pStyle w:val="BodyText"/>
      </w:pPr>
      <w:r w:rsidRPr="00ED013E">
        <w:t>This competency standard describes the work function associated with developing climate risk management strategie</w:t>
      </w:r>
      <w:r w:rsidRPr="00ED013E">
        <w:t>s for an agricultural, horticultural or land management enterprise.  It requires the ability to research climate and enterprise data, analyse and interpret climate and enterprise data, prepare risk management strategies, and integrate climate risk and oppo</w:t>
      </w:r>
      <w:r w:rsidRPr="00ED013E">
        <w:t>rtunities for management strategies at a business management level.  Developing climate risk management strategies requires knowledge of current forecasting techniques, impact of weather and climate phenomena on rainfall, plant growth and yields, livestock</w:t>
      </w:r>
      <w:r w:rsidRPr="00ED013E">
        <w:t xml:space="preserve"> production, causes of general patterns of weather and climate over Australia, climate variability and climate change, and direct and indirect impacts of climate variability on land management and sustainability.</w:t>
      </w:r>
    </w:p>
    <w:p w:rsidR="00000000" w:rsidRPr="00ED013E" w:rsidP="00ED013E">
      <w:pPr>
        <w:pStyle w:val="AllowPageBreak"/>
      </w:pPr>
    </w:p>
    <w:p w:rsidR="00000000" w:rsidRPr="00ED013E" w:rsidP="00ED013E">
      <w:pPr>
        <w:pStyle w:val="Heading1"/>
      </w:pPr>
      <w:bookmarkStart w:id="3" w:name="O_319547"/>
      <w:bookmarkEnd w:id="3"/>
      <w:r w:rsidRPr="00ED013E">
        <w:t>Application of the Unit</w:t>
      </w:r>
    </w:p>
    <w:p w:rsidR="00000000" w:rsidRPr="00ED013E" w:rsidP="00ED013E">
      <w:pPr>
        <w:pStyle w:val="BodyText"/>
      </w:pPr>
      <w:r w:rsidRPr="00ED013E">
        <w:t>No</w:t>
      </w:r>
      <w:r w:rsidRPr="00ED013E">
        <w:t>t applicable.</w:t>
      </w:r>
    </w:p>
    <w:p w:rsidR="00000000" w:rsidRPr="00ED013E" w:rsidP="00ED013E">
      <w:pPr>
        <w:pStyle w:val="AllowPageBreak"/>
      </w:pPr>
    </w:p>
    <w:p w:rsidR="00000000" w:rsidRPr="00ED013E" w:rsidP="00ED013E">
      <w:pPr>
        <w:pStyle w:val="Heading1"/>
      </w:pPr>
      <w:bookmarkStart w:id="4" w:name="O_319546"/>
      <w:bookmarkEnd w:id="4"/>
      <w:r w:rsidRPr="00ED013E">
        <w:t>Licensing/Regulatory Information</w:t>
      </w:r>
    </w:p>
    <w:p w:rsidR="00000000" w:rsidRPr="00ED013E" w:rsidP="00ED013E">
      <w:pPr>
        <w:pStyle w:val="BodyText"/>
      </w:pPr>
      <w:r w:rsidRPr="00ED013E">
        <w:t>Not applicable.</w:t>
      </w:r>
    </w:p>
    <w:p w:rsidR="00000000" w:rsidRPr="00ED013E" w:rsidP="00ED013E">
      <w:pPr>
        <w:pStyle w:val="AllowPageBreak"/>
      </w:pPr>
    </w:p>
    <w:p w:rsidR="00000000" w:rsidRPr="00ED013E" w:rsidP="00ED013E">
      <w:pPr>
        <w:pStyle w:val="Heading1"/>
      </w:pPr>
      <w:bookmarkStart w:id="5" w:name="O_319545"/>
      <w:bookmarkEnd w:id="5"/>
      <w:r w:rsidRPr="00ED013E">
        <w:t>Pre-Requisites</w:t>
      </w:r>
    </w:p>
    <w:p w:rsidR="00000000" w:rsidRPr="00ED013E" w:rsidP="00ED013E">
      <w:pPr>
        <w:pStyle w:val="BodyText"/>
      </w:pPr>
      <w:r w:rsidRPr="00ED013E">
        <w:t>Not applicable.</w:t>
      </w:r>
    </w:p>
    <w:p w:rsidR="00000000" w:rsidRPr="00ED013E" w:rsidP="00ED013E">
      <w:pPr>
        <w:pStyle w:val="AllowPageBreak"/>
      </w:pPr>
    </w:p>
    <w:p w:rsidR="00000000" w:rsidRPr="00ED013E" w:rsidP="00ED013E">
      <w:pPr>
        <w:pStyle w:val="Heading1"/>
      </w:pPr>
      <w:bookmarkStart w:id="6" w:name="O_319544"/>
      <w:bookmarkEnd w:id="6"/>
      <w:r w:rsidRPr="00ED013E">
        <w:t>Employability Skills Information</w:t>
      </w:r>
    </w:p>
    <w:p w:rsidR="00000000" w:rsidRPr="00ED013E" w:rsidP="00ED013E">
      <w:pPr>
        <w:pStyle w:val="BodyText"/>
      </w:pPr>
      <w:r w:rsidRPr="00ED013E">
        <w:t>Not applicable.</w:t>
      </w:r>
    </w:p>
    <w:p w:rsidR="00000000" w:rsidRPr="00ED013E" w:rsidP="00ED013E">
      <w:pPr>
        <w:pStyle w:val="AllowPageBreak"/>
      </w:pPr>
    </w:p>
    <w:p w:rsidR="00000000" w:rsidRPr="00ED013E" w:rsidP="00ED013E">
      <w:pPr>
        <w:pStyle w:val="Heading1"/>
      </w:pPr>
      <w:bookmarkStart w:id="7" w:name="O_319539"/>
      <w:bookmarkEnd w:id="7"/>
      <w:r w:rsidRPr="00ED013E">
        <w:t>Elements and Performance Criteria Pre-Content</w:t>
      </w:r>
    </w:p>
    <w:p w:rsidR="00000000" w:rsidRPr="00ED013E" w:rsidP="00ED013E">
      <w:pPr>
        <w:pStyle w:val="BodyText"/>
      </w:pPr>
      <w:r w:rsidRPr="00ED013E">
        <w:t>Not applicable.</w:t>
      </w:r>
    </w:p>
    <w:p w:rsidR="00000000" w:rsidRPr="00ED013E" w:rsidP="00ED013E">
      <w:pPr>
        <w:pStyle w:val="AllowPageBreak"/>
      </w:pPr>
    </w:p>
    <w:p w:rsidR="00000000" w:rsidRPr="00ED013E" w:rsidP="00ED013E">
      <w:pPr>
        <w:pStyle w:val="Heading1"/>
      </w:pPr>
      <w:bookmarkStart w:id="8" w:name="O_319543"/>
      <w:bookmarkEnd w:id="8"/>
      <w:r w:rsidRPr="00ED013E">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116D3C">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ED013E">
            <w:pPr>
              <w:pStyle w:val="BodyText"/>
              <w:rPr>
                <w:lang w:val="en-NZ"/>
              </w:rPr>
            </w:pPr>
            <w:r w:rsidRPr="00ED013E">
              <w:rPr>
                <w:rStyle w:val="SpecialBold"/>
              </w:rPr>
              <w:t>Elements and Performance Criteria</w:t>
            </w:r>
          </w:p>
        </w:tc>
      </w:tr>
      <w:tr w:rsidTr="00116D3C">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ED013E" w:rsidP="00ED013E">
            <w:pPr>
              <w:pStyle w:val="BodyText"/>
            </w:pPr>
            <w:r w:rsidRPr="00ED013E">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ED013E">
            <w:pPr>
              <w:pStyle w:val="BodyText"/>
              <w:rPr>
                <w:lang w:val="en-NZ"/>
              </w:rPr>
            </w:pPr>
            <w:r w:rsidRPr="00ED013E">
              <w:rPr>
                <w:rStyle w:val="SpecialBold"/>
              </w:rPr>
              <w:t>Performance Criteria</w:t>
            </w:r>
          </w:p>
        </w:tc>
      </w:tr>
      <w:tr w:rsidTr="00116D3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D013E">
            <w:pPr>
              <w:pStyle w:val="BodyText"/>
              <w:rPr>
                <w:lang w:val="en-NZ"/>
              </w:rPr>
            </w:pPr>
            <w:r w:rsidRPr="00ED013E">
              <w:t>1</w:t>
            </w:r>
          </w:p>
        </w:tc>
        <w:tc>
          <w:tcPr>
            <w:tcW w:w="3000" w:type="dxa"/>
            <w:vMerge w:val="restart"/>
            <w:tcBorders>
              <w:top w:val="nil"/>
              <w:left w:val="nil"/>
              <w:bottom w:val="nil"/>
              <w:right w:val="nil"/>
            </w:tcBorders>
            <w:tcMar>
              <w:top w:w="0" w:type="dxa"/>
              <w:left w:w="62" w:type="dxa"/>
              <w:bottom w:w="0" w:type="dxa"/>
              <w:right w:w="62" w:type="dxa"/>
            </w:tcMar>
          </w:tcPr>
          <w:p w:rsidR="00000000" w:rsidP="00ED013E">
            <w:pPr>
              <w:pStyle w:val="BodyText"/>
              <w:rPr>
                <w:lang w:val="en-NZ"/>
              </w:rPr>
            </w:pPr>
            <w:r w:rsidRPr="00ED013E">
              <w:t>Survey climate and enterprise data</w:t>
            </w:r>
          </w:p>
        </w:tc>
        <w:tc>
          <w:tcPr>
            <w:tcW w:w="500" w:type="dxa"/>
            <w:tcBorders>
              <w:top w:val="nil"/>
              <w:left w:val="nil"/>
              <w:bottom w:val="nil"/>
              <w:right w:val="nil"/>
            </w:tcBorders>
            <w:tcMar>
              <w:top w:w="0" w:type="dxa"/>
              <w:left w:w="62" w:type="dxa"/>
              <w:bottom w:w="0" w:type="dxa"/>
              <w:right w:w="62" w:type="dxa"/>
            </w:tcMar>
          </w:tcPr>
          <w:p w:rsidR="00000000" w:rsidP="00ED013E">
            <w:pPr>
              <w:pStyle w:val="BodyText"/>
              <w:rPr>
                <w:lang w:val="en-NZ"/>
              </w:rPr>
            </w:pPr>
            <w:r w:rsidRPr="00ED013E">
              <w:t>1.1</w:t>
            </w:r>
          </w:p>
        </w:tc>
        <w:tc>
          <w:tcPr>
            <w:tcW w:w="5100" w:type="dxa"/>
            <w:tcBorders>
              <w:top w:val="nil"/>
              <w:left w:val="nil"/>
              <w:bottom w:val="nil"/>
              <w:right w:val="nil"/>
            </w:tcBorders>
            <w:tcMar>
              <w:top w:w="0" w:type="dxa"/>
              <w:left w:w="62" w:type="dxa"/>
              <w:bottom w:w="0" w:type="dxa"/>
              <w:right w:w="62" w:type="dxa"/>
            </w:tcMar>
          </w:tcPr>
          <w:p w:rsidR="00000000" w:rsidP="00ED013E">
            <w:pPr>
              <w:pStyle w:val="BodyText"/>
              <w:rPr>
                <w:lang w:val="en-NZ"/>
              </w:rPr>
            </w:pPr>
            <w:r w:rsidRPr="00ED013E">
              <w:t>Historical climate data is obtained and interpreted from a range of sources.</w:t>
            </w:r>
          </w:p>
        </w:tc>
      </w:tr>
      <w:tr w:rsidTr="00116D3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D013E">
            <w:pPr>
              <w:pStyle w:val="BodyText"/>
              <w:rPr>
                <w:lang w:val="en-NZ"/>
              </w:rPr>
            </w:pPr>
            <w:r w:rsidRPr="00ED013E">
              <w:t>1.2</w:t>
            </w:r>
          </w:p>
        </w:tc>
        <w:tc>
          <w:tcPr>
            <w:tcW w:w="5100" w:type="dxa"/>
            <w:tcBorders>
              <w:top w:val="nil"/>
              <w:left w:val="nil"/>
              <w:bottom w:val="nil"/>
              <w:right w:val="nil"/>
            </w:tcBorders>
            <w:tcMar>
              <w:top w:w="0" w:type="dxa"/>
              <w:left w:w="62" w:type="dxa"/>
              <w:bottom w:w="0" w:type="dxa"/>
              <w:right w:w="62" w:type="dxa"/>
            </w:tcMar>
          </w:tcPr>
          <w:p w:rsidR="00000000" w:rsidP="00ED013E">
            <w:pPr>
              <w:pStyle w:val="BodyText"/>
              <w:rPr>
                <w:lang w:val="en-NZ"/>
              </w:rPr>
            </w:pPr>
            <w:r w:rsidRPr="00ED013E">
              <w:t xml:space="preserve">Weather and climate </w:t>
            </w:r>
            <w:r w:rsidRPr="00ED013E">
              <w:rPr>
                <w:rStyle w:val="SpecialBold"/>
              </w:rPr>
              <w:t xml:space="preserve">risk factors </w:t>
            </w:r>
            <w:r w:rsidRPr="00ED013E">
              <w:t>are identified.</w:t>
            </w:r>
          </w:p>
        </w:tc>
      </w:tr>
      <w:tr w:rsidTr="00116D3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D013E">
            <w:pPr>
              <w:pStyle w:val="BodyText"/>
              <w:rPr>
                <w:lang w:val="en-NZ"/>
              </w:rPr>
            </w:pPr>
            <w:r w:rsidRPr="00ED013E">
              <w:t>1.3</w:t>
            </w:r>
          </w:p>
        </w:tc>
        <w:tc>
          <w:tcPr>
            <w:tcW w:w="5100" w:type="dxa"/>
            <w:tcBorders>
              <w:top w:val="nil"/>
              <w:left w:val="nil"/>
              <w:bottom w:val="nil"/>
              <w:right w:val="nil"/>
            </w:tcBorders>
            <w:tcMar>
              <w:top w:w="0" w:type="dxa"/>
              <w:left w:w="62" w:type="dxa"/>
              <w:bottom w:w="0" w:type="dxa"/>
              <w:right w:w="62" w:type="dxa"/>
            </w:tcMar>
          </w:tcPr>
          <w:p w:rsidR="00000000" w:rsidP="00ED013E">
            <w:pPr>
              <w:pStyle w:val="BodyText"/>
              <w:rPr>
                <w:lang w:val="en-NZ"/>
              </w:rPr>
            </w:pPr>
            <w:r w:rsidRPr="00ED013E">
              <w:t xml:space="preserve">Information on normal and </w:t>
            </w:r>
            <w:r w:rsidRPr="00ED013E">
              <w:rPr>
                <w:rStyle w:val="SpecialBold"/>
              </w:rPr>
              <w:t xml:space="preserve">significant climate events </w:t>
            </w:r>
            <w:r w:rsidRPr="00ED013E">
              <w:t>and their impact on natural and rural systems is collected.</w:t>
            </w:r>
          </w:p>
        </w:tc>
      </w:tr>
      <w:tr w:rsidTr="00116D3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D013E">
            <w:pPr>
              <w:pStyle w:val="BodyText"/>
              <w:rPr>
                <w:lang w:val="en-NZ"/>
              </w:rPr>
            </w:pPr>
            <w:r w:rsidRPr="00ED013E">
              <w:t>1.4</w:t>
            </w:r>
          </w:p>
        </w:tc>
        <w:tc>
          <w:tcPr>
            <w:tcW w:w="5100" w:type="dxa"/>
            <w:tcBorders>
              <w:top w:val="nil"/>
              <w:left w:val="nil"/>
              <w:bottom w:val="nil"/>
              <w:right w:val="nil"/>
            </w:tcBorders>
            <w:tcMar>
              <w:top w:w="0" w:type="dxa"/>
              <w:left w:w="62" w:type="dxa"/>
              <w:bottom w:w="0" w:type="dxa"/>
              <w:right w:w="62" w:type="dxa"/>
            </w:tcMar>
          </w:tcPr>
          <w:p w:rsidR="00000000" w:rsidP="00ED013E">
            <w:pPr>
              <w:pStyle w:val="BodyText"/>
              <w:rPr>
                <w:lang w:val="en-NZ"/>
              </w:rPr>
            </w:pPr>
            <w:r w:rsidRPr="00ED013E">
              <w:t xml:space="preserve">Current and historical property and enterprise </w:t>
            </w:r>
            <w:r w:rsidRPr="00ED013E">
              <w:rPr>
                <w:rStyle w:val="SpecialBold"/>
              </w:rPr>
              <w:t xml:space="preserve">situation </w:t>
            </w:r>
            <w:r w:rsidRPr="00ED013E">
              <w:t>is detailed according to enterprise guidelines.</w:t>
            </w:r>
          </w:p>
        </w:tc>
      </w:tr>
      <w:tr w:rsidTr="00116D3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D013E">
            <w:pPr>
              <w:pStyle w:val="BodyText"/>
              <w:rPr>
                <w:lang w:val="en-NZ"/>
              </w:rPr>
            </w:pPr>
            <w:r w:rsidRPr="00ED013E">
              <w:t>1.5</w:t>
            </w:r>
          </w:p>
        </w:tc>
        <w:tc>
          <w:tcPr>
            <w:tcW w:w="5100" w:type="dxa"/>
            <w:tcBorders>
              <w:top w:val="nil"/>
              <w:left w:val="nil"/>
              <w:bottom w:val="nil"/>
              <w:right w:val="nil"/>
            </w:tcBorders>
            <w:tcMar>
              <w:top w:w="0" w:type="dxa"/>
              <w:left w:w="62" w:type="dxa"/>
              <w:bottom w:w="0" w:type="dxa"/>
              <w:right w:w="62" w:type="dxa"/>
            </w:tcMar>
          </w:tcPr>
          <w:p w:rsidR="00000000" w:rsidP="00ED013E">
            <w:pPr>
              <w:pStyle w:val="BodyText"/>
              <w:rPr>
                <w:lang w:val="en-NZ"/>
              </w:rPr>
            </w:pPr>
            <w:r w:rsidRPr="00ED013E">
              <w:t>Short and long term enterprise goals are reviewed.</w:t>
            </w:r>
          </w:p>
        </w:tc>
      </w:tr>
      <w:tr w:rsidTr="00116D3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D013E">
            <w:pPr>
              <w:pStyle w:val="BodyText"/>
              <w:rPr>
                <w:lang w:val="en-NZ"/>
              </w:rPr>
            </w:pPr>
            <w:r w:rsidRPr="00ED013E">
              <w:t>1.6</w:t>
            </w:r>
          </w:p>
        </w:tc>
        <w:tc>
          <w:tcPr>
            <w:tcW w:w="5100" w:type="dxa"/>
            <w:tcBorders>
              <w:top w:val="nil"/>
              <w:left w:val="nil"/>
              <w:bottom w:val="nil"/>
              <w:right w:val="nil"/>
            </w:tcBorders>
            <w:tcMar>
              <w:top w:w="0" w:type="dxa"/>
              <w:left w:w="62" w:type="dxa"/>
              <w:bottom w:w="0" w:type="dxa"/>
              <w:right w:w="62" w:type="dxa"/>
            </w:tcMar>
          </w:tcPr>
          <w:p w:rsidR="00000000" w:rsidP="00ED013E">
            <w:pPr>
              <w:pStyle w:val="BodyText"/>
              <w:rPr>
                <w:lang w:val="en-NZ"/>
              </w:rPr>
            </w:pPr>
            <w:r w:rsidRPr="00ED013E">
              <w:t>Climate and enterprise data is sourced, presented and updated according to enterprise requirements.</w:t>
            </w:r>
          </w:p>
        </w:tc>
      </w:tr>
      <w:tr w:rsidTr="00116D3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D013E">
            <w:pPr>
              <w:pStyle w:val="BodyText"/>
              <w:rPr>
                <w:lang w:val="en-NZ"/>
              </w:rPr>
            </w:pPr>
            <w:r w:rsidRPr="00ED013E">
              <w:t>2</w:t>
            </w:r>
          </w:p>
        </w:tc>
        <w:tc>
          <w:tcPr>
            <w:tcW w:w="3000" w:type="dxa"/>
            <w:vMerge w:val="restart"/>
            <w:tcBorders>
              <w:top w:val="nil"/>
              <w:left w:val="nil"/>
              <w:bottom w:val="nil"/>
              <w:right w:val="nil"/>
            </w:tcBorders>
            <w:tcMar>
              <w:top w:w="0" w:type="dxa"/>
              <w:left w:w="62" w:type="dxa"/>
              <w:bottom w:w="0" w:type="dxa"/>
              <w:right w:w="62" w:type="dxa"/>
            </w:tcMar>
          </w:tcPr>
          <w:p w:rsidR="00000000" w:rsidP="00ED013E">
            <w:pPr>
              <w:pStyle w:val="BodyText"/>
              <w:rPr>
                <w:lang w:val="en-NZ"/>
              </w:rPr>
            </w:pPr>
            <w:r w:rsidRPr="00ED013E">
              <w:t xml:space="preserve">Climate risks and </w:t>
            </w:r>
            <w:r w:rsidRPr="00ED013E">
              <w:rPr>
                <w:rStyle w:val="SpecialBold"/>
              </w:rPr>
              <w:t xml:space="preserve">opportunities </w:t>
            </w:r>
            <w:r w:rsidRPr="00ED013E">
              <w:t>are identified and analysed.</w:t>
            </w:r>
          </w:p>
        </w:tc>
        <w:tc>
          <w:tcPr>
            <w:tcW w:w="500" w:type="dxa"/>
            <w:tcBorders>
              <w:top w:val="nil"/>
              <w:left w:val="nil"/>
              <w:bottom w:val="nil"/>
              <w:right w:val="nil"/>
            </w:tcBorders>
            <w:tcMar>
              <w:top w:w="0" w:type="dxa"/>
              <w:left w:w="62" w:type="dxa"/>
              <w:bottom w:w="0" w:type="dxa"/>
              <w:right w:w="62" w:type="dxa"/>
            </w:tcMar>
          </w:tcPr>
          <w:p w:rsidR="00000000" w:rsidP="00ED013E">
            <w:pPr>
              <w:pStyle w:val="BodyText"/>
              <w:rPr>
                <w:lang w:val="en-NZ"/>
              </w:rPr>
            </w:pPr>
            <w:r w:rsidRPr="00ED013E">
              <w:t>2.1</w:t>
            </w:r>
          </w:p>
        </w:tc>
        <w:tc>
          <w:tcPr>
            <w:tcW w:w="5100" w:type="dxa"/>
            <w:tcBorders>
              <w:top w:val="nil"/>
              <w:left w:val="nil"/>
              <w:bottom w:val="nil"/>
              <w:right w:val="nil"/>
            </w:tcBorders>
            <w:tcMar>
              <w:top w:w="0" w:type="dxa"/>
              <w:left w:w="62" w:type="dxa"/>
              <w:bottom w:w="0" w:type="dxa"/>
              <w:right w:w="62" w:type="dxa"/>
            </w:tcMar>
          </w:tcPr>
          <w:p w:rsidR="00000000" w:rsidP="00ED013E">
            <w:pPr>
              <w:pStyle w:val="BodyText"/>
              <w:rPr>
                <w:lang w:val="en-NZ"/>
              </w:rPr>
            </w:pPr>
            <w:r w:rsidRPr="00ED013E">
              <w:t>Forecasted chances of seasonal climate are analysed.</w:t>
            </w:r>
          </w:p>
        </w:tc>
      </w:tr>
      <w:tr w:rsidTr="00116D3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D013E">
            <w:pPr>
              <w:pStyle w:val="BodyText"/>
              <w:rPr>
                <w:lang w:val="en-NZ"/>
              </w:rPr>
            </w:pPr>
            <w:r w:rsidRPr="00ED013E">
              <w:t>2.2</w:t>
            </w:r>
          </w:p>
        </w:tc>
        <w:tc>
          <w:tcPr>
            <w:tcW w:w="5100" w:type="dxa"/>
            <w:tcBorders>
              <w:top w:val="nil"/>
              <w:left w:val="nil"/>
              <w:bottom w:val="nil"/>
              <w:right w:val="nil"/>
            </w:tcBorders>
            <w:tcMar>
              <w:top w:w="0" w:type="dxa"/>
              <w:left w:w="62" w:type="dxa"/>
              <w:bottom w:w="0" w:type="dxa"/>
              <w:right w:w="62" w:type="dxa"/>
            </w:tcMar>
          </w:tcPr>
          <w:p w:rsidR="00000000" w:rsidP="00ED013E">
            <w:pPr>
              <w:pStyle w:val="BodyText"/>
              <w:rPr>
                <w:lang w:val="en-NZ"/>
              </w:rPr>
            </w:pPr>
            <w:r w:rsidRPr="00ED013E">
              <w:t>Climate risks and opportunities are identified.</w:t>
            </w:r>
          </w:p>
        </w:tc>
      </w:tr>
      <w:tr w:rsidTr="00116D3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D013E">
            <w:pPr>
              <w:pStyle w:val="BodyText"/>
              <w:rPr>
                <w:lang w:val="en-NZ"/>
              </w:rPr>
            </w:pPr>
            <w:r w:rsidRPr="00ED013E">
              <w:t>2.3</w:t>
            </w:r>
          </w:p>
        </w:tc>
        <w:tc>
          <w:tcPr>
            <w:tcW w:w="5100" w:type="dxa"/>
            <w:tcBorders>
              <w:top w:val="nil"/>
              <w:left w:val="nil"/>
              <w:bottom w:val="nil"/>
              <w:right w:val="nil"/>
            </w:tcBorders>
            <w:tcMar>
              <w:top w:w="0" w:type="dxa"/>
              <w:left w:w="62" w:type="dxa"/>
              <w:bottom w:w="0" w:type="dxa"/>
              <w:right w:w="62" w:type="dxa"/>
            </w:tcMar>
          </w:tcPr>
          <w:p w:rsidR="00000000" w:rsidP="00ED013E">
            <w:pPr>
              <w:pStyle w:val="BodyText"/>
              <w:rPr>
                <w:lang w:val="en-NZ"/>
              </w:rPr>
            </w:pPr>
            <w:r w:rsidRPr="00ED013E">
              <w:t>Impact on production of different weather and climate risk factors are determined according to enterprise re</w:t>
            </w:r>
            <w:r w:rsidRPr="00ED013E">
              <w:t>quirements.</w:t>
            </w:r>
          </w:p>
        </w:tc>
      </w:tr>
      <w:tr w:rsidTr="00116D3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D013E">
            <w:pPr>
              <w:pStyle w:val="BodyText"/>
              <w:rPr>
                <w:lang w:val="en-NZ"/>
              </w:rPr>
            </w:pPr>
            <w:r w:rsidRPr="00ED013E">
              <w:t>2.4</w:t>
            </w:r>
          </w:p>
        </w:tc>
        <w:tc>
          <w:tcPr>
            <w:tcW w:w="5100" w:type="dxa"/>
            <w:tcBorders>
              <w:top w:val="nil"/>
              <w:left w:val="nil"/>
              <w:bottom w:val="nil"/>
              <w:right w:val="nil"/>
            </w:tcBorders>
            <w:tcMar>
              <w:top w:w="0" w:type="dxa"/>
              <w:left w:w="62" w:type="dxa"/>
              <w:bottom w:w="0" w:type="dxa"/>
              <w:right w:w="62" w:type="dxa"/>
            </w:tcMar>
          </w:tcPr>
          <w:p w:rsidR="00000000" w:rsidP="00ED013E">
            <w:pPr>
              <w:pStyle w:val="BodyText"/>
              <w:rPr>
                <w:lang w:val="en-NZ"/>
              </w:rPr>
            </w:pPr>
            <w:r w:rsidRPr="00ED013E">
              <w:t>Qualitative and quantitative risk and opportunity factors are identified and developed.</w:t>
            </w:r>
          </w:p>
        </w:tc>
      </w:tr>
      <w:tr w:rsidTr="00116D3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D013E">
            <w:pPr>
              <w:pStyle w:val="BodyText"/>
              <w:rPr>
                <w:lang w:val="en-NZ"/>
              </w:rPr>
            </w:pPr>
            <w:r w:rsidRPr="00ED013E">
              <w:t>2.5</w:t>
            </w:r>
          </w:p>
        </w:tc>
        <w:tc>
          <w:tcPr>
            <w:tcW w:w="5100" w:type="dxa"/>
            <w:tcBorders>
              <w:top w:val="nil"/>
              <w:left w:val="nil"/>
              <w:bottom w:val="nil"/>
              <w:right w:val="nil"/>
            </w:tcBorders>
            <w:tcMar>
              <w:top w:w="0" w:type="dxa"/>
              <w:left w:w="62" w:type="dxa"/>
              <w:bottom w:w="0" w:type="dxa"/>
              <w:right w:w="62" w:type="dxa"/>
            </w:tcMar>
          </w:tcPr>
          <w:p w:rsidR="00000000" w:rsidP="00ED013E">
            <w:pPr>
              <w:pStyle w:val="BodyText"/>
              <w:rPr>
                <w:lang w:val="en-NZ"/>
              </w:rPr>
            </w:pPr>
            <w:r w:rsidRPr="00ED013E">
              <w:t>Importance of climate variability and significant climate events is evaluated.</w:t>
            </w:r>
          </w:p>
        </w:tc>
      </w:tr>
      <w:tr w:rsidTr="00116D3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D013E">
            <w:pPr>
              <w:pStyle w:val="BodyText"/>
              <w:rPr>
                <w:lang w:val="en-NZ"/>
              </w:rPr>
            </w:pPr>
            <w:r w:rsidRPr="00ED013E">
              <w:t>2.6</w:t>
            </w:r>
          </w:p>
        </w:tc>
        <w:tc>
          <w:tcPr>
            <w:tcW w:w="5100" w:type="dxa"/>
            <w:tcBorders>
              <w:top w:val="nil"/>
              <w:left w:val="nil"/>
              <w:bottom w:val="nil"/>
              <w:right w:val="nil"/>
            </w:tcBorders>
            <w:tcMar>
              <w:top w:w="0" w:type="dxa"/>
              <w:left w:w="62" w:type="dxa"/>
              <w:bottom w:w="0" w:type="dxa"/>
              <w:right w:w="62" w:type="dxa"/>
            </w:tcMar>
          </w:tcPr>
          <w:p w:rsidR="00000000" w:rsidP="00ED013E">
            <w:pPr>
              <w:pStyle w:val="BodyText"/>
              <w:rPr>
                <w:lang w:val="en-NZ"/>
              </w:rPr>
            </w:pPr>
            <w:r w:rsidRPr="00ED013E">
              <w:t>Tactics to address a range of different climate variability risks and opportunities are outlined according to enterprise requirements.</w:t>
            </w:r>
          </w:p>
        </w:tc>
      </w:tr>
      <w:tr w:rsidTr="00116D3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D013E">
            <w:pPr>
              <w:pStyle w:val="BodyText"/>
              <w:rPr>
                <w:lang w:val="en-NZ"/>
              </w:rPr>
            </w:pPr>
            <w:r w:rsidRPr="00ED013E">
              <w:t>2.7</w:t>
            </w:r>
          </w:p>
        </w:tc>
        <w:tc>
          <w:tcPr>
            <w:tcW w:w="5100" w:type="dxa"/>
            <w:tcBorders>
              <w:top w:val="nil"/>
              <w:left w:val="nil"/>
              <w:bottom w:val="nil"/>
              <w:right w:val="nil"/>
            </w:tcBorders>
            <w:tcMar>
              <w:top w:w="0" w:type="dxa"/>
              <w:left w:w="62" w:type="dxa"/>
              <w:bottom w:w="0" w:type="dxa"/>
              <w:right w:w="62" w:type="dxa"/>
            </w:tcMar>
          </w:tcPr>
          <w:p w:rsidR="00000000" w:rsidP="00ED013E">
            <w:pPr>
              <w:pStyle w:val="BodyText"/>
              <w:rPr>
                <w:lang w:val="en-NZ"/>
              </w:rPr>
            </w:pPr>
            <w:r w:rsidRPr="00ED013E">
              <w:t xml:space="preserve">Contingency </w:t>
            </w:r>
            <w:r w:rsidRPr="00ED013E">
              <w:rPr>
                <w:rStyle w:val="SpecialBold"/>
              </w:rPr>
              <w:t xml:space="preserve">options </w:t>
            </w:r>
            <w:r w:rsidRPr="00ED013E">
              <w:t>for enterprises and the business are identified.</w:t>
            </w:r>
          </w:p>
        </w:tc>
      </w:tr>
      <w:tr w:rsidTr="00116D3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D013E">
            <w:pPr>
              <w:pStyle w:val="BodyText"/>
              <w:rPr>
                <w:lang w:val="en-NZ"/>
              </w:rPr>
            </w:pPr>
            <w:r w:rsidRPr="00ED013E">
              <w:t>3</w:t>
            </w:r>
          </w:p>
        </w:tc>
        <w:tc>
          <w:tcPr>
            <w:tcW w:w="3000" w:type="dxa"/>
            <w:vMerge w:val="restart"/>
            <w:tcBorders>
              <w:top w:val="nil"/>
              <w:left w:val="nil"/>
              <w:bottom w:val="nil"/>
              <w:right w:val="nil"/>
            </w:tcBorders>
            <w:tcMar>
              <w:top w:w="0" w:type="dxa"/>
              <w:left w:w="62" w:type="dxa"/>
              <w:bottom w:w="0" w:type="dxa"/>
              <w:right w:w="62" w:type="dxa"/>
            </w:tcMar>
          </w:tcPr>
          <w:p w:rsidR="00000000" w:rsidP="00ED013E">
            <w:pPr>
              <w:pStyle w:val="BodyText"/>
              <w:rPr>
                <w:lang w:val="en-NZ"/>
              </w:rPr>
            </w:pPr>
            <w:r w:rsidRPr="00ED013E">
              <w:t>Prepare climate risk management strategies</w:t>
            </w:r>
          </w:p>
        </w:tc>
        <w:tc>
          <w:tcPr>
            <w:tcW w:w="500" w:type="dxa"/>
            <w:tcBorders>
              <w:top w:val="nil"/>
              <w:left w:val="nil"/>
              <w:bottom w:val="nil"/>
              <w:right w:val="nil"/>
            </w:tcBorders>
            <w:tcMar>
              <w:top w:w="0" w:type="dxa"/>
              <w:left w:w="62" w:type="dxa"/>
              <w:bottom w:w="0" w:type="dxa"/>
              <w:right w:w="62" w:type="dxa"/>
            </w:tcMar>
          </w:tcPr>
          <w:p w:rsidR="00000000" w:rsidP="00ED013E">
            <w:pPr>
              <w:pStyle w:val="BodyText"/>
              <w:rPr>
                <w:lang w:val="en-NZ"/>
              </w:rPr>
            </w:pPr>
            <w:r w:rsidRPr="00ED013E">
              <w:t>3.1</w:t>
            </w:r>
          </w:p>
        </w:tc>
        <w:tc>
          <w:tcPr>
            <w:tcW w:w="5100" w:type="dxa"/>
            <w:tcBorders>
              <w:top w:val="nil"/>
              <w:left w:val="nil"/>
              <w:bottom w:val="nil"/>
              <w:right w:val="nil"/>
            </w:tcBorders>
            <w:tcMar>
              <w:top w:w="0" w:type="dxa"/>
              <w:left w:w="62" w:type="dxa"/>
              <w:bottom w:w="0" w:type="dxa"/>
              <w:right w:w="62" w:type="dxa"/>
            </w:tcMar>
          </w:tcPr>
          <w:p w:rsidR="00000000" w:rsidP="00ED013E">
            <w:pPr>
              <w:pStyle w:val="BodyText"/>
              <w:rPr>
                <w:lang w:val="en-NZ"/>
              </w:rPr>
            </w:pPr>
            <w:r w:rsidRPr="00ED013E">
              <w:t>Climate variability and seasonal climate forecasts are analysed.</w:t>
            </w:r>
          </w:p>
        </w:tc>
      </w:tr>
      <w:tr w:rsidTr="00116D3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D013E">
            <w:pPr>
              <w:pStyle w:val="BodyText"/>
              <w:rPr>
                <w:lang w:val="en-NZ"/>
              </w:rPr>
            </w:pPr>
            <w:r w:rsidRPr="00ED013E">
              <w:t>3.2</w:t>
            </w:r>
          </w:p>
        </w:tc>
        <w:tc>
          <w:tcPr>
            <w:tcW w:w="5100" w:type="dxa"/>
            <w:tcBorders>
              <w:top w:val="nil"/>
              <w:left w:val="nil"/>
              <w:bottom w:val="nil"/>
              <w:right w:val="nil"/>
            </w:tcBorders>
            <w:tcMar>
              <w:top w:w="0" w:type="dxa"/>
              <w:left w:w="62" w:type="dxa"/>
              <w:bottom w:w="0" w:type="dxa"/>
              <w:right w:w="62" w:type="dxa"/>
            </w:tcMar>
          </w:tcPr>
          <w:p w:rsidR="00000000" w:rsidP="00ED013E">
            <w:pPr>
              <w:pStyle w:val="BodyText"/>
              <w:rPr>
                <w:lang w:val="en-NZ"/>
              </w:rPr>
            </w:pPr>
            <w:r w:rsidRPr="00ED013E">
              <w:t>Insurance and other options are addressed in strategies.</w:t>
            </w:r>
          </w:p>
        </w:tc>
      </w:tr>
      <w:tr w:rsidTr="00116D3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D013E">
            <w:pPr>
              <w:pStyle w:val="BodyText"/>
              <w:rPr>
                <w:lang w:val="en-NZ"/>
              </w:rPr>
            </w:pPr>
            <w:r w:rsidRPr="00ED013E">
              <w:t>3.3</w:t>
            </w:r>
          </w:p>
        </w:tc>
        <w:tc>
          <w:tcPr>
            <w:tcW w:w="5100" w:type="dxa"/>
            <w:tcBorders>
              <w:top w:val="nil"/>
              <w:left w:val="nil"/>
              <w:bottom w:val="nil"/>
              <w:right w:val="nil"/>
            </w:tcBorders>
            <w:tcMar>
              <w:top w:w="0" w:type="dxa"/>
              <w:left w:w="62" w:type="dxa"/>
              <w:bottom w:w="0" w:type="dxa"/>
              <w:right w:w="62" w:type="dxa"/>
            </w:tcMar>
          </w:tcPr>
          <w:p w:rsidR="00000000" w:rsidP="00ED013E">
            <w:pPr>
              <w:pStyle w:val="BodyText"/>
              <w:rPr>
                <w:lang w:val="en-NZ"/>
              </w:rPr>
            </w:pPr>
            <w:r w:rsidRPr="00ED013E">
              <w:t>Major climate risk factors are addressed in strategies.</w:t>
            </w:r>
          </w:p>
        </w:tc>
      </w:tr>
      <w:tr w:rsidTr="00116D3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D013E">
            <w:pPr>
              <w:pStyle w:val="BodyText"/>
              <w:rPr>
                <w:lang w:val="en-NZ"/>
              </w:rPr>
            </w:pPr>
            <w:r w:rsidRPr="00ED013E">
              <w:t>3.4</w:t>
            </w:r>
          </w:p>
        </w:tc>
        <w:tc>
          <w:tcPr>
            <w:tcW w:w="5100" w:type="dxa"/>
            <w:tcBorders>
              <w:top w:val="nil"/>
              <w:left w:val="nil"/>
              <w:bottom w:val="nil"/>
              <w:right w:val="nil"/>
            </w:tcBorders>
            <w:tcMar>
              <w:top w:w="0" w:type="dxa"/>
              <w:left w:w="62" w:type="dxa"/>
              <w:bottom w:w="0" w:type="dxa"/>
              <w:right w:w="62" w:type="dxa"/>
            </w:tcMar>
          </w:tcPr>
          <w:p w:rsidR="00000000" w:rsidP="00ED013E">
            <w:pPr>
              <w:pStyle w:val="BodyText"/>
              <w:rPr>
                <w:lang w:val="en-NZ"/>
              </w:rPr>
            </w:pPr>
            <w:r w:rsidRPr="00ED013E">
              <w:t>Financial outcomes for all strategies are prepared according to enterprise guidelines.</w:t>
            </w:r>
          </w:p>
        </w:tc>
      </w:tr>
      <w:tr w:rsidTr="00116D3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D013E">
            <w:pPr>
              <w:pStyle w:val="BodyText"/>
              <w:rPr>
                <w:lang w:val="en-NZ"/>
              </w:rPr>
            </w:pPr>
            <w:r w:rsidRPr="00ED013E">
              <w:t>3.5</w:t>
            </w:r>
          </w:p>
        </w:tc>
        <w:tc>
          <w:tcPr>
            <w:tcW w:w="5100" w:type="dxa"/>
            <w:tcBorders>
              <w:top w:val="nil"/>
              <w:left w:val="nil"/>
              <w:bottom w:val="nil"/>
              <w:right w:val="nil"/>
            </w:tcBorders>
            <w:tcMar>
              <w:top w:w="0" w:type="dxa"/>
              <w:left w:w="62" w:type="dxa"/>
              <w:bottom w:w="0" w:type="dxa"/>
              <w:right w:w="62" w:type="dxa"/>
            </w:tcMar>
          </w:tcPr>
          <w:p w:rsidR="00000000" w:rsidP="00ED013E">
            <w:pPr>
              <w:pStyle w:val="BodyText"/>
              <w:rPr>
                <w:lang w:val="en-NZ"/>
              </w:rPr>
            </w:pPr>
            <w:r w:rsidRPr="00ED013E">
              <w:t>Impacts on the environment, property value and equity is predicted for the preferred strategies.</w:t>
            </w:r>
          </w:p>
        </w:tc>
      </w:tr>
      <w:tr w:rsidTr="00116D3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D013E">
            <w:pPr>
              <w:pStyle w:val="BodyText"/>
              <w:rPr>
                <w:lang w:val="en-NZ"/>
              </w:rPr>
            </w:pPr>
            <w:r w:rsidRPr="00ED013E">
              <w:t>3.6</w:t>
            </w:r>
          </w:p>
        </w:tc>
        <w:tc>
          <w:tcPr>
            <w:tcW w:w="5100" w:type="dxa"/>
            <w:tcBorders>
              <w:top w:val="nil"/>
              <w:left w:val="nil"/>
              <w:bottom w:val="nil"/>
              <w:right w:val="nil"/>
            </w:tcBorders>
            <w:tcMar>
              <w:top w:w="0" w:type="dxa"/>
              <w:left w:w="62" w:type="dxa"/>
              <w:bottom w:w="0" w:type="dxa"/>
              <w:right w:w="62" w:type="dxa"/>
            </w:tcMar>
          </w:tcPr>
          <w:p w:rsidR="00000000" w:rsidP="00ED013E">
            <w:pPr>
              <w:pStyle w:val="BodyText"/>
              <w:rPr>
                <w:lang w:val="en-NZ"/>
              </w:rPr>
            </w:pPr>
            <w:r w:rsidRPr="00ED013E">
              <w:t>Preferred production, enterprise or alternative strategies</w:t>
            </w:r>
            <w:r w:rsidRPr="00ED013E">
              <w:t xml:space="preserve"> are reviewed, and options selected according to enterprise requirements.</w:t>
            </w:r>
          </w:p>
        </w:tc>
      </w:tr>
      <w:tr w:rsidTr="00116D3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D013E">
            <w:pPr>
              <w:pStyle w:val="BodyText"/>
              <w:rPr>
                <w:lang w:val="en-NZ"/>
              </w:rPr>
            </w:pPr>
            <w:r w:rsidRPr="00ED013E">
              <w:t>3.7</w:t>
            </w:r>
          </w:p>
        </w:tc>
        <w:tc>
          <w:tcPr>
            <w:tcW w:w="5100" w:type="dxa"/>
            <w:tcBorders>
              <w:top w:val="nil"/>
              <w:left w:val="nil"/>
              <w:bottom w:val="nil"/>
              <w:right w:val="nil"/>
            </w:tcBorders>
            <w:tcMar>
              <w:top w:w="0" w:type="dxa"/>
              <w:left w:w="62" w:type="dxa"/>
              <w:bottom w:w="0" w:type="dxa"/>
              <w:right w:w="62" w:type="dxa"/>
            </w:tcMar>
          </w:tcPr>
          <w:p w:rsidR="00000000" w:rsidRPr="00ED013E" w:rsidP="00ED013E">
            <w:pPr>
              <w:pStyle w:val="BodyText"/>
            </w:pPr>
            <w:r w:rsidRPr="00ED013E">
              <w:t>A planned strategy to cope with variable climate and climate risk management is presented in a format according to enterprise guidelines.</w:t>
            </w:r>
          </w:p>
        </w:tc>
      </w:tr>
    </w:tbl>
    <w:p w:rsidR="00000000" w:rsidRPr="00ED013E" w:rsidP="00ED013E">
      <w:pPr>
        <w:pStyle w:val="BodyText"/>
      </w:pPr>
    </w:p>
    <w:p w:rsidR="00000000" w:rsidRPr="00ED013E" w:rsidP="00ED013E">
      <w:pPr>
        <w:pStyle w:val="AllowPageBreak"/>
      </w:pPr>
    </w:p>
    <w:p w:rsidR="00000000" w:rsidRPr="00ED013E" w:rsidP="00ED013E">
      <w:pPr>
        <w:pStyle w:val="Heading1"/>
      </w:pPr>
      <w:bookmarkStart w:id="9" w:name="O_319542"/>
      <w:bookmarkEnd w:id="9"/>
      <w:r w:rsidRPr="00ED013E">
        <w:t>Required Skills and Knowledge</w:t>
      </w:r>
    </w:p>
    <w:p w:rsidR="00000000" w:rsidRPr="00ED013E" w:rsidP="00ED013E">
      <w:pPr>
        <w:pStyle w:val="BodyText"/>
      </w:pPr>
      <w:r w:rsidRPr="00ED013E">
        <w:t>Not applicable.</w:t>
      </w:r>
    </w:p>
    <w:p w:rsidR="00000000" w:rsidRPr="00ED013E" w:rsidP="00ED013E">
      <w:pPr>
        <w:pStyle w:val="AllowPageBreak"/>
      </w:pPr>
    </w:p>
    <w:p w:rsidR="00000000" w:rsidRPr="00ED013E" w:rsidP="00ED013E">
      <w:pPr>
        <w:pStyle w:val="Heading1"/>
      </w:pPr>
      <w:bookmarkStart w:id="10" w:name="O_319541"/>
      <w:bookmarkEnd w:id="10"/>
      <w:r w:rsidRPr="00ED013E">
        <w:t>Evidence Guide</w:t>
      </w:r>
    </w:p>
    <w:tbl>
      <w:tblPr>
        <w:tblW w:w="0" w:type="auto"/>
        <w:tblLayout w:type="fixed"/>
        <w:tblCellMar>
          <w:left w:w="62" w:type="dxa"/>
          <w:right w:w="62" w:type="dxa"/>
        </w:tblCellMar>
        <w:tblLook w:val="0000"/>
      </w:tblPr>
      <w:tblGrid>
        <w:gridCol w:w="4500"/>
        <w:gridCol w:w="4500"/>
      </w:tblGrid>
      <w:tr w:rsidTr="00116D3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16D3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ED013E" w:rsidP="00ED013E">
            <w:pPr>
              <w:pStyle w:val="BodyText"/>
            </w:pPr>
            <w:r w:rsidRPr="00ED013E">
              <w:rPr>
                <w:rStyle w:val="SpecialBold"/>
              </w:rPr>
              <w:t>What evidence is required to demonstrate competence for this standard as a whole</w:t>
            </w:r>
            <w:r w:rsidRPr="00ED013E">
              <w:t>?</w:t>
            </w:r>
          </w:p>
          <w:p w:rsidR="00000000" w:rsidP="00ED013E">
            <w:pPr>
              <w:pStyle w:val="BodyText"/>
              <w:rPr>
                <w:lang w:val="en-NZ"/>
              </w:rPr>
            </w:pPr>
            <w:r w:rsidRPr="00ED013E">
              <w:t>Competence to develop climate risk management strategies requires evidence that the candidate</w:t>
            </w:r>
            <w:r w:rsidRPr="00ED013E">
              <w:t xml:space="preserve"> can research, collate and interpret climate data in order to develop and present rational, achievable and effective strategies.  The skills and knowledge required to develop climate risk management strategies must be </w:t>
            </w:r>
            <w:r w:rsidRPr="00ED013E">
              <w:rPr>
                <w:rStyle w:val="SpecialBold"/>
              </w:rPr>
              <w:t>transferable</w:t>
            </w:r>
            <w:r w:rsidRPr="00ED013E">
              <w:t xml:space="preserve"> to a different work envir</w:t>
            </w:r>
            <w:r w:rsidRPr="00ED013E">
              <w:t xml:space="preserve">onment.  For example, this could include different properties, strategies and climate conditions. </w:t>
            </w:r>
          </w:p>
        </w:tc>
      </w:tr>
      <w:tr w:rsidTr="00116D3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16D3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16D3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D013E">
            <w:pPr>
              <w:pStyle w:val="BodyText"/>
              <w:rPr>
                <w:lang w:val="en-NZ"/>
              </w:rPr>
            </w:pPr>
            <w:r w:rsidRPr="00ED013E">
              <w:rPr>
                <w:rStyle w:val="SpecialBold"/>
              </w:rPr>
              <w:t>What specific knowledge is needed to achieve the performance criteria</w:t>
            </w:r>
            <w:r w:rsidRPr="00ED013E">
              <w:t>?</w:t>
            </w:r>
          </w:p>
        </w:tc>
        <w:tc>
          <w:tcPr>
            <w:tcW w:w="4500" w:type="dxa"/>
            <w:tcBorders>
              <w:top w:val="nil"/>
              <w:left w:val="nil"/>
              <w:bottom w:val="nil"/>
              <w:right w:val="nil"/>
            </w:tcBorders>
            <w:tcMar>
              <w:top w:w="0" w:type="dxa"/>
              <w:left w:w="62" w:type="dxa"/>
              <w:bottom w:w="0" w:type="dxa"/>
              <w:right w:w="62" w:type="dxa"/>
            </w:tcMar>
          </w:tcPr>
          <w:p w:rsidR="00000000" w:rsidRPr="00ED013E" w:rsidP="00ED013E">
            <w:pPr>
              <w:pStyle w:val="BodyText"/>
            </w:pPr>
            <w:r w:rsidRPr="00ED013E">
              <w:t>Knowledge and understanding are essential to apply this standard in the workpl</w:t>
            </w:r>
            <w:r w:rsidRPr="00ED013E">
              <w:t xml:space="preserve">ace, to transfer the skills to other contexts, and to deal with unplanned events.  The knowledge requirements for this competency standard are listed below:    </w:t>
            </w:r>
          </w:p>
          <w:p w:rsidR="00000000" w:rsidRPr="00ED013E" w:rsidP="00ED013E">
            <w:pPr>
              <w:pStyle w:val="BodyText"/>
            </w:pPr>
            <w:r w:rsidRPr="00ED013E">
              <w:t xml:space="preserve">current forecasting techniques and phenomena such as El Nino, ENSO, Southern Oscillation Index </w:t>
            </w:r>
            <w:r w:rsidRPr="00ED013E">
              <w:t>(SOI) and Pacific and Indian Ocean SST patterns</w:t>
            </w:r>
          </w:p>
          <w:p w:rsidR="00000000" w:rsidRPr="00ED013E" w:rsidP="00ED013E">
            <w:pPr>
              <w:pStyle w:val="BodyText"/>
            </w:pPr>
            <w:r w:rsidRPr="00ED013E">
              <w:t>the impact of weather and climate phenomena on rainfall, plant growth and yields</w:t>
            </w:r>
          </w:p>
          <w:p w:rsidR="00000000" w:rsidRPr="00ED013E" w:rsidP="00ED013E">
            <w:pPr>
              <w:pStyle w:val="BodyText"/>
            </w:pPr>
            <w:r w:rsidRPr="00ED013E">
              <w:t>causes of general patterns of weather and climate over Australia</w:t>
            </w:r>
          </w:p>
          <w:p w:rsidR="00000000" w:rsidRPr="00ED013E" w:rsidP="00ED013E">
            <w:pPr>
              <w:pStyle w:val="BodyText"/>
            </w:pPr>
            <w:r w:rsidRPr="00ED013E">
              <w:t>climate variability and climate change</w:t>
            </w:r>
          </w:p>
          <w:p w:rsidR="00000000" w:rsidRPr="00ED013E" w:rsidP="00ED013E">
            <w:pPr>
              <w:pStyle w:val="BodyText"/>
            </w:pPr>
            <w:r w:rsidRPr="00ED013E">
              <w:t>direct and indirect impacts of climate variability on land management and sustainability</w:t>
            </w:r>
          </w:p>
          <w:p w:rsidR="00000000" w:rsidRPr="00ED013E" w:rsidP="00ED013E">
            <w:pPr>
              <w:pStyle w:val="BodyText"/>
            </w:pPr>
            <w:r w:rsidRPr="00ED013E">
              <w:t>property and enterprise management decisions affected by the variable climate</w:t>
            </w:r>
          </w:p>
          <w:p w:rsidR="00000000" w:rsidP="00ED013E">
            <w:pPr>
              <w:pStyle w:val="BodyText"/>
              <w:rPr>
                <w:lang w:val="en-NZ"/>
              </w:rPr>
            </w:pPr>
            <w:r w:rsidRPr="00ED013E">
              <w:t xml:space="preserve">recognition of climate risks and opportunities </w:t>
            </w:r>
          </w:p>
        </w:tc>
      </w:tr>
      <w:tr w:rsidTr="00116D3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ED013E" w:rsidP="00ED013E">
            <w:pPr>
              <w:pStyle w:val="BodyText"/>
            </w:pPr>
            <w:r w:rsidRPr="00ED013E">
              <w:t>seasonal climate forecasting systems an</w:t>
            </w:r>
            <w:r w:rsidRPr="00ED013E">
              <w:t>d related indicators</w:t>
            </w:r>
          </w:p>
          <w:p w:rsidR="00000000" w:rsidRPr="00ED013E" w:rsidP="00ED013E">
            <w:pPr>
              <w:pStyle w:val="BodyText"/>
            </w:pPr>
            <w:r w:rsidRPr="00ED013E">
              <w:t>drought planning and strategies</w:t>
            </w:r>
          </w:p>
          <w:p w:rsidR="00000000" w:rsidRPr="00ED013E" w:rsidP="00ED013E">
            <w:pPr>
              <w:pStyle w:val="BodyText"/>
            </w:pPr>
            <w:r w:rsidRPr="00ED013E">
              <w:t>flood planning and strategies</w:t>
            </w:r>
          </w:p>
          <w:p w:rsidR="00000000" w:rsidRPr="00ED013E" w:rsidP="00ED013E">
            <w:pPr>
              <w:pStyle w:val="BodyText"/>
            </w:pPr>
            <w:r w:rsidRPr="00ED013E">
              <w:t>climate and weather issues pertaining to sustainable agriculture</w:t>
            </w:r>
          </w:p>
          <w:p w:rsidR="00000000" w:rsidRPr="00ED013E" w:rsidP="00ED013E">
            <w:pPr>
              <w:pStyle w:val="BodyText"/>
            </w:pPr>
            <w:r w:rsidRPr="00ED013E">
              <w:t>potential impacts of greenhouse warming on land and natural resource management</w:t>
            </w:r>
          </w:p>
          <w:p w:rsidR="00000000" w:rsidRPr="00ED013E" w:rsidP="00ED013E">
            <w:pPr>
              <w:pStyle w:val="BodyText"/>
            </w:pPr>
            <w:r w:rsidRPr="00ED013E">
              <w:t>strategic options and planni</w:t>
            </w:r>
            <w:r w:rsidRPr="00ED013E">
              <w:t>ng in response to climate variability for a range of seasons (normal, drier or wetter than normal), and other risks and opportunities</w:t>
            </w:r>
          </w:p>
          <w:p w:rsidR="00000000" w:rsidRPr="00ED013E" w:rsidP="00ED013E">
            <w:pPr>
              <w:pStyle w:val="BodyText"/>
            </w:pPr>
            <w:r w:rsidRPr="00ED013E">
              <w:t>calculating financial returns for different strategic options</w:t>
            </w:r>
          </w:p>
          <w:p w:rsidR="00000000" w:rsidRPr="00ED013E" w:rsidP="00ED013E">
            <w:pPr>
              <w:pStyle w:val="BodyText"/>
            </w:pPr>
            <w:r w:rsidRPr="00ED013E">
              <w:t>computer applications and Internet to access, record and ana</w:t>
            </w:r>
            <w:r w:rsidRPr="00ED013E">
              <w:t>lyse data</w:t>
            </w:r>
          </w:p>
          <w:p w:rsidR="00000000" w:rsidP="00ED013E">
            <w:pPr>
              <w:pStyle w:val="BodyText"/>
              <w:rPr>
                <w:lang w:val="en-NZ"/>
              </w:rPr>
            </w:pPr>
            <w:r w:rsidRPr="00ED013E">
              <w:t xml:space="preserve">principles of decision-making based on the variable climate and seasonal climate forecasts. </w:t>
            </w:r>
          </w:p>
        </w:tc>
      </w:tr>
      <w:tr w:rsidTr="00116D3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D013E">
            <w:pPr>
              <w:pStyle w:val="BodyText"/>
              <w:rPr>
                <w:lang w:val="en-NZ"/>
              </w:rPr>
            </w:pPr>
          </w:p>
        </w:tc>
      </w:tr>
      <w:tr w:rsidTr="00116D3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D013E">
            <w:pPr>
              <w:pStyle w:val="BodyText"/>
              <w:rPr>
                <w:lang w:val="en-NZ"/>
              </w:rPr>
            </w:pPr>
            <w:r w:rsidRPr="00ED013E">
              <w:rPr>
                <w:rStyle w:val="SpecialBold"/>
              </w:rPr>
              <w:t>What specific skills are needed to achieve the performance criteria</w:t>
            </w:r>
            <w:r w:rsidRPr="00ED013E">
              <w:t xml:space="preserve">? </w:t>
            </w:r>
          </w:p>
        </w:tc>
        <w:tc>
          <w:tcPr>
            <w:tcW w:w="4500" w:type="dxa"/>
            <w:tcBorders>
              <w:top w:val="nil"/>
              <w:left w:val="nil"/>
              <w:bottom w:val="nil"/>
              <w:right w:val="nil"/>
            </w:tcBorders>
            <w:tcMar>
              <w:top w:w="0" w:type="dxa"/>
              <w:left w:w="62" w:type="dxa"/>
              <w:bottom w:w="0" w:type="dxa"/>
              <w:right w:w="62" w:type="dxa"/>
            </w:tcMar>
          </w:tcPr>
          <w:p w:rsidR="00000000" w:rsidRPr="00ED013E" w:rsidP="00ED013E">
            <w:pPr>
              <w:pStyle w:val="BodyText"/>
            </w:pPr>
            <w:r w:rsidRPr="00ED013E">
              <w:t>To achieve the performance criteria, appropriate literacy and numeracy levels a</w:t>
            </w:r>
            <w:r w:rsidRPr="00ED013E">
              <w:t xml:space="preserve">s well as some complementary skills are required.  These include the ability to:    </w:t>
            </w:r>
          </w:p>
          <w:p w:rsidR="00000000" w:rsidRPr="00ED013E" w:rsidP="00ED013E">
            <w:pPr>
              <w:pStyle w:val="BodyText"/>
            </w:pPr>
            <w:r w:rsidRPr="00ED013E">
              <w:t>research climate and enterprise data</w:t>
            </w:r>
          </w:p>
          <w:p w:rsidR="00000000" w:rsidRPr="00ED013E" w:rsidP="00ED013E">
            <w:pPr>
              <w:pStyle w:val="BodyText"/>
            </w:pPr>
            <w:r w:rsidRPr="00ED013E">
              <w:t>analyse and interpret climate and enterprise data</w:t>
            </w:r>
          </w:p>
          <w:p w:rsidR="00000000" w:rsidRPr="00ED013E" w:rsidP="00ED013E">
            <w:pPr>
              <w:pStyle w:val="BodyText"/>
            </w:pPr>
            <w:r w:rsidRPr="00ED013E">
              <w:t>prepare risk management strategies</w:t>
            </w:r>
          </w:p>
          <w:p w:rsidR="00000000" w:rsidP="00ED013E">
            <w:pPr>
              <w:pStyle w:val="BodyText"/>
              <w:rPr>
                <w:lang w:val="en-NZ"/>
              </w:rPr>
            </w:pPr>
            <w:r w:rsidRPr="00ED013E">
              <w:t xml:space="preserve">integrate climate risk, and opportunities and management strategies at a business management level. </w:t>
            </w:r>
          </w:p>
        </w:tc>
      </w:tr>
      <w:tr w:rsidTr="00116D3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D013E">
            <w:pPr>
              <w:pStyle w:val="BodyText"/>
              <w:rPr>
                <w:lang w:val="en-NZ"/>
              </w:rPr>
            </w:pPr>
          </w:p>
        </w:tc>
      </w:tr>
      <w:tr w:rsidTr="00116D3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ED013E" w:rsidP="00ED013E">
            <w:pPr>
              <w:pStyle w:val="BodyText"/>
            </w:pPr>
            <w:r w:rsidRPr="00ED013E">
              <w:rPr>
                <w:rStyle w:val="SpecialBold"/>
              </w:rPr>
              <w:t>What processes should be applied to this competency standard</w:t>
            </w:r>
            <w:r w:rsidRPr="00ED013E">
              <w:t>?</w:t>
            </w:r>
          </w:p>
          <w:p w:rsidR="00000000" w:rsidP="00ED013E">
            <w:pPr>
              <w:pStyle w:val="BodyText"/>
              <w:rPr>
                <w:lang w:val="en-NZ"/>
              </w:rPr>
            </w:pPr>
            <w:r w:rsidRPr="00ED013E">
              <w:t>There are a number of processes that are learnt throughout work and life, which are requi</w:t>
            </w:r>
            <w:r w:rsidRPr="00ED013E">
              <w:t xml:space="preserve">red in all jobs.  They are fundamental processes and generally transferable to other work functions.  Some of these are covered by the </w:t>
            </w:r>
            <w:r w:rsidRPr="00ED013E">
              <w:rPr>
                <w:rStyle w:val="SpecialBold"/>
              </w:rPr>
              <w:t>key competencies</w:t>
            </w:r>
            <w:r w:rsidRPr="00ED013E">
              <w:t>, although others may be added.  The questions below highlight how these processes are applied in this co</w:t>
            </w:r>
            <w:r w:rsidRPr="00ED013E">
              <w:t>mpetency standard.  Following each question a number in brackets indicates the level to which the key competency needs to be demonstrated where 0 = not required, 1 = perform the process, 2 = perform and administer the process and 3 = perform, administer an</w:t>
            </w:r>
            <w:r w:rsidRPr="00ED013E">
              <w:t xml:space="preserve">d design the process. </w:t>
            </w:r>
          </w:p>
        </w:tc>
      </w:tr>
      <w:tr w:rsidTr="00116D3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D013E">
            <w:pPr>
              <w:pStyle w:val="BodyText"/>
              <w:rPr>
                <w:lang w:val="en-NZ"/>
              </w:rPr>
            </w:pPr>
            <w:r w:rsidRPr="00ED013E">
              <w:t xml:space="preserve">1. How can </w:t>
            </w:r>
            <w:r w:rsidRPr="00ED013E">
              <w:rPr>
                <w:rStyle w:val="SpecialBold"/>
              </w:rPr>
              <w:t>communication of ideas and information</w:t>
            </w:r>
            <w:r w:rsidRPr="00ED013E">
              <w:t xml:space="preserve"> (</w:t>
            </w:r>
            <w:r w:rsidRPr="00ED013E">
              <w:rPr>
                <w:rStyle w:val="SpecialBold"/>
              </w:rPr>
              <w:t>3</w:t>
            </w:r>
            <w:r w:rsidRPr="00ED013E">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ED013E">
            <w:pPr>
              <w:pStyle w:val="BodyText"/>
              <w:rPr>
                <w:lang w:val="en-NZ"/>
              </w:rPr>
            </w:pPr>
            <w:r w:rsidRPr="00ED013E">
              <w:t xml:space="preserve">Through research, collation and interpretation of climate data. </w:t>
            </w:r>
          </w:p>
        </w:tc>
      </w:tr>
      <w:tr w:rsidTr="00116D3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D013E">
            <w:pPr>
              <w:pStyle w:val="BodyText"/>
              <w:rPr>
                <w:lang w:val="en-NZ"/>
              </w:rPr>
            </w:pPr>
            <w:r w:rsidRPr="00ED013E">
              <w:t xml:space="preserve">2. How can </w:t>
            </w:r>
            <w:r w:rsidRPr="00ED013E">
              <w:rPr>
                <w:rStyle w:val="SpecialBold"/>
              </w:rPr>
              <w:t>information be collected</w:t>
            </w:r>
            <w:r w:rsidRPr="00ED013E">
              <w:t xml:space="preserve">, </w:t>
            </w:r>
            <w:r w:rsidRPr="00ED013E">
              <w:rPr>
                <w:rStyle w:val="SpecialBold"/>
              </w:rPr>
              <w:t>analysed and organised</w:t>
            </w:r>
            <w:r w:rsidRPr="00ED013E">
              <w:t xml:space="preserve"> (</w:t>
            </w:r>
            <w:r w:rsidRPr="00ED013E">
              <w:rPr>
                <w:rStyle w:val="SpecialBold"/>
              </w:rPr>
              <w:t>3</w:t>
            </w:r>
            <w:r w:rsidRPr="00ED013E">
              <w:t xml:space="preserve">)? </w:t>
            </w:r>
          </w:p>
        </w:tc>
        <w:tc>
          <w:tcPr>
            <w:tcW w:w="4500" w:type="dxa"/>
            <w:tcBorders>
              <w:top w:val="nil"/>
              <w:left w:val="nil"/>
              <w:bottom w:val="nil"/>
              <w:right w:val="nil"/>
            </w:tcBorders>
            <w:tcMar>
              <w:top w:w="0" w:type="dxa"/>
              <w:left w:w="62" w:type="dxa"/>
              <w:bottom w:w="0" w:type="dxa"/>
              <w:right w:w="62" w:type="dxa"/>
            </w:tcMar>
          </w:tcPr>
          <w:p w:rsidR="00000000" w:rsidP="00ED013E">
            <w:pPr>
              <w:pStyle w:val="BodyText"/>
              <w:rPr>
                <w:lang w:val="en-NZ"/>
              </w:rPr>
            </w:pPr>
            <w:r w:rsidRPr="00ED013E">
              <w:t>Through the sourcing, presentati</w:t>
            </w:r>
            <w:r w:rsidRPr="00ED013E">
              <w:t xml:space="preserve">on and updating of data according to enterprise conventions and requirements. </w:t>
            </w:r>
          </w:p>
        </w:tc>
      </w:tr>
      <w:tr w:rsidTr="00116D3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D013E">
            <w:pPr>
              <w:pStyle w:val="BodyText"/>
              <w:rPr>
                <w:lang w:val="en-NZ"/>
              </w:rPr>
            </w:pPr>
            <w:r w:rsidRPr="00ED013E">
              <w:t xml:space="preserve">3. How are </w:t>
            </w:r>
            <w:r w:rsidRPr="00ED013E">
              <w:rPr>
                <w:rStyle w:val="SpecialBold"/>
              </w:rPr>
              <w:t>activities planned and organised</w:t>
            </w:r>
            <w:r w:rsidRPr="00ED013E">
              <w:t xml:space="preserve"> (</w:t>
            </w:r>
            <w:r w:rsidRPr="00ED013E">
              <w:rPr>
                <w:rStyle w:val="SpecialBold"/>
              </w:rPr>
              <w:t>2</w:t>
            </w:r>
            <w:r w:rsidRPr="00ED013E">
              <w:t xml:space="preserve">)? </w:t>
            </w:r>
          </w:p>
        </w:tc>
        <w:tc>
          <w:tcPr>
            <w:tcW w:w="4500" w:type="dxa"/>
            <w:tcBorders>
              <w:top w:val="nil"/>
              <w:left w:val="nil"/>
              <w:bottom w:val="nil"/>
              <w:right w:val="nil"/>
            </w:tcBorders>
            <w:tcMar>
              <w:top w:w="0" w:type="dxa"/>
              <w:left w:w="62" w:type="dxa"/>
              <w:bottom w:w="0" w:type="dxa"/>
              <w:right w:w="62" w:type="dxa"/>
            </w:tcMar>
          </w:tcPr>
          <w:p w:rsidR="00000000" w:rsidP="00ED013E">
            <w:pPr>
              <w:pStyle w:val="BodyText"/>
              <w:rPr>
                <w:lang w:val="en-NZ"/>
              </w:rPr>
            </w:pPr>
            <w:r w:rsidRPr="00ED013E">
              <w:t xml:space="preserve">Through developing scenarios and identifying trends in climate variability. </w:t>
            </w:r>
          </w:p>
        </w:tc>
      </w:tr>
      <w:tr w:rsidTr="00116D3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D013E">
            <w:pPr>
              <w:pStyle w:val="BodyText"/>
              <w:rPr>
                <w:lang w:val="en-NZ"/>
              </w:rPr>
            </w:pPr>
            <w:r w:rsidRPr="00ED013E">
              <w:t xml:space="preserve">4. How can </w:t>
            </w:r>
            <w:r w:rsidRPr="00ED013E">
              <w:rPr>
                <w:rStyle w:val="SpecialBold"/>
              </w:rPr>
              <w:t>team work</w:t>
            </w:r>
            <w:r w:rsidRPr="00ED013E">
              <w:t xml:space="preserve"> (</w:t>
            </w:r>
            <w:r w:rsidRPr="00ED013E">
              <w:rPr>
                <w:rStyle w:val="SpecialBold"/>
              </w:rPr>
              <w:t>2</w:t>
            </w:r>
            <w:r w:rsidRPr="00ED013E">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ED013E">
            <w:pPr>
              <w:pStyle w:val="BodyText"/>
              <w:rPr>
                <w:lang w:val="en-NZ"/>
              </w:rPr>
            </w:pPr>
            <w:r w:rsidRPr="00ED013E">
              <w:t xml:space="preserve">Through working with departmental staff or other growers in developing tactics and strategies. </w:t>
            </w:r>
          </w:p>
        </w:tc>
      </w:tr>
      <w:tr w:rsidTr="00116D3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D013E">
            <w:pPr>
              <w:pStyle w:val="BodyText"/>
              <w:rPr>
                <w:lang w:val="en-NZ"/>
              </w:rPr>
            </w:pPr>
            <w:r w:rsidRPr="00ED013E">
              <w:t xml:space="preserve">5. How can the use of </w:t>
            </w:r>
            <w:r w:rsidRPr="00ED013E">
              <w:rPr>
                <w:rStyle w:val="SpecialBold"/>
              </w:rPr>
              <w:t>mathematical ideas and techniques</w:t>
            </w:r>
            <w:r w:rsidRPr="00ED013E">
              <w:t xml:space="preserve"> (</w:t>
            </w:r>
            <w:r w:rsidRPr="00ED013E">
              <w:rPr>
                <w:rStyle w:val="SpecialBold"/>
              </w:rPr>
              <w:t>3</w:t>
            </w:r>
            <w:r w:rsidRPr="00ED013E">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ED013E">
            <w:pPr>
              <w:pStyle w:val="BodyText"/>
              <w:rPr>
                <w:lang w:val="en-NZ"/>
              </w:rPr>
            </w:pPr>
            <w:r w:rsidRPr="00ED013E">
              <w:t xml:space="preserve">Through analysing and interpreting information on weather and climate. </w:t>
            </w:r>
          </w:p>
        </w:tc>
      </w:tr>
      <w:tr w:rsidTr="00116D3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D013E">
            <w:pPr>
              <w:pStyle w:val="BodyText"/>
              <w:rPr>
                <w:lang w:val="en-NZ"/>
              </w:rPr>
            </w:pPr>
            <w:r w:rsidRPr="00ED013E">
              <w:t xml:space="preserve">6. How can </w:t>
            </w:r>
            <w:r w:rsidRPr="00ED013E">
              <w:rPr>
                <w:rStyle w:val="SpecialBold"/>
              </w:rPr>
              <w:t>pr</w:t>
            </w:r>
            <w:r w:rsidRPr="00ED013E">
              <w:rPr>
                <w:rStyle w:val="SpecialBold"/>
              </w:rPr>
              <w:t>oblem</w:t>
            </w:r>
            <w:r w:rsidRPr="00ED013E">
              <w:t>-</w:t>
            </w:r>
            <w:r w:rsidRPr="00ED013E">
              <w:rPr>
                <w:rStyle w:val="SpecialBold"/>
              </w:rPr>
              <w:t>solving skills</w:t>
            </w:r>
            <w:r w:rsidRPr="00ED013E">
              <w:t xml:space="preserve"> (</w:t>
            </w:r>
            <w:r w:rsidRPr="00ED013E">
              <w:rPr>
                <w:rStyle w:val="SpecialBold"/>
              </w:rPr>
              <w:t>3</w:t>
            </w:r>
            <w:r w:rsidRPr="00ED013E">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ED013E">
            <w:pPr>
              <w:pStyle w:val="BodyText"/>
              <w:rPr>
                <w:lang w:val="en-NZ"/>
              </w:rPr>
            </w:pPr>
            <w:r w:rsidRPr="00ED013E">
              <w:t xml:space="preserve">By anticipating and responding to climate change. </w:t>
            </w:r>
          </w:p>
        </w:tc>
      </w:tr>
      <w:tr w:rsidTr="00116D3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D013E">
            <w:pPr>
              <w:pStyle w:val="BodyText"/>
              <w:rPr>
                <w:lang w:val="en-NZ"/>
              </w:rPr>
            </w:pPr>
            <w:r w:rsidRPr="00ED013E">
              <w:t xml:space="preserve">7. How can the </w:t>
            </w:r>
            <w:r w:rsidRPr="00ED013E">
              <w:rPr>
                <w:rStyle w:val="SpecialBold"/>
              </w:rPr>
              <w:t>use of technology</w:t>
            </w:r>
            <w:r w:rsidRPr="00ED013E">
              <w:t xml:space="preserve"> (</w:t>
            </w:r>
            <w:r w:rsidRPr="00ED013E">
              <w:rPr>
                <w:rStyle w:val="SpecialBold"/>
              </w:rPr>
              <w:t>3</w:t>
            </w:r>
            <w:r w:rsidRPr="00ED013E">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ED013E">
            <w:pPr>
              <w:pStyle w:val="BodyText"/>
              <w:rPr>
                <w:lang w:val="en-NZ"/>
              </w:rPr>
            </w:pPr>
            <w:r w:rsidRPr="00ED013E">
              <w:t xml:space="preserve">Through computer applications and information technology systems. </w:t>
            </w:r>
          </w:p>
        </w:tc>
      </w:tr>
      <w:tr w:rsidTr="00116D3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D013E">
            <w:pPr>
              <w:pStyle w:val="BodyText"/>
              <w:rPr>
                <w:lang w:val="en-NZ"/>
              </w:rPr>
            </w:pPr>
          </w:p>
        </w:tc>
      </w:tr>
      <w:tr w:rsidTr="00116D3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D013E">
            <w:pPr>
              <w:pStyle w:val="BodyText"/>
              <w:rPr>
                <w:lang w:val="en-NZ"/>
              </w:rPr>
            </w:pPr>
          </w:p>
        </w:tc>
      </w:tr>
      <w:tr w:rsidTr="00116D3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ED013E" w:rsidP="00ED013E">
            <w:pPr>
              <w:pStyle w:val="BodyText"/>
            </w:pPr>
            <w:r w:rsidRPr="00ED013E">
              <w:rPr>
                <w:rStyle w:val="SpecialBold"/>
              </w:rPr>
              <w:t>Are there other competency standards that could be assessed with this one</w:t>
            </w:r>
            <w:r w:rsidRPr="00ED013E">
              <w:t>?</w:t>
            </w:r>
          </w:p>
          <w:p w:rsidR="00000000" w:rsidP="00ED013E">
            <w:pPr>
              <w:pStyle w:val="BodyText"/>
              <w:rPr>
                <w:lang w:val="en-NZ"/>
              </w:rPr>
            </w:pPr>
            <w:r w:rsidRPr="00ED013E">
              <w:t xml:space="preserve">This competency standard </w:t>
            </w:r>
            <w:r w:rsidRPr="00ED013E">
              <w:rPr>
                <w:rStyle w:val="SpecialBold"/>
              </w:rPr>
              <w:t>could</w:t>
            </w:r>
            <w:r w:rsidRPr="00ED013E">
              <w:t xml:space="preserve"> be assessed on its own or in combination with other competencies relevant to the job function.   </w:t>
            </w:r>
          </w:p>
        </w:tc>
      </w:tr>
      <w:tr w:rsidTr="00116D3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16D3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ED013E" w:rsidP="00ED013E">
            <w:pPr>
              <w:pStyle w:val="BodyText"/>
            </w:pPr>
            <w:r w:rsidRPr="00ED013E">
              <w:t xml:space="preserve">There is essential information about </w:t>
            </w:r>
            <w:r w:rsidRPr="00ED013E">
              <w:rPr>
                <w:rStyle w:val="SpecialBold"/>
              </w:rPr>
              <w:t>assessing this competency standard for consistent performance</w:t>
            </w:r>
            <w:r w:rsidRPr="00ED013E">
              <w:t xml:space="preserve"> and </w:t>
            </w:r>
            <w:r w:rsidRPr="00ED013E">
              <w:rPr>
                <w:rStyle w:val="SpecialBold"/>
              </w:rPr>
              <w:t>where and how it may be assessed</w:t>
            </w:r>
            <w:r w:rsidRPr="00ED013E">
              <w:t xml:space="preserve">, in the Assessment Guidelines for this Training Package.  All users of these competency standards must have </w:t>
            </w:r>
            <w:r w:rsidRPr="00ED013E">
              <w:rPr>
                <w:rStyle w:val="SpecialBold"/>
              </w:rPr>
              <w:t>access</w:t>
            </w:r>
            <w:r w:rsidRPr="00ED013E">
              <w:t xml:space="preserve"> to the </w:t>
            </w:r>
            <w:r w:rsidRPr="00ED013E">
              <w:rPr>
                <w:rStyle w:val="SpecialBold"/>
              </w:rPr>
              <w:t>Assessment Guidelines</w:t>
            </w:r>
            <w:r w:rsidRPr="00ED013E">
              <w:t>.  Further adv</w:t>
            </w:r>
            <w:r w:rsidRPr="00ED013E">
              <w:t xml:space="preserve">ice may also be sought from the relevant </w:t>
            </w:r>
            <w:r w:rsidRPr="00ED013E">
              <w:rPr>
                <w:rStyle w:val="SpecialBold"/>
              </w:rPr>
              <w:t>sector booklet</w:t>
            </w:r>
            <w:r w:rsidRPr="00ED013E">
              <w:t xml:space="preserve">. </w:t>
            </w:r>
          </w:p>
        </w:tc>
      </w:tr>
    </w:tbl>
    <w:p w:rsidR="00000000" w:rsidRPr="00ED013E" w:rsidP="00ED013E">
      <w:pPr>
        <w:pStyle w:val="BodyText"/>
      </w:pPr>
    </w:p>
    <w:p w:rsidR="00000000" w:rsidRPr="00ED013E" w:rsidP="00ED013E">
      <w:pPr>
        <w:pStyle w:val="AllowPageBreak"/>
      </w:pPr>
    </w:p>
    <w:p w:rsidR="00000000" w:rsidRPr="00ED013E" w:rsidP="00ED013E">
      <w:pPr>
        <w:pStyle w:val="Heading1"/>
      </w:pPr>
      <w:bookmarkStart w:id="11" w:name="O_319540"/>
      <w:bookmarkEnd w:id="11"/>
      <w:r w:rsidRPr="00ED013E">
        <w:t>Range Statement</w:t>
      </w:r>
    </w:p>
    <w:tbl>
      <w:tblPr>
        <w:tblW w:w="0" w:type="auto"/>
        <w:tblLayout w:type="fixed"/>
        <w:tblCellMar>
          <w:left w:w="62" w:type="dxa"/>
          <w:right w:w="62" w:type="dxa"/>
        </w:tblCellMar>
        <w:tblLook w:val="0000"/>
      </w:tblPr>
      <w:tblGrid>
        <w:gridCol w:w="4500"/>
        <w:gridCol w:w="4500"/>
      </w:tblGrid>
      <w:tr w:rsidTr="00116D3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ED013E" w:rsidP="00ED013E">
            <w:pPr>
              <w:pStyle w:val="BodyText"/>
            </w:pPr>
            <w:r w:rsidRPr="00ED013E">
              <w:rPr>
                <w:rStyle w:val="SpecialBold"/>
              </w:rPr>
              <w:t>Range of Variables</w:t>
            </w:r>
          </w:p>
          <w:p w:rsidR="00000000" w:rsidP="00ED013E">
            <w:pPr>
              <w:pStyle w:val="BodyText"/>
              <w:rPr>
                <w:lang w:val="en-NZ"/>
              </w:rPr>
            </w:pPr>
            <w:r w:rsidRPr="00ED013E">
              <w:t>The Range of Variables explains the range of contexts within which the performance and knowledge requirements of this standard may be assessed.</w:t>
            </w:r>
            <w:r w:rsidRPr="00ED013E">
              <w:t xml:space="preserve">  The scope of variables chosen in training and assessment may depend on the work situations available</w:t>
            </w:r>
          </w:p>
        </w:tc>
      </w:tr>
      <w:tr w:rsidTr="00116D3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D013E">
            <w:pPr>
              <w:pStyle w:val="BodyText"/>
              <w:rPr>
                <w:lang w:val="en-NZ"/>
              </w:rPr>
            </w:pPr>
            <w:r w:rsidRPr="00ED013E">
              <w:t xml:space="preserve">What may be considered under weather or climate </w:t>
            </w:r>
            <w:r w:rsidRPr="00ED013E">
              <w:rPr>
                <w:rStyle w:val="SpecialBold"/>
              </w:rPr>
              <w:t>risk factors</w:t>
            </w:r>
            <w:r w:rsidRPr="00ED013E">
              <w:t xml:space="preserve">? </w:t>
            </w:r>
          </w:p>
        </w:tc>
        <w:tc>
          <w:tcPr>
            <w:tcW w:w="4500" w:type="dxa"/>
            <w:tcBorders>
              <w:top w:val="nil"/>
              <w:left w:val="nil"/>
              <w:bottom w:val="nil"/>
              <w:right w:val="nil"/>
            </w:tcBorders>
            <w:tcMar>
              <w:top w:w="0" w:type="dxa"/>
              <w:left w:w="62" w:type="dxa"/>
              <w:bottom w:w="0" w:type="dxa"/>
              <w:right w:w="62" w:type="dxa"/>
            </w:tcMar>
          </w:tcPr>
          <w:p w:rsidR="00000000" w:rsidP="00ED013E">
            <w:pPr>
              <w:pStyle w:val="BodyText"/>
              <w:rPr>
                <w:lang w:val="en-NZ"/>
              </w:rPr>
            </w:pPr>
            <w:r w:rsidRPr="00ED013E">
              <w:t>Risk factors may include soil erosion, tree cover, flooding, drought, fire management, p</w:t>
            </w:r>
            <w:r w:rsidRPr="00ED013E">
              <w:t xml:space="preserve">ests and diseases, and changing nutrient levels. </w:t>
            </w:r>
          </w:p>
        </w:tc>
      </w:tr>
      <w:tr w:rsidTr="00116D3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D013E">
            <w:pPr>
              <w:pStyle w:val="BodyText"/>
              <w:rPr>
                <w:lang w:val="en-NZ"/>
              </w:rPr>
            </w:pPr>
            <w:r w:rsidRPr="00ED013E">
              <w:t xml:space="preserve">What </w:t>
            </w:r>
            <w:r w:rsidRPr="00ED013E">
              <w:rPr>
                <w:rStyle w:val="SpecialBold"/>
              </w:rPr>
              <w:t>significant climate</w:t>
            </w:r>
            <w:r w:rsidRPr="00ED013E">
              <w:t xml:space="preserve"> events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ED013E">
            <w:pPr>
              <w:pStyle w:val="BodyText"/>
              <w:rPr>
                <w:lang w:val="en-NZ"/>
              </w:rPr>
            </w:pPr>
            <w:r w:rsidRPr="00ED013E">
              <w:t xml:space="preserve">Significant climate events may include floods, droughts and periods of extreme temperature. </w:t>
            </w:r>
          </w:p>
        </w:tc>
      </w:tr>
      <w:tr w:rsidTr="00116D3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D013E">
            <w:pPr>
              <w:pStyle w:val="BodyText"/>
              <w:rPr>
                <w:lang w:val="en-NZ"/>
              </w:rPr>
            </w:pPr>
            <w:r w:rsidRPr="00ED013E">
              <w:t xml:space="preserve">What enterprise </w:t>
            </w:r>
            <w:r w:rsidRPr="00ED013E">
              <w:rPr>
                <w:rStyle w:val="SpecialBold"/>
              </w:rPr>
              <w:t>situation</w:t>
            </w:r>
            <w:r w:rsidRPr="00ED013E">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ED013E">
            <w:pPr>
              <w:pStyle w:val="BodyText"/>
              <w:rPr>
                <w:lang w:val="en-NZ"/>
              </w:rPr>
            </w:pPr>
            <w:r w:rsidRPr="00ED013E">
              <w:t xml:space="preserve">Enterprise situation may include stock, pasture, crops, climate, vegetation, waterways, slope, aspect, and growing season. </w:t>
            </w:r>
          </w:p>
        </w:tc>
      </w:tr>
      <w:tr w:rsidTr="00116D3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D013E">
            <w:pPr>
              <w:pStyle w:val="BodyText"/>
              <w:rPr>
                <w:lang w:val="en-NZ"/>
              </w:rPr>
            </w:pPr>
            <w:r w:rsidRPr="00ED013E">
              <w:t xml:space="preserve">What may be included under climate </w:t>
            </w:r>
            <w:r w:rsidRPr="00ED013E">
              <w:rPr>
                <w:rStyle w:val="SpecialBold"/>
              </w:rPr>
              <w:t>opportunities</w:t>
            </w:r>
            <w:r w:rsidRPr="00ED013E">
              <w:t xml:space="preserve">? </w:t>
            </w:r>
          </w:p>
        </w:tc>
        <w:tc>
          <w:tcPr>
            <w:tcW w:w="4500" w:type="dxa"/>
            <w:tcBorders>
              <w:top w:val="nil"/>
              <w:left w:val="nil"/>
              <w:bottom w:val="nil"/>
              <w:right w:val="nil"/>
            </w:tcBorders>
            <w:tcMar>
              <w:top w:w="0" w:type="dxa"/>
              <w:left w:w="62" w:type="dxa"/>
              <w:bottom w:w="0" w:type="dxa"/>
              <w:right w:w="62" w:type="dxa"/>
            </w:tcMar>
          </w:tcPr>
          <w:p w:rsidR="00000000" w:rsidP="00ED013E">
            <w:pPr>
              <w:pStyle w:val="BodyText"/>
              <w:rPr>
                <w:lang w:val="en-NZ"/>
              </w:rPr>
            </w:pPr>
            <w:r w:rsidRPr="00ED013E">
              <w:t>Climate opportunities may include above ave</w:t>
            </w:r>
            <w:r w:rsidRPr="00ED013E">
              <w:t xml:space="preserve">rage production, market opportunities, refining enterprise mix decisions, and alternative enterprises. </w:t>
            </w:r>
          </w:p>
        </w:tc>
      </w:tr>
      <w:tr w:rsidTr="00116D3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D013E">
            <w:pPr>
              <w:pStyle w:val="BodyText"/>
              <w:rPr>
                <w:lang w:val="en-NZ"/>
              </w:rPr>
            </w:pPr>
            <w:r w:rsidRPr="00ED013E">
              <w:t xml:space="preserve">What may be classed as contingency </w:t>
            </w:r>
            <w:r w:rsidRPr="00ED013E">
              <w:rPr>
                <w:rStyle w:val="SpecialBold"/>
              </w:rPr>
              <w:t>options</w:t>
            </w:r>
            <w:r w:rsidRPr="00ED013E">
              <w:t xml:space="preserve">? </w:t>
            </w:r>
          </w:p>
        </w:tc>
        <w:tc>
          <w:tcPr>
            <w:tcW w:w="4500" w:type="dxa"/>
            <w:tcBorders>
              <w:top w:val="nil"/>
              <w:left w:val="nil"/>
              <w:bottom w:val="nil"/>
              <w:right w:val="nil"/>
            </w:tcBorders>
            <w:tcMar>
              <w:top w:w="0" w:type="dxa"/>
              <w:left w:w="62" w:type="dxa"/>
              <w:bottom w:w="0" w:type="dxa"/>
              <w:right w:w="62" w:type="dxa"/>
            </w:tcMar>
          </w:tcPr>
          <w:p w:rsidR="00000000" w:rsidP="00ED013E">
            <w:pPr>
              <w:pStyle w:val="BodyText"/>
              <w:rPr>
                <w:lang w:val="en-NZ"/>
              </w:rPr>
            </w:pPr>
            <w:r w:rsidRPr="00ED013E">
              <w:t>Options may include marketing, cropping strategies, plant production, animal husbandry and health, removin</w:t>
            </w:r>
            <w:r w:rsidRPr="00ED013E">
              <w:t xml:space="preserve">g stock, re-stocking property, provision of food supplements, changing enterprises, and other emergency planning. </w:t>
            </w:r>
          </w:p>
        </w:tc>
      </w:tr>
      <w:tr w:rsidTr="00116D3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D013E">
            <w:pPr>
              <w:pStyle w:val="BodyText"/>
              <w:rPr>
                <w:lang w:val="en-NZ"/>
              </w:rPr>
            </w:pPr>
            <w:r w:rsidRPr="00ED013E">
              <w:t xml:space="preserve">What property </w:t>
            </w:r>
            <w:r w:rsidRPr="00ED013E">
              <w:rPr>
                <w:rStyle w:val="SpecialBold"/>
              </w:rPr>
              <w:t>values</w:t>
            </w:r>
            <w:r w:rsidRPr="00ED013E">
              <w:t xml:space="preserve"> may apply to this standard? </w:t>
            </w:r>
          </w:p>
        </w:tc>
        <w:tc>
          <w:tcPr>
            <w:tcW w:w="4500" w:type="dxa"/>
            <w:tcBorders>
              <w:top w:val="nil"/>
              <w:left w:val="nil"/>
              <w:bottom w:val="nil"/>
              <w:right w:val="nil"/>
            </w:tcBorders>
            <w:tcMar>
              <w:top w:w="0" w:type="dxa"/>
              <w:left w:w="62" w:type="dxa"/>
              <w:bottom w:w="0" w:type="dxa"/>
              <w:right w:w="62" w:type="dxa"/>
            </w:tcMar>
          </w:tcPr>
          <w:p w:rsidR="00000000" w:rsidP="00ED013E">
            <w:pPr>
              <w:pStyle w:val="BodyText"/>
              <w:rPr>
                <w:lang w:val="en-NZ"/>
              </w:rPr>
            </w:pPr>
            <w:r w:rsidRPr="00ED013E">
              <w:t>Values may include economic, enterprise sustainability, improvement in natural resource ba</w:t>
            </w:r>
            <w:r w:rsidRPr="00ED013E">
              <w:t xml:space="preserve">se, and other benefits. </w:t>
            </w:r>
          </w:p>
        </w:tc>
      </w:tr>
      <w:tr w:rsidTr="00116D3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D013E">
            <w:pPr>
              <w:pStyle w:val="BodyText"/>
              <w:rPr>
                <w:lang w:val="en-NZ"/>
              </w:rPr>
            </w:pPr>
            <w:r w:rsidRPr="00ED013E">
              <w:t xml:space="preserve">For more information on contexts, environment and variables for training and assessment, refer to the Sector Booklet. </w:t>
            </w:r>
          </w:p>
        </w:tc>
      </w:tr>
      <w:tr w:rsidTr="00116D3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ED013E">
            <w:pPr>
              <w:pStyle w:val="BodyText"/>
              <w:keepNext w:val="0"/>
              <w:keepLines w:val="0"/>
              <w:contextualSpacing w:val="0"/>
            </w:pPr>
          </w:p>
        </w:tc>
      </w:tr>
    </w:tbl>
    <w:p w:rsidR="00000000" w:rsidRPr="00ED013E" w:rsidP="00ED013E">
      <w:pPr>
        <w:pStyle w:val="BodyText"/>
      </w:pPr>
    </w:p>
    <w:p w:rsidR="00000000" w:rsidRPr="00ED013E" w:rsidP="00ED013E">
      <w:pPr>
        <w:pStyle w:val="AllowPageBreak"/>
      </w:pPr>
    </w:p>
    <w:p w:rsidR="00000000" w:rsidRPr="00ED013E" w:rsidP="00ED013E">
      <w:pPr>
        <w:pStyle w:val="Heading1"/>
      </w:pPr>
      <w:bookmarkStart w:id="12" w:name="O_319549"/>
      <w:bookmarkEnd w:id="12"/>
      <w:r w:rsidRPr="00ED013E">
        <w:t>Unit Sector(s)</w:t>
      </w:r>
    </w:p>
    <w:p w:rsidR="00000000" w:rsidRPr="00ED013E" w:rsidP="00ED013E">
      <w:pPr>
        <w:pStyle w:val="BodyText"/>
      </w:pPr>
      <w:r w:rsidRPr="00ED013E">
        <w:t>Not applicable.</w:t>
      </w:r>
    </w:p>
    <w:p w:rsidR="00000000" w:rsidRPr="00ED013E" w:rsidP="00ED013E"/>
    <w:sectPr w:rsidSect="00ED013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1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6D3C" w:rsidP="00116D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1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D3C" w:rsidP="00ED01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16D3C" w:rsidP="00ED013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16D3C" w:rsidP="00ED013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1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6D3C" w:rsidP="00116D3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1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D3C" w:rsidP="00ED013E">
    <w:pPr>
      <w:pStyle w:val="Header"/>
      <w:framePr w:wrap="around"/>
    </w:pPr>
    <w:r>
      <w:fldChar w:fldCharType="begin"/>
    </w:r>
    <w:r>
      <w:instrText xml:space="preserve"> TITLE   \* MERGEFORMAT </w:instrText>
    </w:r>
    <w:r>
      <w:fldChar w:fldCharType="separate"/>
    </w:r>
    <w:r>
      <w:t>RTE5523A Develop climatic risk management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16D3C" w:rsidP="00ED013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013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D013E"/>
    <w:pPr>
      <w:spacing w:before="360" w:after="60"/>
      <w:outlineLvl w:val="0"/>
    </w:pPr>
    <w:rPr>
      <w:sz w:val="32"/>
    </w:rPr>
  </w:style>
  <w:style w:type="paragraph" w:styleId="Heading2">
    <w:name w:val="heading 2"/>
    <w:basedOn w:val="HeadingBase"/>
    <w:next w:val="BodyText"/>
    <w:link w:val="Heading2Char"/>
    <w:qFormat/>
    <w:rsid w:val="00ED013E"/>
    <w:pPr>
      <w:keepLines/>
      <w:spacing w:before="240" w:after="120"/>
      <w:outlineLvl w:val="1"/>
    </w:pPr>
    <w:rPr>
      <w:sz w:val="28"/>
      <w:szCs w:val="40"/>
    </w:rPr>
  </w:style>
  <w:style w:type="paragraph" w:styleId="Heading3">
    <w:name w:val="heading 3"/>
    <w:basedOn w:val="HeadingBase"/>
    <w:next w:val="BodyText"/>
    <w:link w:val="Heading3Char"/>
    <w:qFormat/>
    <w:rsid w:val="00ED013E"/>
    <w:pPr>
      <w:spacing w:before="180" w:after="120"/>
      <w:outlineLvl w:val="2"/>
    </w:pPr>
    <w:rPr>
      <w:spacing w:val="-10"/>
      <w:kern w:val="32"/>
    </w:rPr>
  </w:style>
  <w:style w:type="paragraph" w:styleId="Heading4">
    <w:name w:val="heading 4"/>
    <w:basedOn w:val="HeadingBase"/>
    <w:next w:val="BodyText"/>
    <w:link w:val="Heading4Char"/>
    <w:qFormat/>
    <w:rsid w:val="00ED013E"/>
    <w:pPr>
      <w:spacing w:before="160" w:after="120"/>
      <w:outlineLvl w:val="3"/>
    </w:pPr>
    <w:rPr>
      <w:sz w:val="22"/>
    </w:rPr>
  </w:style>
  <w:style w:type="paragraph" w:styleId="Heading5">
    <w:name w:val="heading 5"/>
    <w:basedOn w:val="HeadingBase"/>
    <w:next w:val="Normal"/>
    <w:link w:val="Heading5Char"/>
    <w:qFormat/>
    <w:rsid w:val="00ED013E"/>
    <w:pPr>
      <w:spacing w:before="80"/>
      <w:outlineLvl w:val="4"/>
    </w:pPr>
    <w:rPr>
      <w:color w:val="918585"/>
      <w:sz w:val="20"/>
    </w:rPr>
  </w:style>
  <w:style w:type="paragraph" w:styleId="Heading6">
    <w:name w:val="heading 6"/>
    <w:basedOn w:val="HeadingBase"/>
    <w:next w:val="Normal"/>
    <w:link w:val="Heading6Char"/>
    <w:qFormat/>
    <w:rsid w:val="00ED013E"/>
    <w:pPr>
      <w:spacing w:before="60"/>
      <w:outlineLvl w:val="5"/>
    </w:pPr>
    <w:rPr>
      <w:color w:val="918585"/>
      <w:sz w:val="20"/>
    </w:rPr>
  </w:style>
  <w:style w:type="paragraph" w:styleId="Heading7">
    <w:name w:val="heading 7"/>
    <w:basedOn w:val="Normal"/>
    <w:next w:val="Normal"/>
    <w:link w:val="Heading7Char"/>
    <w:qFormat/>
    <w:rsid w:val="00ED013E"/>
    <w:pPr>
      <w:ind w:left="720"/>
      <w:outlineLvl w:val="6"/>
    </w:pPr>
    <w:rPr>
      <w:i/>
    </w:rPr>
  </w:style>
  <w:style w:type="paragraph" w:styleId="Heading8">
    <w:name w:val="heading 8"/>
    <w:basedOn w:val="Normal"/>
    <w:next w:val="Normal"/>
    <w:link w:val="Heading8Char"/>
    <w:qFormat/>
    <w:rsid w:val="00ED013E"/>
    <w:pPr>
      <w:ind w:left="720"/>
      <w:outlineLvl w:val="7"/>
    </w:pPr>
    <w:rPr>
      <w:i/>
    </w:rPr>
  </w:style>
  <w:style w:type="paragraph" w:styleId="Heading9">
    <w:name w:val="heading 9"/>
    <w:basedOn w:val="Normal"/>
    <w:next w:val="Normal"/>
    <w:link w:val="Heading9Char"/>
    <w:qFormat/>
    <w:rsid w:val="00ED013E"/>
    <w:pPr>
      <w:ind w:left="720"/>
      <w:outlineLvl w:val="8"/>
    </w:pPr>
    <w:rPr>
      <w:i/>
    </w:rPr>
  </w:style>
  <w:style w:type="character" w:default="1" w:styleId="DefaultParagraphFont">
    <w:name w:val="Default Paragraph Font"/>
    <w:uiPriority w:val="1"/>
    <w:unhideWhenUsed/>
    <w:rsid w:val="00ED01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013E"/>
  </w:style>
  <w:style w:type="character" w:customStyle="1" w:styleId="Heading1Char">
    <w:name w:val="Heading 1 Char"/>
    <w:basedOn w:val="DefaultParagraphFont"/>
    <w:link w:val="Heading1"/>
    <w:rsid w:val="00ED013E"/>
    <w:rPr>
      <w:rFonts w:ascii="Times New Roman" w:eastAsia="Times New Roman" w:hAnsi="Times New Roman" w:cs="Times New Roman"/>
      <w:b/>
      <w:sz w:val="32"/>
      <w:szCs w:val="20"/>
      <w:lang w:eastAsia="en-US"/>
    </w:rPr>
  </w:style>
  <w:style w:type="paragraph" w:styleId="BodyText">
    <w:name w:val="Body Text"/>
    <w:basedOn w:val="Normal"/>
    <w:link w:val="BodyTextChar"/>
    <w:rsid w:val="00ED013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D013E"/>
    <w:rPr>
      <w:rFonts w:ascii="Times New Roman" w:eastAsia="Times New Roman" w:hAnsi="Times New Roman" w:cs="Times New Roman"/>
      <w:sz w:val="24"/>
      <w:lang w:val="en-US" w:eastAsia="en-US"/>
    </w:rPr>
  </w:style>
  <w:style w:type="paragraph" w:styleId="Footer">
    <w:name w:val="footer"/>
    <w:basedOn w:val="Normal"/>
    <w:link w:val="FooterChar"/>
    <w:rsid w:val="00ED01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013E"/>
    <w:rPr>
      <w:rFonts w:ascii="Times New Roman" w:eastAsia="Times New Roman" w:hAnsi="Times New Roman" w:cs="Times New Roman"/>
      <w:sz w:val="16"/>
      <w:lang w:val="en-US" w:eastAsia="en-US"/>
    </w:rPr>
  </w:style>
  <w:style w:type="character" w:customStyle="1" w:styleId="SpecialBold">
    <w:name w:val="Special Bold"/>
    <w:basedOn w:val="DefaultParagraphFont"/>
    <w:rsid w:val="00ED013E"/>
    <w:rPr>
      <w:b/>
      <w:spacing w:val="0"/>
    </w:rPr>
  </w:style>
  <w:style w:type="paragraph" w:styleId="Header">
    <w:name w:val="header"/>
    <w:basedOn w:val="Normal"/>
    <w:link w:val="HeaderChar"/>
    <w:rsid w:val="00ED01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013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D013E"/>
    <w:pPr>
      <w:spacing w:before="240" w:after="120"/>
      <w:outlineLvl w:val="0"/>
    </w:pPr>
    <w:rPr>
      <w:rFonts w:ascii="Times New Roman" w:hAnsi="Times New Roman"/>
      <w:b/>
      <w:sz w:val="28"/>
    </w:rPr>
  </w:style>
  <w:style w:type="paragraph" w:customStyle="1" w:styleId="AllowPageBreak">
    <w:name w:val="AllowPageBreak"/>
    <w:rsid w:val="00ED01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D01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01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01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01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01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013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D013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D013E"/>
    <w:rPr>
      <w:rFonts w:ascii="Courier New" w:eastAsia="Times New Roman" w:hAnsi="Courier New" w:cs="Times New Roman"/>
      <w:i/>
      <w:szCs w:val="20"/>
      <w:lang w:val="en-US" w:eastAsia="en-US"/>
    </w:rPr>
  </w:style>
  <w:style w:type="paragraph" w:customStyle="1" w:styleId="HeadingBase">
    <w:name w:val="Heading Base"/>
    <w:rsid w:val="00ED01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013E"/>
    <w:pPr>
      <w:tabs>
        <w:tab w:val="right" w:leader="dot" w:pos="9072"/>
      </w:tabs>
      <w:ind w:left="567"/>
    </w:pPr>
    <w:rPr>
      <w:szCs w:val="22"/>
    </w:rPr>
  </w:style>
  <w:style w:type="paragraph" w:customStyle="1" w:styleId="TOCBase">
    <w:name w:val="TOC Base"/>
    <w:rsid w:val="00ED01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013E"/>
    <w:pPr>
      <w:tabs>
        <w:tab w:val="right" w:leader="dot" w:pos="9072"/>
      </w:tabs>
      <w:spacing w:before="40" w:after="40"/>
      <w:ind w:left="284"/>
    </w:pPr>
    <w:rPr>
      <w:rFonts w:ascii="Times New Roman" w:hAnsi="Times New Roman"/>
    </w:rPr>
  </w:style>
  <w:style w:type="paragraph" w:styleId="TOC1">
    <w:name w:val="toc 1"/>
    <w:basedOn w:val="TOCBase"/>
    <w:next w:val="Normal"/>
    <w:rsid w:val="00ED013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D013E"/>
    <w:pPr>
      <w:spacing w:before="5040"/>
      <w:jc w:val="center"/>
    </w:pPr>
    <w:rPr>
      <w:sz w:val="48"/>
      <w:szCs w:val="72"/>
      <w:lang w:val="en-US"/>
    </w:rPr>
  </w:style>
  <w:style w:type="character" w:customStyle="1" w:styleId="TitleChar">
    <w:name w:val="Title Char"/>
    <w:basedOn w:val="DefaultParagraphFont"/>
    <w:link w:val="Title"/>
    <w:rsid w:val="00ED01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013E"/>
    <w:pPr>
      <w:tabs>
        <w:tab w:val="left" w:pos="3600"/>
        <w:tab w:val="left" w:pos="3958"/>
      </w:tabs>
    </w:pPr>
  </w:style>
  <w:style w:type="paragraph" w:styleId="List">
    <w:name w:val="List"/>
    <w:basedOn w:val="BodyText"/>
    <w:next w:val="BodyText"/>
    <w:rsid w:val="00ED013E"/>
    <w:pPr>
      <w:tabs>
        <w:tab w:val="left" w:pos="340"/>
      </w:tabs>
      <w:spacing w:before="60" w:after="60"/>
      <w:ind w:left="340" w:hanging="340"/>
    </w:pPr>
  </w:style>
  <w:style w:type="paragraph" w:styleId="ListBullet">
    <w:name w:val="List Bullet"/>
    <w:basedOn w:val="List"/>
    <w:rsid w:val="00ED013E"/>
    <w:pPr>
      <w:numPr>
        <w:numId w:val="11"/>
      </w:numPr>
      <w:tabs>
        <w:tab w:val="clear" w:pos="340"/>
      </w:tabs>
      <w:spacing w:before="40" w:after="40"/>
    </w:pPr>
  </w:style>
  <w:style w:type="paragraph" w:customStyle="1" w:styleId="Note">
    <w:name w:val="Note"/>
    <w:basedOn w:val="BodyText"/>
    <w:rsid w:val="00ED01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013E"/>
    <w:pPr>
      <w:framePr w:wrap="auto" w:hAnchor="text" w:y="6049"/>
    </w:pPr>
    <w:rPr>
      <w:color w:val="000000"/>
      <w:sz w:val="40"/>
    </w:rPr>
  </w:style>
  <w:style w:type="paragraph" w:customStyle="1" w:styleId="TOCTitle">
    <w:name w:val="TOCTitle"/>
    <w:basedOn w:val="Heading1"/>
    <w:rsid w:val="00ED013E"/>
    <w:pPr>
      <w:spacing w:after="240"/>
      <w:jc w:val="center"/>
      <w:outlineLvl w:val="9"/>
    </w:pPr>
    <w:rPr>
      <w:caps/>
    </w:rPr>
  </w:style>
  <w:style w:type="paragraph" w:customStyle="1" w:styleId="Version">
    <w:name w:val="Version"/>
    <w:rsid w:val="00ED013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D013E"/>
    <w:pPr>
      <w:numPr>
        <w:numId w:val="12"/>
      </w:numPr>
      <w:tabs>
        <w:tab w:val="clear" w:pos="680"/>
      </w:tabs>
    </w:pPr>
  </w:style>
  <w:style w:type="paragraph" w:styleId="Index1">
    <w:name w:val="index 1"/>
    <w:basedOn w:val="Normal"/>
    <w:next w:val="Normal"/>
    <w:semiHidden/>
    <w:rsid w:val="00ED013E"/>
    <w:pPr>
      <w:keepNext w:val="0"/>
      <w:tabs>
        <w:tab w:val="right" w:pos="4176"/>
      </w:tabs>
      <w:ind w:left="198" w:hanging="198"/>
    </w:pPr>
    <w:rPr>
      <w:rFonts w:ascii="Garamond" w:hAnsi="Garamond"/>
    </w:rPr>
  </w:style>
  <w:style w:type="paragraph" w:styleId="IndexHeading">
    <w:name w:val="index heading"/>
    <w:basedOn w:val="Normal"/>
    <w:next w:val="Index1"/>
    <w:semiHidden/>
    <w:rsid w:val="00ED013E"/>
    <w:pPr>
      <w:spacing w:before="120" w:after="120"/>
    </w:pPr>
    <w:rPr>
      <w:rFonts w:ascii="Arial" w:hAnsi="Arial"/>
      <w:b/>
      <w:color w:val="918585"/>
      <w:sz w:val="24"/>
    </w:rPr>
  </w:style>
  <w:style w:type="paragraph" w:customStyle="1" w:styleId="Chapter">
    <w:name w:val="Chapter"/>
    <w:basedOn w:val="Normal"/>
    <w:rsid w:val="00ED013E"/>
    <w:pPr>
      <w:spacing w:before="240"/>
    </w:pPr>
    <w:rPr>
      <w:rFonts w:ascii="Times New Roman" w:hAnsi="Times New Roman"/>
      <w:smallCaps/>
      <w:spacing w:val="80"/>
      <w:sz w:val="28"/>
    </w:rPr>
  </w:style>
  <w:style w:type="paragraph" w:customStyle="1" w:styleId="InChapter">
    <w:name w:val="InChapter"/>
    <w:basedOn w:val="Heading3"/>
    <w:rsid w:val="00ED013E"/>
    <w:pPr>
      <w:spacing w:after="240"/>
      <w:outlineLvl w:val="9"/>
    </w:pPr>
    <w:rPr>
      <w:noProof/>
    </w:rPr>
  </w:style>
  <w:style w:type="paragraph" w:styleId="Index2">
    <w:name w:val="index 2"/>
    <w:basedOn w:val="Normal"/>
    <w:next w:val="Normal"/>
    <w:semiHidden/>
    <w:rsid w:val="00ED013E"/>
    <w:pPr>
      <w:tabs>
        <w:tab w:val="right" w:pos="4176"/>
      </w:tabs>
      <w:ind w:left="568" w:hanging="284"/>
    </w:pPr>
    <w:rPr>
      <w:rFonts w:ascii="Garamond" w:hAnsi="Garamond"/>
    </w:rPr>
  </w:style>
  <w:style w:type="paragraph" w:customStyle="1" w:styleId="Byline">
    <w:name w:val="Byline"/>
    <w:rsid w:val="00ED01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013E"/>
    <w:pPr>
      <w:tabs>
        <w:tab w:val="clear" w:pos="3600"/>
        <w:tab w:val="clear" w:pos="3958"/>
      </w:tabs>
      <w:jc w:val="right"/>
    </w:pPr>
  </w:style>
  <w:style w:type="character" w:styleId="Emphasis">
    <w:name w:val="Emphasis"/>
    <w:basedOn w:val="DefaultParagraphFont"/>
    <w:qFormat/>
    <w:rsid w:val="00ED013E"/>
    <w:rPr>
      <w:i/>
    </w:rPr>
  </w:style>
  <w:style w:type="paragraph" w:styleId="Caption">
    <w:name w:val="caption"/>
    <w:basedOn w:val="BodyText"/>
    <w:next w:val="Normal"/>
    <w:qFormat/>
    <w:rsid w:val="00ED013E"/>
    <w:pPr>
      <w:framePr w:w="2268" w:hSpace="181" w:vSpace="181" w:wrap="around" w:vAnchor="text" w:hAnchor="page" w:x="1135" w:y="285" w:anchorLock="1"/>
    </w:pPr>
    <w:rPr>
      <w:i/>
    </w:rPr>
  </w:style>
  <w:style w:type="paragraph" w:customStyle="1" w:styleId="MiniTOCTitle">
    <w:name w:val="MiniTOCTitle"/>
    <w:basedOn w:val="Heading4"/>
    <w:rsid w:val="00ED013E"/>
    <w:pPr>
      <w:spacing w:before="240"/>
      <w:outlineLvl w:val="9"/>
    </w:pPr>
    <w:rPr>
      <w:noProof/>
      <w:sz w:val="24"/>
    </w:rPr>
  </w:style>
  <w:style w:type="paragraph" w:customStyle="1" w:styleId="MiniTOCItem">
    <w:name w:val="MiniTOCItem"/>
    <w:basedOn w:val="ListBullet"/>
    <w:rsid w:val="00ED013E"/>
    <w:pPr>
      <w:numPr>
        <w:numId w:val="0"/>
      </w:numPr>
      <w:tabs>
        <w:tab w:val="right" w:leader="dot" w:pos="6521"/>
      </w:tabs>
      <w:spacing w:before="0" w:after="0"/>
    </w:pPr>
  </w:style>
  <w:style w:type="paragraph" w:customStyle="1" w:styleId="TOFTitle">
    <w:name w:val="TOFTitle"/>
    <w:basedOn w:val="TOCTitle"/>
    <w:rsid w:val="00ED013E"/>
  </w:style>
  <w:style w:type="paragraph" w:styleId="TableofFigures">
    <w:name w:val="table of figures"/>
    <w:basedOn w:val="Normal"/>
    <w:next w:val="Normal"/>
    <w:semiHidden/>
    <w:rsid w:val="00ED013E"/>
    <w:pPr>
      <w:tabs>
        <w:tab w:val="right" w:leader="dot" w:pos="9072"/>
      </w:tabs>
      <w:ind w:left="970" w:hanging="403"/>
    </w:pPr>
    <w:rPr>
      <w:rFonts w:ascii="Times New Roman" w:hAnsi="Times New Roman"/>
      <w:b/>
    </w:rPr>
  </w:style>
  <w:style w:type="paragraph" w:styleId="ListNumber">
    <w:name w:val="List Number"/>
    <w:basedOn w:val="List"/>
    <w:rsid w:val="00ED013E"/>
    <w:pPr>
      <w:numPr>
        <w:numId w:val="9"/>
      </w:numPr>
    </w:pPr>
  </w:style>
  <w:style w:type="character" w:customStyle="1" w:styleId="WingdingSymbols">
    <w:name w:val="Wingding Symbols"/>
    <w:rsid w:val="00ED013E"/>
    <w:rPr>
      <w:rFonts w:ascii="Wingdings" w:hAnsi="Wingdings"/>
    </w:rPr>
  </w:style>
  <w:style w:type="paragraph" w:customStyle="1" w:styleId="TableHeading">
    <w:name w:val="Table Heading"/>
    <w:basedOn w:val="HeadingBase"/>
    <w:rsid w:val="00ED013E"/>
    <w:pPr>
      <w:keepLines/>
      <w:pBdr>
        <w:bottom w:val="single" w:sz="6" w:space="1" w:color="918585"/>
      </w:pBdr>
      <w:spacing w:before="240"/>
    </w:pPr>
  </w:style>
  <w:style w:type="character" w:customStyle="1" w:styleId="HotSpot">
    <w:name w:val="HotSpot"/>
    <w:rsid w:val="00ED013E"/>
    <w:rPr>
      <w:color w:val="0033CC"/>
      <w:u w:val="none"/>
    </w:rPr>
  </w:style>
  <w:style w:type="paragraph" w:customStyle="1" w:styleId="BodyTextRight">
    <w:name w:val="Body Text Right"/>
    <w:basedOn w:val="BodyText"/>
    <w:rsid w:val="00ED013E"/>
    <w:pPr>
      <w:spacing w:before="0" w:after="0"/>
      <w:jc w:val="right"/>
    </w:pPr>
  </w:style>
  <w:style w:type="paragraph" w:styleId="Index3">
    <w:name w:val="index 3"/>
    <w:basedOn w:val="ListNumber2"/>
    <w:next w:val="Normal"/>
    <w:semiHidden/>
    <w:rsid w:val="00ED013E"/>
    <w:pPr>
      <w:numPr>
        <w:numId w:val="0"/>
      </w:numPr>
      <w:tabs>
        <w:tab w:val="right" w:leader="dot" w:pos="4176"/>
      </w:tabs>
    </w:pPr>
  </w:style>
  <w:style w:type="paragraph" w:styleId="ListNumber2">
    <w:name w:val="List Number 2"/>
    <w:basedOn w:val="List2"/>
    <w:rsid w:val="00ED013E"/>
    <w:pPr>
      <w:numPr>
        <w:numId w:val="8"/>
      </w:numPr>
      <w:tabs>
        <w:tab w:val="clear" w:pos="1060"/>
      </w:tabs>
    </w:pPr>
  </w:style>
  <w:style w:type="paragraph" w:customStyle="1" w:styleId="MarginNote">
    <w:name w:val="Margin Note"/>
    <w:basedOn w:val="BodyText"/>
    <w:rsid w:val="00ED01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01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013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D013E"/>
    <w:rPr>
      <w:sz w:val="32"/>
    </w:rPr>
  </w:style>
  <w:style w:type="paragraph" w:customStyle="1" w:styleId="HeadingProcedure">
    <w:name w:val="Heading Procedure"/>
    <w:basedOn w:val="HeadingBase"/>
    <w:next w:val="Normal"/>
    <w:rsid w:val="00ED013E"/>
    <w:pPr>
      <w:tabs>
        <w:tab w:val="left" w:pos="0"/>
      </w:tabs>
      <w:spacing w:before="120" w:after="60"/>
    </w:pPr>
    <w:rPr>
      <w:i/>
      <w:color w:val="918585"/>
      <w:sz w:val="22"/>
    </w:rPr>
  </w:style>
  <w:style w:type="paragraph" w:customStyle="1" w:styleId="TableBodyText">
    <w:name w:val="Table Body Text"/>
    <w:basedOn w:val="BodyText"/>
    <w:rsid w:val="00ED013E"/>
    <w:pPr>
      <w:spacing w:before="60" w:after="60"/>
    </w:pPr>
  </w:style>
  <w:style w:type="paragraph" w:styleId="ListContinue">
    <w:name w:val="List Continue"/>
    <w:basedOn w:val="List"/>
    <w:rsid w:val="00ED013E"/>
    <w:pPr>
      <w:ind w:firstLine="0"/>
    </w:pPr>
  </w:style>
  <w:style w:type="paragraph" w:customStyle="1" w:styleId="ListNote">
    <w:name w:val="List Note"/>
    <w:basedOn w:val="List"/>
    <w:rsid w:val="00ED013E"/>
    <w:pPr>
      <w:pBdr>
        <w:top w:val="single" w:sz="6" w:space="2" w:color="918585"/>
        <w:bottom w:val="single" w:sz="6" w:space="2" w:color="918585"/>
      </w:pBdr>
      <w:tabs>
        <w:tab w:val="left" w:pos="1021"/>
      </w:tabs>
      <w:ind w:firstLine="0"/>
    </w:pPr>
  </w:style>
  <w:style w:type="paragraph" w:customStyle="1" w:styleId="Warning">
    <w:name w:val="Warning"/>
    <w:basedOn w:val="BodyText"/>
    <w:rsid w:val="00ED013E"/>
    <w:pPr>
      <w:shd w:val="clear" w:color="auto" w:fill="D9D9D9"/>
      <w:tabs>
        <w:tab w:val="left" w:pos="992"/>
      </w:tabs>
      <w:ind w:left="119" w:right="119"/>
    </w:pPr>
    <w:rPr>
      <w:sz w:val="20"/>
    </w:rPr>
  </w:style>
  <w:style w:type="paragraph" w:customStyle="1" w:styleId="MarginIcons">
    <w:name w:val="Margin Icons"/>
    <w:basedOn w:val="BodyText"/>
    <w:rsid w:val="00ED01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013E"/>
    <w:rPr>
      <w:rFonts w:ascii="Courier New" w:hAnsi="Courier New"/>
    </w:rPr>
  </w:style>
  <w:style w:type="paragraph" w:customStyle="1" w:styleId="NoteBullet">
    <w:name w:val="Note Bullet"/>
    <w:basedOn w:val="Note"/>
    <w:rsid w:val="00ED013E"/>
    <w:pPr>
      <w:tabs>
        <w:tab w:val="clear" w:pos="680"/>
      </w:tabs>
      <w:spacing w:before="60" w:after="60"/>
    </w:pPr>
  </w:style>
  <w:style w:type="paragraph" w:customStyle="1" w:styleId="SubHeading2">
    <w:name w:val="SubHeading2"/>
    <w:basedOn w:val="HeadingBase"/>
    <w:rsid w:val="00ED013E"/>
    <w:pPr>
      <w:spacing w:before="240" w:after="60"/>
    </w:pPr>
    <w:rPr>
      <w:sz w:val="20"/>
    </w:rPr>
  </w:style>
  <w:style w:type="paragraph" w:customStyle="1" w:styleId="SubHeading1">
    <w:name w:val="SubHeading1"/>
    <w:basedOn w:val="HeadingBase"/>
    <w:rsid w:val="00ED013E"/>
    <w:pPr>
      <w:spacing w:before="240" w:after="60"/>
    </w:pPr>
    <w:rPr>
      <w:color w:val="918585"/>
      <w:sz w:val="22"/>
    </w:rPr>
  </w:style>
  <w:style w:type="paragraph" w:customStyle="1" w:styleId="SideHeading">
    <w:name w:val="Side Heading"/>
    <w:basedOn w:val="HeadingBase"/>
    <w:rsid w:val="00ED01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013E"/>
    <w:pPr>
      <w:numPr>
        <w:numId w:val="10"/>
      </w:numPr>
    </w:pPr>
  </w:style>
  <w:style w:type="paragraph" w:styleId="PlainText">
    <w:name w:val="Plain Text"/>
    <w:basedOn w:val="Normal"/>
    <w:link w:val="PlainTextChar"/>
    <w:rsid w:val="00ED013E"/>
    <w:rPr>
      <w:sz w:val="20"/>
    </w:rPr>
  </w:style>
  <w:style w:type="character" w:customStyle="1" w:styleId="PlainTextChar">
    <w:name w:val="Plain Text Char"/>
    <w:basedOn w:val="DefaultParagraphFont"/>
    <w:link w:val="PlainText"/>
    <w:rsid w:val="00ED013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D013E"/>
    <w:rPr>
      <w:b/>
      <w:smallCaps/>
    </w:rPr>
  </w:style>
  <w:style w:type="paragraph" w:customStyle="1" w:styleId="TableListNumber">
    <w:name w:val="Table List Number"/>
    <w:basedOn w:val="ListNumber"/>
    <w:rsid w:val="00ED013E"/>
    <w:pPr>
      <w:numPr>
        <w:numId w:val="0"/>
      </w:numPr>
    </w:pPr>
  </w:style>
  <w:style w:type="paragraph" w:styleId="TOC4">
    <w:name w:val="toc 4"/>
    <w:basedOn w:val="TOCBase"/>
    <w:next w:val="Normal"/>
    <w:semiHidden/>
    <w:rsid w:val="00ED013E"/>
    <w:pPr>
      <w:tabs>
        <w:tab w:val="right" w:leader="dot" w:pos="9071"/>
      </w:tabs>
      <w:ind w:left="1701"/>
    </w:pPr>
  </w:style>
  <w:style w:type="paragraph" w:customStyle="1" w:styleId="ListAlpha">
    <w:name w:val="List Alpha"/>
    <w:basedOn w:val="List"/>
    <w:rsid w:val="00ED013E"/>
    <w:pPr>
      <w:numPr>
        <w:numId w:val="7"/>
      </w:numPr>
    </w:pPr>
  </w:style>
  <w:style w:type="paragraph" w:customStyle="1" w:styleId="ListAlpha2">
    <w:name w:val="List Alpha 2"/>
    <w:basedOn w:val="List2"/>
    <w:rsid w:val="00ED013E"/>
    <w:pPr>
      <w:numPr>
        <w:numId w:val="6"/>
      </w:numPr>
    </w:pPr>
  </w:style>
  <w:style w:type="paragraph" w:styleId="List2">
    <w:name w:val="List 2"/>
    <w:basedOn w:val="BodyText"/>
    <w:rsid w:val="00ED013E"/>
    <w:pPr>
      <w:tabs>
        <w:tab w:val="left" w:pos="680"/>
      </w:tabs>
      <w:spacing w:before="60" w:after="60"/>
      <w:ind w:left="680" w:hanging="340"/>
    </w:pPr>
  </w:style>
  <w:style w:type="paragraph" w:styleId="List3">
    <w:name w:val="List 3"/>
    <w:basedOn w:val="BodyText"/>
    <w:rsid w:val="00ED013E"/>
    <w:pPr>
      <w:tabs>
        <w:tab w:val="left" w:pos="1021"/>
      </w:tabs>
      <w:spacing w:before="60" w:after="60"/>
      <w:ind w:left="1020" w:hanging="340"/>
    </w:pPr>
  </w:style>
  <w:style w:type="paragraph" w:styleId="List4">
    <w:name w:val="List 4"/>
    <w:basedOn w:val="BodyText"/>
    <w:rsid w:val="00ED013E"/>
    <w:pPr>
      <w:tabs>
        <w:tab w:val="left" w:pos="1361"/>
      </w:tabs>
      <w:spacing w:before="60" w:after="60"/>
      <w:ind w:left="1361" w:hanging="340"/>
    </w:pPr>
  </w:style>
  <w:style w:type="paragraph" w:styleId="List5">
    <w:name w:val="List 5"/>
    <w:basedOn w:val="BodyText"/>
    <w:rsid w:val="00ED013E"/>
    <w:pPr>
      <w:tabs>
        <w:tab w:val="left" w:pos="1701"/>
      </w:tabs>
      <w:spacing w:before="60" w:after="60"/>
      <w:ind w:left="1701" w:hanging="340"/>
    </w:pPr>
  </w:style>
  <w:style w:type="paragraph" w:styleId="ListBullet3">
    <w:name w:val="List Bullet 3"/>
    <w:basedOn w:val="List3"/>
    <w:rsid w:val="00ED013E"/>
    <w:pPr>
      <w:numPr>
        <w:numId w:val="13"/>
      </w:numPr>
      <w:tabs>
        <w:tab w:val="clear" w:pos="1021"/>
      </w:tabs>
      <w:ind w:left="1037" w:hanging="357"/>
    </w:pPr>
  </w:style>
  <w:style w:type="paragraph" w:styleId="ListBullet4">
    <w:name w:val="List Bullet 4"/>
    <w:basedOn w:val="List4"/>
    <w:rsid w:val="00ED013E"/>
    <w:pPr>
      <w:numPr>
        <w:numId w:val="1"/>
      </w:numPr>
    </w:pPr>
  </w:style>
  <w:style w:type="paragraph" w:styleId="ListBullet5">
    <w:name w:val="List Bullet 5"/>
    <w:basedOn w:val="List5"/>
    <w:rsid w:val="00ED013E"/>
    <w:pPr>
      <w:numPr>
        <w:numId w:val="2"/>
      </w:numPr>
    </w:pPr>
  </w:style>
  <w:style w:type="paragraph" w:styleId="ListContinue2">
    <w:name w:val="List Continue 2"/>
    <w:basedOn w:val="List2"/>
    <w:rsid w:val="00ED013E"/>
    <w:pPr>
      <w:ind w:firstLine="0"/>
    </w:pPr>
  </w:style>
  <w:style w:type="paragraph" w:styleId="ListContinue3">
    <w:name w:val="List Continue 3"/>
    <w:basedOn w:val="List3"/>
    <w:rsid w:val="00ED013E"/>
    <w:pPr>
      <w:ind w:left="1021" w:firstLine="0"/>
    </w:pPr>
  </w:style>
  <w:style w:type="paragraph" w:styleId="ListContinue4">
    <w:name w:val="List Continue 4"/>
    <w:basedOn w:val="List4"/>
    <w:rsid w:val="00ED013E"/>
    <w:pPr>
      <w:ind w:firstLine="0"/>
    </w:pPr>
  </w:style>
  <w:style w:type="paragraph" w:styleId="ListContinue5">
    <w:name w:val="List Continue 5"/>
    <w:basedOn w:val="List5"/>
    <w:rsid w:val="00ED013E"/>
    <w:pPr>
      <w:ind w:firstLine="0"/>
    </w:pPr>
  </w:style>
  <w:style w:type="paragraph" w:styleId="ListNumber3">
    <w:name w:val="List Number 3"/>
    <w:basedOn w:val="List3"/>
    <w:rsid w:val="00ED013E"/>
    <w:pPr>
      <w:numPr>
        <w:numId w:val="3"/>
      </w:numPr>
    </w:pPr>
  </w:style>
  <w:style w:type="paragraph" w:styleId="ListNumber4">
    <w:name w:val="List Number 4"/>
    <w:basedOn w:val="List4"/>
    <w:rsid w:val="00ED013E"/>
    <w:pPr>
      <w:numPr>
        <w:numId w:val="4"/>
      </w:numPr>
    </w:pPr>
  </w:style>
  <w:style w:type="paragraph" w:styleId="ListNumber5">
    <w:name w:val="List Number 5"/>
    <w:basedOn w:val="List5"/>
    <w:rsid w:val="00ED013E"/>
    <w:pPr>
      <w:numPr>
        <w:numId w:val="5"/>
      </w:numPr>
    </w:pPr>
  </w:style>
  <w:style w:type="paragraph" w:styleId="BlockText">
    <w:name w:val="Block Text"/>
    <w:basedOn w:val="Normal"/>
    <w:rsid w:val="00ED013E"/>
    <w:pPr>
      <w:spacing w:after="120"/>
      <w:ind w:left="1440" w:right="1440"/>
    </w:pPr>
  </w:style>
  <w:style w:type="character" w:customStyle="1" w:styleId="Subscript">
    <w:name w:val="Subscript"/>
    <w:basedOn w:val="DefaultParagraphFont"/>
    <w:rsid w:val="00ED013E"/>
    <w:rPr>
      <w:sz w:val="16"/>
      <w:vertAlign w:val="subscript"/>
    </w:rPr>
  </w:style>
  <w:style w:type="character" w:customStyle="1" w:styleId="Superscript">
    <w:name w:val="Superscript"/>
    <w:basedOn w:val="DefaultParagraphFont"/>
    <w:rsid w:val="00ED013E"/>
    <w:rPr>
      <w:sz w:val="16"/>
      <w:vertAlign w:val="superscript"/>
    </w:rPr>
  </w:style>
  <w:style w:type="character" w:customStyle="1" w:styleId="Symbols">
    <w:name w:val="Symbols"/>
    <w:basedOn w:val="DefaultParagraphFont"/>
    <w:rsid w:val="00ED013E"/>
    <w:rPr>
      <w:rFonts w:ascii="Symbol" w:hAnsi="Symbol"/>
    </w:rPr>
  </w:style>
  <w:style w:type="character" w:customStyle="1" w:styleId="MenuOptions">
    <w:name w:val="Menu Options"/>
    <w:basedOn w:val="DefaultParagraphFont"/>
    <w:rsid w:val="00ED013E"/>
    <w:rPr>
      <w:rFonts w:ascii="Arial Narrow" w:hAnsi="Arial Narrow"/>
      <w:smallCaps/>
    </w:rPr>
  </w:style>
  <w:style w:type="character" w:customStyle="1" w:styleId="Buttons">
    <w:name w:val="Buttons"/>
    <w:basedOn w:val="DefaultParagraphFont"/>
    <w:rsid w:val="00ED013E"/>
    <w:rPr>
      <w:b/>
    </w:rPr>
  </w:style>
  <w:style w:type="character" w:customStyle="1" w:styleId="Underlined">
    <w:name w:val="Underlined"/>
    <w:basedOn w:val="DefaultParagraphFont"/>
    <w:rsid w:val="00ED013E"/>
    <w:rPr>
      <w:u w:val="single"/>
    </w:rPr>
  </w:style>
  <w:style w:type="paragraph" w:customStyle="1" w:styleId="TableBodyTextRight">
    <w:name w:val="Table Body Text Right"/>
    <w:basedOn w:val="TableBodyText"/>
    <w:rsid w:val="00ED013E"/>
    <w:pPr>
      <w:widowControl w:val="0"/>
      <w:autoSpaceDE w:val="0"/>
      <w:autoSpaceDN w:val="0"/>
      <w:adjustRightInd w:val="0"/>
      <w:jc w:val="right"/>
    </w:pPr>
    <w:rPr>
      <w:rFonts w:cs="Arial"/>
      <w:szCs w:val="18"/>
    </w:rPr>
  </w:style>
  <w:style w:type="paragraph" w:customStyle="1" w:styleId="CopyrightText">
    <w:name w:val="Copyright Text"/>
    <w:basedOn w:val="BodyText"/>
    <w:rsid w:val="00ED013E"/>
    <w:rPr>
      <w:sz w:val="18"/>
    </w:rPr>
  </w:style>
  <w:style w:type="paragraph" w:customStyle="1" w:styleId="BodySmallRight">
    <w:name w:val="Body Small Right"/>
    <w:basedOn w:val="BodyTextRight"/>
    <w:rsid w:val="00ED013E"/>
    <w:rPr>
      <w:sz w:val="18"/>
      <w:szCs w:val="18"/>
    </w:rPr>
  </w:style>
  <w:style w:type="paragraph" w:customStyle="1" w:styleId="MarginEdition">
    <w:name w:val="Margin Edition"/>
    <w:basedOn w:val="MarginNote"/>
    <w:rsid w:val="00ED013E"/>
    <w:pPr>
      <w:spacing w:before="0" w:after="0"/>
    </w:pPr>
    <w:rPr>
      <w:rFonts w:ascii="Times New Roman" w:hAnsi="Times New Roman"/>
      <w:color w:val="999999"/>
    </w:rPr>
  </w:style>
  <w:style w:type="paragraph" w:customStyle="1" w:styleId="Spacer">
    <w:name w:val="Spacer"/>
    <w:basedOn w:val="Normal"/>
    <w:rsid w:val="00ED013E"/>
    <w:rPr>
      <w:sz w:val="2"/>
      <w:szCs w:val="2"/>
    </w:rPr>
  </w:style>
  <w:style w:type="character" w:customStyle="1" w:styleId="Small">
    <w:name w:val="Small"/>
    <w:basedOn w:val="DefaultParagraphFont"/>
    <w:rsid w:val="00ED013E"/>
    <w:rPr>
      <w:sz w:val="16"/>
    </w:rPr>
  </w:style>
  <w:style w:type="paragraph" w:customStyle="1" w:styleId="WideTable">
    <w:name w:val="Wide Table"/>
    <w:basedOn w:val="Normal"/>
    <w:rsid w:val="00ED013E"/>
    <w:pPr>
      <w:ind w:left="-1418"/>
    </w:pPr>
    <w:rPr>
      <w:sz w:val="2"/>
      <w:szCs w:val="2"/>
    </w:rPr>
  </w:style>
  <w:style w:type="character" w:styleId="PageNumber">
    <w:name w:val="page number"/>
    <w:basedOn w:val="DefaultParagraphFont"/>
    <w:rsid w:val="00ED013E"/>
  </w:style>
  <w:style w:type="paragraph" w:styleId="Quote">
    <w:name w:val="Quote"/>
    <w:basedOn w:val="Heading1"/>
    <w:link w:val="QuoteChar"/>
    <w:qFormat/>
    <w:rsid w:val="00ED013E"/>
    <w:rPr>
      <w:b w:val="0"/>
      <w:sz w:val="72"/>
      <w:szCs w:val="72"/>
      <w:lang w:val="en-NZ"/>
    </w:rPr>
  </w:style>
  <w:style w:type="character" w:customStyle="1" w:styleId="QuoteChar">
    <w:name w:val="Quote Char"/>
    <w:basedOn w:val="DefaultParagraphFont"/>
    <w:link w:val="Quote"/>
    <w:rsid w:val="00ED01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013E"/>
    <w:pPr>
      <w:pageBreakBefore/>
    </w:pPr>
  </w:style>
  <w:style w:type="paragraph" w:customStyle="1" w:styleId="Border">
    <w:name w:val="Border"/>
    <w:basedOn w:val="Normal"/>
    <w:qFormat/>
    <w:rsid w:val="00ED01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013E"/>
    <w:rPr>
      <w:b/>
      <w:bCs/>
      <w:i/>
      <w:iCs/>
      <w:color w:val="auto"/>
    </w:rPr>
  </w:style>
  <w:style w:type="paragraph" w:styleId="IntenseQuote">
    <w:name w:val="Intense Quote"/>
    <w:basedOn w:val="Normal"/>
    <w:next w:val="Normal"/>
    <w:link w:val="IntenseQuoteChar"/>
    <w:uiPriority w:val="30"/>
    <w:qFormat/>
    <w:rsid w:val="00ED01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013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D013E"/>
    <w:rPr>
      <w:smallCaps/>
      <w:color w:val="auto"/>
      <w:u w:val="single"/>
    </w:rPr>
  </w:style>
  <w:style w:type="character" w:styleId="IntenseReference">
    <w:name w:val="Intense Reference"/>
    <w:basedOn w:val="DefaultParagraphFont"/>
    <w:uiPriority w:val="32"/>
    <w:qFormat/>
    <w:rsid w:val="00ED013E"/>
    <w:rPr>
      <w:b/>
      <w:bCs/>
      <w:smallCaps/>
      <w:color w:val="auto"/>
      <w:spacing w:val="5"/>
      <w:u w:val="single"/>
    </w:rPr>
  </w:style>
  <w:style w:type="paragraph" w:customStyle="1" w:styleId="2ColumnHeading">
    <w:name w:val="2Column Heading"/>
    <w:basedOn w:val="BodyText"/>
    <w:qFormat/>
    <w:rsid w:val="00ED013E"/>
    <w:pPr>
      <w:spacing w:after="60"/>
      <w:ind w:left="-2268"/>
    </w:pPr>
    <w:rPr>
      <w:b/>
    </w:rPr>
  </w:style>
  <w:style w:type="paragraph" w:customStyle="1" w:styleId="Heading1TOC">
    <w:name w:val="Heading1 TOC"/>
    <w:basedOn w:val="Normal"/>
    <w:qFormat/>
    <w:rsid w:val="00ED013E"/>
    <w:pPr>
      <w:spacing w:before="240" w:after="120"/>
    </w:pPr>
    <w:rPr>
      <w:rFonts w:ascii="Times New Roman" w:hAnsi="Times New Roman"/>
      <w:b/>
      <w:sz w:val="32"/>
    </w:rPr>
  </w:style>
  <w:style w:type="paragraph" w:customStyle="1" w:styleId="Heading2TOC">
    <w:name w:val="Heading2 TOC"/>
    <w:basedOn w:val="Normal"/>
    <w:qFormat/>
    <w:rsid w:val="00ED013E"/>
    <w:pPr>
      <w:spacing w:before="240" w:after="60"/>
    </w:pPr>
    <w:rPr>
      <w:rFonts w:ascii="Times New Roman" w:hAnsi="Times New Roman"/>
      <w:b/>
      <w:sz w:val="28"/>
    </w:rPr>
  </w:style>
  <w:style w:type="character" w:customStyle="1" w:styleId="Underline">
    <w:name w:val="Underline"/>
    <w:basedOn w:val="DefaultParagraphFont"/>
    <w:qFormat/>
    <w:rsid w:val="00ED013E"/>
    <w:rPr>
      <w:u w:val="single"/>
    </w:rPr>
  </w:style>
  <w:style w:type="character" w:customStyle="1" w:styleId="BoldandItalics">
    <w:name w:val="Bold and Italics"/>
    <w:qFormat/>
    <w:rsid w:val="00ED013E"/>
    <w:rPr>
      <w:b/>
      <w:i/>
      <w:u w:val="none"/>
    </w:rPr>
  </w:style>
  <w:style w:type="paragraph" w:styleId="BalloonText">
    <w:name w:val="Balloon Text"/>
    <w:basedOn w:val="Normal"/>
    <w:link w:val="BalloonTextChar"/>
    <w:rsid w:val="00ED013E"/>
    <w:rPr>
      <w:rFonts w:ascii="Tahoma" w:hAnsi="Tahoma" w:cs="Tahoma"/>
      <w:sz w:val="16"/>
      <w:szCs w:val="16"/>
    </w:rPr>
  </w:style>
  <w:style w:type="character" w:customStyle="1" w:styleId="BalloonTextChar">
    <w:name w:val="Balloon Text Char"/>
    <w:basedOn w:val="DefaultParagraphFont"/>
    <w:link w:val="BalloonText"/>
    <w:rsid w:val="00ED013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D013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D013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1339</Words>
  <Characters>8219</Characters>
  <Application>Microsoft Office Word</Application>
  <DocSecurity>0</DocSecurity>
  <Lines>322</Lines>
  <Paragraphs>133</Paragraphs>
  <ScaleCrop>false</ScaleCrop>
  <Company>Author-it Software Corporation Ltd.</Company>
  <LinksUpToDate>false</LinksUpToDate>
  <CharactersWithSpaces>9483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RTE5523A Develop climatic risk management strategies</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2012-05-27T07:43:00Z</dcterms:created>
  <dcterms:modified xsi:type="dcterms:W3CDTF">2012-05-27T07:43:00Z</dcterms:modified>
</cp:coreProperties>
</file>