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8A5" w:rsidP="001828A5">
      <w:pPr>
        <w:pStyle w:val="Title"/>
      </w:pPr>
      <w:r>
        <w:fldChar w:fldCharType="begin"/>
      </w:r>
      <w:r>
        <w:instrText xml:space="preserve"> TITLE   \* MERGEFORMAT </w:instrText>
      </w:r>
      <w:r>
        <w:fldChar w:fldCharType="separate"/>
      </w:r>
      <w:r>
        <w:t>RTE4915A Implement and monitor quality assurance procedures</w:t>
      </w:r>
      <w:r>
        <w:fldChar w:fldCharType="end"/>
      </w:r>
    </w:p>
    <w:p w:rsidR="001828A5" w:rsidP="001828A5">
      <w:pPr>
        <w:pStyle w:val="Version"/>
        <w:sectPr w:rsidSect="00A56A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A53" w:rsidP="00A56A53">
      <w:pPr>
        <w:pStyle w:val="SuperHeading"/>
      </w:pPr>
      <w:r w:rsidRPr="00A56A53">
        <w:t>RTE4915A Implement and monitor quality assurance procedures</w:t>
      </w:r>
    </w:p>
    <w:p w:rsidR="00000000" w:rsidRPr="00A56A53" w:rsidP="00A56A53">
      <w:pPr>
        <w:pStyle w:val="Heading1"/>
      </w:pPr>
      <w:bookmarkStart w:id="1" w:name="O_319537"/>
      <w:bookmarkEnd w:id="1"/>
      <w:r w:rsidRPr="00A56A53">
        <w:t>Modification History</w:t>
      </w:r>
    </w:p>
    <w:p w:rsidR="00000000" w:rsidRPr="00A56A53" w:rsidP="00A56A53">
      <w:pPr>
        <w:pStyle w:val="BodyText"/>
      </w:pPr>
      <w:r w:rsidRPr="00A56A53">
        <w:t>Not applicable.</w:t>
      </w:r>
    </w:p>
    <w:p w:rsidR="00000000" w:rsidRPr="00A56A53" w:rsidP="00A56A53">
      <w:pPr>
        <w:pStyle w:val="AllowPageBreak"/>
      </w:pPr>
    </w:p>
    <w:p w:rsidR="00000000" w:rsidRPr="00A56A53" w:rsidP="00A56A53">
      <w:pPr>
        <w:pStyle w:val="Heading1"/>
      </w:pPr>
      <w:bookmarkStart w:id="2" w:name="O_319536"/>
      <w:bookmarkEnd w:id="2"/>
      <w:r w:rsidRPr="00A56A53">
        <w:t>Unit Descriptor</w:t>
      </w:r>
    </w:p>
    <w:p w:rsidR="00000000" w:rsidRPr="00A56A53" w:rsidP="00A56A53">
      <w:pPr>
        <w:pStyle w:val="BodyText"/>
      </w:pPr>
      <w:r w:rsidRPr="00A56A53">
        <w:t>This competency standard covers the process of implementing and monitoring quality assurance procedures in an</w:t>
      </w:r>
      <w:r w:rsidRPr="00A56A53">
        <w:t xml:space="preserve"> agricultural or horticultural enterprise.  It requires the ability to establish quality specifications for products, identify hazards and critical control points in production, and assist in planning and implementation of quality assurance procedures.   I</w:t>
      </w:r>
      <w:r w:rsidRPr="00A56A53">
        <w:t>mplementing and monitoring quality assurance procedures requires knowledge of market requirements for products, enterprise and industry quality assurance systems, HACCP techniques, strategies for control of hazards, work place training strategies, delegati</w:t>
      </w:r>
      <w:r w:rsidRPr="00A56A53">
        <w:t>on and empowerment, and contingency management.</w:t>
      </w:r>
    </w:p>
    <w:p w:rsidR="00000000" w:rsidRPr="00A56A53" w:rsidP="00A56A53">
      <w:pPr>
        <w:pStyle w:val="AllowPageBreak"/>
      </w:pPr>
    </w:p>
    <w:p w:rsidR="00000000" w:rsidRPr="00A56A53" w:rsidP="00A56A53">
      <w:pPr>
        <w:pStyle w:val="Heading1"/>
      </w:pPr>
      <w:bookmarkStart w:id="3" w:name="O_319535"/>
      <w:bookmarkEnd w:id="3"/>
      <w:r w:rsidRPr="00A56A53">
        <w:t>Application of the Unit</w:t>
      </w:r>
    </w:p>
    <w:p w:rsidR="00000000" w:rsidRPr="00A56A53" w:rsidP="00A56A53">
      <w:pPr>
        <w:pStyle w:val="BodyText"/>
      </w:pPr>
      <w:r w:rsidRPr="00A56A53">
        <w:t>Not applicable.</w:t>
      </w:r>
    </w:p>
    <w:p w:rsidR="00000000" w:rsidRPr="00A56A53" w:rsidP="00A56A53">
      <w:pPr>
        <w:pStyle w:val="AllowPageBreak"/>
      </w:pPr>
    </w:p>
    <w:p w:rsidR="00000000" w:rsidRPr="00A56A53" w:rsidP="00A56A53">
      <w:pPr>
        <w:pStyle w:val="Heading1"/>
      </w:pPr>
      <w:bookmarkStart w:id="4" w:name="O_319534"/>
      <w:bookmarkEnd w:id="4"/>
      <w:r w:rsidRPr="00A56A53">
        <w:t>Licensing/Regulatory Information</w:t>
      </w:r>
    </w:p>
    <w:p w:rsidR="00000000" w:rsidRPr="00A56A53" w:rsidP="00A56A53">
      <w:pPr>
        <w:pStyle w:val="BodyText"/>
      </w:pPr>
      <w:r w:rsidRPr="00A56A53">
        <w:t>Not applicable.</w:t>
      </w:r>
    </w:p>
    <w:p w:rsidR="00000000" w:rsidRPr="00A56A53" w:rsidP="00A56A53">
      <w:pPr>
        <w:pStyle w:val="AllowPageBreak"/>
      </w:pPr>
    </w:p>
    <w:p w:rsidR="00000000" w:rsidRPr="00A56A53" w:rsidP="00A56A53">
      <w:pPr>
        <w:pStyle w:val="Heading1"/>
      </w:pPr>
      <w:bookmarkStart w:id="5" w:name="O_319533"/>
      <w:bookmarkEnd w:id="5"/>
      <w:r w:rsidRPr="00A56A53">
        <w:t>Pre-Requisites</w:t>
      </w:r>
    </w:p>
    <w:p w:rsidR="00000000" w:rsidRPr="00A56A53" w:rsidP="00A56A53">
      <w:pPr>
        <w:pStyle w:val="BodyText"/>
      </w:pPr>
      <w:r w:rsidRPr="00A56A53">
        <w:t>Not applicable.</w:t>
      </w:r>
    </w:p>
    <w:p w:rsidR="00000000" w:rsidRPr="00A56A53" w:rsidP="00A56A53">
      <w:pPr>
        <w:pStyle w:val="AllowPageBreak"/>
      </w:pPr>
    </w:p>
    <w:p w:rsidR="00000000" w:rsidRPr="00A56A53" w:rsidP="00A56A53">
      <w:pPr>
        <w:pStyle w:val="Heading1"/>
      </w:pPr>
      <w:bookmarkStart w:id="6" w:name="O_319527"/>
      <w:bookmarkEnd w:id="6"/>
      <w:r w:rsidRPr="00A56A53">
        <w:t>Employability Skills Information</w:t>
      </w:r>
    </w:p>
    <w:p w:rsidR="00000000" w:rsidRPr="00A56A53" w:rsidP="00A56A53">
      <w:pPr>
        <w:pStyle w:val="BodyText"/>
      </w:pPr>
      <w:r w:rsidRPr="00A56A53">
        <w:t>Not applicable.</w:t>
      </w:r>
    </w:p>
    <w:p w:rsidR="00000000" w:rsidRPr="00A56A53" w:rsidP="00A56A53">
      <w:pPr>
        <w:pStyle w:val="AllowPageBreak"/>
      </w:pPr>
    </w:p>
    <w:p w:rsidR="00000000" w:rsidRPr="00A56A53" w:rsidP="00A56A53">
      <w:pPr>
        <w:pStyle w:val="Heading1"/>
      </w:pPr>
      <w:bookmarkStart w:id="7" w:name="O_319531"/>
      <w:bookmarkEnd w:id="7"/>
      <w:r w:rsidRPr="00A56A53">
        <w:t>Elements and Performance Criteria Pre-Content</w:t>
      </w:r>
    </w:p>
    <w:p w:rsidR="00000000" w:rsidRPr="00A56A53" w:rsidP="00A56A53">
      <w:pPr>
        <w:pStyle w:val="BodyText"/>
      </w:pPr>
      <w:r w:rsidRPr="00A56A53">
        <w:t>Not applicable.</w:t>
      </w:r>
    </w:p>
    <w:p w:rsidR="00000000" w:rsidRPr="00A56A53" w:rsidP="00A56A53">
      <w:pPr>
        <w:pStyle w:val="AllowPageBreak"/>
      </w:pPr>
    </w:p>
    <w:p w:rsidR="00000000" w:rsidRPr="00A56A53" w:rsidP="00A56A53">
      <w:pPr>
        <w:pStyle w:val="Heading1"/>
      </w:pPr>
      <w:bookmarkStart w:id="8" w:name="O_319538"/>
      <w:bookmarkEnd w:id="8"/>
      <w:r w:rsidRPr="00A56A5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828A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rPr>
                <w:rStyle w:val="SpecialBold"/>
              </w:rPr>
              <w:t>Elements and Performance Criteria</w:t>
            </w:r>
          </w:p>
        </w:tc>
      </w:tr>
      <w:tr w:rsidTr="001828A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rPr>
                <w:rStyle w:val="SpecialBold"/>
              </w:rPr>
              <w:t>Performance Criteria</w:t>
            </w:r>
          </w:p>
        </w:tc>
      </w:tr>
      <w:tr w:rsidTr="001828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1</w:t>
            </w:r>
          </w:p>
        </w:tc>
        <w:tc>
          <w:tcPr>
            <w:tcW w:w="3000" w:type="dxa"/>
            <w:vMerge w:val="restart"/>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Establish </w:t>
            </w:r>
            <w:r w:rsidRPr="00A56A53">
              <w:rPr>
                <w:rStyle w:val="SpecialBold"/>
              </w:rPr>
              <w:t xml:space="preserve">quality specifications </w:t>
            </w:r>
            <w:r w:rsidRPr="00A56A53">
              <w:t>for product</w:t>
            </w: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1.1</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Market specifications are </w:t>
            </w:r>
            <w:r w:rsidRPr="00A56A53">
              <w:rPr>
                <w:rStyle w:val="SpecialBold"/>
              </w:rPr>
              <w:t>sourced</w:t>
            </w:r>
            <w:r w:rsidRPr="00A56A53">
              <w:t>.</w:t>
            </w:r>
          </w:p>
        </w:tc>
      </w:tr>
      <w:tr w:rsidTr="001828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t>1.2</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rPr>
                <w:rStyle w:val="SpecialBold"/>
              </w:rPr>
              <w:t xml:space="preserve">Legislated requirements </w:t>
            </w:r>
            <w:r w:rsidRPr="00A56A53">
              <w:t>are identified.</w:t>
            </w:r>
          </w:p>
        </w:tc>
      </w:tr>
      <w:tr w:rsidTr="001828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2</w:t>
            </w:r>
          </w:p>
        </w:tc>
        <w:tc>
          <w:tcPr>
            <w:tcW w:w="3000" w:type="dxa"/>
            <w:vMerge w:val="restart"/>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Identify </w:t>
            </w:r>
            <w:r w:rsidRPr="00A56A53">
              <w:rPr>
                <w:rStyle w:val="SpecialBold"/>
              </w:rPr>
              <w:t xml:space="preserve">hazards and critical control points </w:t>
            </w:r>
            <w:r w:rsidRPr="00A56A53">
              <w:t>in the production of quality product</w:t>
            </w: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2.1</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Critical control </w:t>
            </w:r>
            <w:r w:rsidRPr="00A56A53">
              <w:t>points impacting on quality are identified.</w:t>
            </w:r>
          </w:p>
        </w:tc>
      </w:tr>
      <w:tr w:rsidTr="001828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2.2</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Degree of risk for each hazard is determined.</w:t>
            </w:r>
          </w:p>
        </w:tc>
      </w:tr>
      <w:tr w:rsidTr="001828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3</w:t>
            </w:r>
          </w:p>
        </w:tc>
        <w:tc>
          <w:tcPr>
            <w:tcW w:w="3000" w:type="dxa"/>
            <w:vMerge w:val="restart"/>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Assist in planning of quality assurance procedures</w:t>
            </w: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3.1</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Procedures for each identified control point are developed to ensure optimum quality.</w:t>
            </w:r>
          </w:p>
        </w:tc>
      </w:tr>
      <w:tr w:rsidTr="001828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3.2</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Hazards and risks are minimised through application of appropriate controls.</w:t>
            </w:r>
          </w:p>
        </w:tc>
      </w:tr>
      <w:tr w:rsidTr="001828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3.3</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Processes to monitor the effectiveness of quality assurance  procedures are developed.</w:t>
            </w:r>
          </w:p>
        </w:tc>
      </w:tr>
      <w:tr w:rsidTr="001828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4</w:t>
            </w:r>
          </w:p>
        </w:tc>
        <w:tc>
          <w:tcPr>
            <w:tcW w:w="3000" w:type="dxa"/>
            <w:vMerge w:val="restart"/>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Implement quality assurance  procedures</w:t>
            </w: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4.1</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Responsibilities for carrying out procedures are allocated to staff and contractors.</w:t>
            </w:r>
          </w:p>
        </w:tc>
      </w:tr>
      <w:tr w:rsidTr="001828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4.2</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Instructions are prepared in accordance with the enterprise the quality assurance  program.</w:t>
            </w:r>
          </w:p>
        </w:tc>
      </w:tr>
      <w:tr w:rsidTr="001828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4.3</w:t>
            </w:r>
          </w:p>
        </w:tc>
        <w:tc>
          <w:tcPr>
            <w:tcW w:w="51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Staff and contractors are given induction training on the quality</w:t>
            </w:r>
            <w:r w:rsidRPr="00A56A53">
              <w:t xml:space="preserve"> assurance  policy.</w:t>
            </w:r>
          </w:p>
        </w:tc>
      </w:tr>
      <w:tr w:rsidTr="001828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4.4</w:t>
            </w:r>
          </w:p>
        </w:tc>
        <w:tc>
          <w:tcPr>
            <w:tcW w:w="5100" w:type="dxa"/>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t>Staff and contractors are given in-service training relevant to their allocated procedures.</w:t>
            </w:r>
          </w:p>
        </w:tc>
      </w:tr>
    </w:tbl>
    <w:p w:rsidR="00000000" w:rsidRPr="00A56A53" w:rsidP="00A56A53">
      <w:pPr>
        <w:pStyle w:val="BodyText"/>
      </w:pPr>
    </w:p>
    <w:p w:rsidR="00000000" w:rsidRPr="00A56A53" w:rsidP="00A56A53">
      <w:pPr>
        <w:pStyle w:val="AllowPageBreak"/>
      </w:pPr>
    </w:p>
    <w:p w:rsidR="00000000" w:rsidRPr="00A56A53" w:rsidP="00A56A53">
      <w:pPr>
        <w:pStyle w:val="Heading1"/>
      </w:pPr>
      <w:bookmarkStart w:id="9" w:name="O_319530"/>
      <w:bookmarkEnd w:id="9"/>
      <w:r w:rsidRPr="00A56A53">
        <w:t>Required Skills and Knowledge</w:t>
      </w:r>
    </w:p>
    <w:p w:rsidR="00000000" w:rsidRPr="00A56A53" w:rsidP="00A56A53">
      <w:pPr>
        <w:pStyle w:val="BodyText"/>
      </w:pPr>
      <w:r w:rsidRPr="00A56A53">
        <w:t>Not applicable.</w:t>
      </w:r>
    </w:p>
    <w:p w:rsidR="00000000" w:rsidRPr="00A56A53" w:rsidP="00A56A53">
      <w:pPr>
        <w:pStyle w:val="AllowPageBreak"/>
      </w:pPr>
    </w:p>
    <w:p w:rsidR="00000000" w:rsidRPr="00A56A53" w:rsidP="00A56A53">
      <w:pPr>
        <w:pStyle w:val="Heading1"/>
      </w:pPr>
      <w:bookmarkStart w:id="10" w:name="O_319529"/>
      <w:bookmarkEnd w:id="10"/>
      <w:r w:rsidRPr="00A56A53">
        <w:t>Evidence Guide</w:t>
      </w:r>
    </w:p>
    <w:tbl>
      <w:tblPr>
        <w:tblW w:w="0" w:type="auto"/>
        <w:tblLayout w:type="fixed"/>
        <w:tblCellMar>
          <w:left w:w="62" w:type="dxa"/>
          <w:right w:w="62" w:type="dxa"/>
        </w:tblCellMar>
        <w:tblLook w:val="0000"/>
      </w:tblPr>
      <w:tblGrid>
        <w:gridCol w:w="4500"/>
        <w:gridCol w:w="4500"/>
      </w:tblGrid>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rPr>
                <w:rStyle w:val="SpecialBold"/>
              </w:rPr>
              <w:t>What evidence is required to demonstrate competence for this standard as a whole</w:t>
            </w:r>
            <w:r w:rsidRPr="00A56A53">
              <w:t>?</w:t>
            </w:r>
          </w:p>
          <w:p w:rsidR="00000000" w:rsidRPr="00A56A53" w:rsidP="00A56A53">
            <w:pPr>
              <w:pStyle w:val="BodyText"/>
            </w:pPr>
            <w:r w:rsidRPr="00A56A53">
              <w:t>Competence in implementing and monitoring quality assurance procedures requires evidence that quality assurance procedures have been successfully and appropriately implemente</w:t>
            </w:r>
            <w:r w:rsidRPr="00A56A53">
              <w:t>d and monitored in an agricultural or horticultural enterprise.</w:t>
            </w:r>
          </w:p>
          <w:p w:rsidR="00000000" w:rsidP="00A56A53">
            <w:pPr>
              <w:pStyle w:val="BodyText"/>
              <w:rPr>
                <w:lang w:val="en-NZ"/>
              </w:rPr>
            </w:pPr>
            <w:r w:rsidRPr="00A56A53">
              <w:t xml:space="preserve">The skills and knowledge required to implement and monitor quality assurance procedures must be </w:t>
            </w:r>
            <w:r w:rsidRPr="00A56A53">
              <w:rPr>
                <w:rStyle w:val="SpecialBold"/>
              </w:rPr>
              <w:t>transferable</w:t>
            </w:r>
            <w:r w:rsidRPr="00A56A53">
              <w:t xml:space="preserve"> to a range of work environments and contexts.  For example, this could include </w:t>
            </w:r>
            <w:r w:rsidRPr="00A56A53">
              <w:t xml:space="preserve">different rural enterprises and commodity areas. </w:t>
            </w:r>
          </w:p>
        </w:tc>
      </w:tr>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rPr>
                <w:rStyle w:val="SpecialBold"/>
              </w:rPr>
              <w:t>What specific knowledge is needed to achieve the performance criteria</w:t>
            </w:r>
            <w:r w:rsidRPr="00A56A53">
              <w:t xml:space="preserve">? </w:t>
            </w:r>
          </w:p>
        </w:tc>
        <w:tc>
          <w:tcPr>
            <w:tcW w:w="4500" w:type="dxa"/>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t xml:space="preserve">Knowledge and understanding are essential to apply this standard in the workplace, to transfer the skills to other contexts, and </w:t>
            </w:r>
            <w:r w:rsidRPr="00A56A53">
              <w:t xml:space="preserve">to deal with unplanned events.  The knowledge requirements for this unit are listed below:    </w:t>
            </w:r>
          </w:p>
          <w:p w:rsidR="00000000" w:rsidRPr="00A56A53" w:rsidP="00A56A53">
            <w:pPr>
              <w:pStyle w:val="BodyText"/>
            </w:pPr>
            <w:r w:rsidRPr="00A56A53">
              <w:t>market requirements for product</w:t>
            </w:r>
          </w:p>
          <w:p w:rsidR="00000000" w:rsidRPr="00A56A53" w:rsidP="00A56A53">
            <w:pPr>
              <w:pStyle w:val="BodyText"/>
            </w:pPr>
            <w:r w:rsidRPr="00A56A53">
              <w:t>enterprise and industry quality assurance systems</w:t>
            </w:r>
          </w:p>
          <w:p w:rsidR="00000000" w:rsidRPr="00A56A53" w:rsidP="00A56A53">
            <w:pPr>
              <w:pStyle w:val="BodyText"/>
            </w:pPr>
            <w:r w:rsidRPr="00A56A53">
              <w:t>HACCP techniques</w:t>
            </w:r>
          </w:p>
          <w:p w:rsidR="00000000" w:rsidRPr="00A56A53" w:rsidP="00A56A53">
            <w:pPr>
              <w:pStyle w:val="BodyText"/>
            </w:pPr>
            <w:r w:rsidRPr="00A56A53">
              <w:t>strategies for control of hazards</w:t>
            </w:r>
          </w:p>
          <w:p w:rsidR="00000000" w:rsidRPr="00A56A53" w:rsidP="00A56A53">
            <w:pPr>
              <w:pStyle w:val="BodyText"/>
            </w:pPr>
            <w:r w:rsidRPr="00A56A53">
              <w:t>work place training strategi</w:t>
            </w:r>
            <w:r w:rsidRPr="00A56A53">
              <w:t>es</w:t>
            </w:r>
          </w:p>
          <w:p w:rsidR="00000000" w:rsidRPr="00A56A53" w:rsidP="00A56A53">
            <w:pPr>
              <w:pStyle w:val="BodyText"/>
            </w:pPr>
            <w:r w:rsidRPr="00A56A53">
              <w:t>delegation and empowerment</w:t>
            </w:r>
          </w:p>
          <w:p w:rsidR="00000000" w:rsidP="00A56A53">
            <w:pPr>
              <w:pStyle w:val="BodyText"/>
              <w:rPr>
                <w:lang w:val="en-NZ"/>
              </w:rPr>
            </w:pPr>
            <w:r w:rsidRPr="00A56A53">
              <w:t xml:space="preserve">contingency management.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rPr>
                <w:rStyle w:val="SpecialBold"/>
              </w:rPr>
              <w:t>What specific skills are needed to achieve the performance criteria</w:t>
            </w:r>
            <w:r w:rsidRPr="00A56A53">
              <w:t xml:space="preserve">? </w:t>
            </w:r>
          </w:p>
        </w:tc>
        <w:tc>
          <w:tcPr>
            <w:tcW w:w="4500" w:type="dxa"/>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t xml:space="preserve">To achieve the performance criteria, some complementary skills are required.  These skills include the ability to:    </w:t>
            </w:r>
          </w:p>
          <w:p w:rsidR="00000000" w:rsidRPr="00A56A53" w:rsidP="00A56A53">
            <w:pPr>
              <w:pStyle w:val="BodyText"/>
            </w:pPr>
            <w:r w:rsidRPr="00A56A53">
              <w:t>establish quality specifications for product</w:t>
            </w:r>
          </w:p>
          <w:p w:rsidR="00000000" w:rsidRPr="00A56A53" w:rsidP="00A56A53">
            <w:pPr>
              <w:pStyle w:val="BodyText"/>
            </w:pPr>
            <w:r w:rsidRPr="00A56A53">
              <w:t>identify hazards and critical control points in the production of quality product</w:t>
            </w:r>
          </w:p>
          <w:p w:rsidR="00000000" w:rsidRPr="00A56A53" w:rsidP="00A56A53">
            <w:pPr>
              <w:pStyle w:val="BodyText"/>
            </w:pPr>
            <w:r w:rsidRPr="00A56A53">
              <w:t>assist in planning of quality assurance procedures</w:t>
            </w:r>
          </w:p>
          <w:p w:rsidR="00000000" w:rsidP="00A56A53">
            <w:pPr>
              <w:pStyle w:val="BodyText"/>
              <w:rPr>
                <w:lang w:val="en-NZ"/>
              </w:rPr>
            </w:pPr>
            <w:r w:rsidRPr="00A56A53">
              <w:t xml:space="preserve">implement quality assurance procedures.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rPr>
                <w:rStyle w:val="SpecialBold"/>
              </w:rPr>
              <w:t>What processes should be appli</w:t>
            </w:r>
            <w:r w:rsidRPr="00A56A53">
              <w:rPr>
                <w:rStyle w:val="SpecialBold"/>
              </w:rPr>
              <w:t>ed to this competency standard</w:t>
            </w:r>
            <w:r w:rsidRPr="00A56A53">
              <w:t>?</w:t>
            </w:r>
          </w:p>
          <w:p w:rsidR="00000000" w:rsidP="00A56A53">
            <w:pPr>
              <w:pStyle w:val="BodyText"/>
              <w:rPr>
                <w:lang w:val="en-NZ"/>
              </w:rPr>
            </w:pPr>
            <w:r w:rsidRPr="00A56A53">
              <w:t xml:space="preserve">There are a number of processes that are learnt throughout work and life, which are required in all jobs.  They are fundamental processes and generally transferable to other work functions.  Some of these are covered by the </w:t>
            </w:r>
            <w:r w:rsidRPr="00A56A53">
              <w:rPr>
                <w:rStyle w:val="SpecialBold"/>
              </w:rPr>
              <w:t>key competencies</w:t>
            </w:r>
            <w:r w:rsidRPr="00A56A53">
              <w:t>, although others may be added.  The questions below highlight how these processes are applied in this competency standard.  Following each question a number in brackets indicates the level to which the key competency needs to be demonstrat</w:t>
            </w:r>
            <w:r w:rsidRPr="00A56A53">
              <w:t xml:space="preserve">ed where 0 = not required, 1 = perform the process, 2 = perform and administer the process and 3 = perform, administer and design the process.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1. How can </w:t>
            </w:r>
            <w:r w:rsidRPr="00A56A53">
              <w:rPr>
                <w:rStyle w:val="SpecialBold"/>
              </w:rPr>
              <w:t>communication of ideas and information</w:t>
            </w:r>
            <w:r w:rsidRPr="00A56A53">
              <w:t xml:space="preserve"> (</w:t>
            </w:r>
            <w:r w:rsidRPr="00A56A53">
              <w:rPr>
                <w:rStyle w:val="SpecialBold"/>
              </w:rPr>
              <w:t>3</w:t>
            </w:r>
            <w:r w:rsidRPr="00A56A5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Through interaction with staff and management.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2. How can </w:t>
            </w:r>
            <w:r w:rsidRPr="00A56A53">
              <w:rPr>
                <w:rStyle w:val="SpecialBold"/>
              </w:rPr>
              <w:t>information be collected</w:t>
            </w:r>
            <w:r w:rsidRPr="00A56A53">
              <w:t xml:space="preserve">, </w:t>
            </w:r>
            <w:r w:rsidRPr="00A56A53">
              <w:rPr>
                <w:rStyle w:val="SpecialBold"/>
              </w:rPr>
              <w:t>analysed and organised</w:t>
            </w:r>
            <w:r w:rsidRPr="00A56A53">
              <w:t xml:space="preserve"> (</w:t>
            </w:r>
            <w:r w:rsidRPr="00A56A53">
              <w:rPr>
                <w:rStyle w:val="SpecialBold"/>
              </w:rPr>
              <w:t>3</w:t>
            </w:r>
            <w:r w:rsidRPr="00A56A53">
              <w:t xml:space="preserve">)?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Through monitoring of quality assurance procedures according to enterprise standards.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3. How are </w:t>
            </w:r>
            <w:r w:rsidRPr="00A56A53">
              <w:rPr>
                <w:rStyle w:val="SpecialBold"/>
              </w:rPr>
              <w:t>activities planned and organised</w:t>
            </w:r>
            <w:r w:rsidRPr="00A56A53">
              <w:t xml:space="preserve"> (</w:t>
            </w:r>
            <w:r w:rsidRPr="00A56A53">
              <w:rPr>
                <w:rStyle w:val="SpecialBold"/>
              </w:rPr>
              <w:t>3</w:t>
            </w:r>
            <w:r w:rsidRPr="00A56A53">
              <w:t xml:space="preserve">)?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Acc</w:t>
            </w:r>
            <w:r w:rsidRPr="00A56A53">
              <w:t xml:space="preserve">ording to enterprise quality assurance procedures.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4. How can </w:t>
            </w:r>
            <w:r w:rsidRPr="00A56A53">
              <w:rPr>
                <w:rStyle w:val="SpecialBold"/>
              </w:rPr>
              <w:t>team work</w:t>
            </w:r>
            <w:r w:rsidRPr="00A56A53">
              <w:t xml:space="preserve"> (</w:t>
            </w:r>
            <w:r w:rsidRPr="00A56A53">
              <w:rPr>
                <w:rStyle w:val="SpecialBold"/>
              </w:rPr>
              <w:t>3</w:t>
            </w:r>
            <w:r w:rsidRPr="00A56A5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In implementing quality assurance procedures in the enterprise, and in staff training and induction.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5. How can the use of </w:t>
            </w:r>
            <w:r w:rsidRPr="00A56A53">
              <w:rPr>
                <w:rStyle w:val="SpecialBold"/>
              </w:rPr>
              <w:t>mathematical ideas and techniques</w:t>
            </w:r>
            <w:r w:rsidRPr="00A56A53">
              <w:t xml:space="preserve"> (</w:t>
            </w:r>
            <w:r w:rsidRPr="00A56A53">
              <w:rPr>
                <w:rStyle w:val="SpecialBold"/>
              </w:rPr>
              <w:t>3</w:t>
            </w:r>
            <w:r w:rsidRPr="00A56A53">
              <w:t>) be</w:t>
            </w:r>
            <w:r w:rsidRPr="00A56A53">
              <w:t xml:space="preserve"> applied?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Through calculations associated with record keeping systems and monitoring records.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6. How can </w:t>
            </w:r>
            <w:r w:rsidRPr="00A56A53">
              <w:rPr>
                <w:rStyle w:val="SpecialBold"/>
              </w:rPr>
              <w:t>problem</w:t>
            </w:r>
            <w:r w:rsidRPr="00A56A53">
              <w:t>-</w:t>
            </w:r>
            <w:r w:rsidRPr="00A56A53">
              <w:rPr>
                <w:rStyle w:val="SpecialBold"/>
              </w:rPr>
              <w:t>solving skills</w:t>
            </w:r>
            <w:r w:rsidRPr="00A56A53">
              <w:t xml:space="preserve"> (</w:t>
            </w:r>
            <w:r w:rsidRPr="00A56A53">
              <w:rPr>
                <w:rStyle w:val="SpecialBold"/>
              </w:rPr>
              <w:t>3</w:t>
            </w:r>
            <w:r w:rsidRPr="00A56A5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By dealing with quality assurance contingencies as they arise.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7. How can the </w:t>
            </w:r>
            <w:r w:rsidRPr="00A56A53">
              <w:rPr>
                <w:rStyle w:val="SpecialBold"/>
              </w:rPr>
              <w:t>use of technology</w:t>
            </w:r>
            <w:r w:rsidRPr="00A56A53">
              <w:t xml:space="preserve"> (</w:t>
            </w:r>
            <w:r w:rsidRPr="00A56A53">
              <w:rPr>
                <w:rStyle w:val="SpecialBold"/>
              </w:rPr>
              <w:t>3</w:t>
            </w:r>
            <w:r w:rsidRPr="00A56A5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In maintenance of records and use of computer software applications.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rPr>
                <w:rStyle w:val="SpecialBold"/>
              </w:rPr>
              <w:t>Are there other competency standards that could be assessed with this one</w:t>
            </w:r>
            <w:r w:rsidRPr="00A56A53">
              <w:t>?</w:t>
            </w:r>
          </w:p>
          <w:p w:rsidR="00000000" w:rsidP="00A56A53">
            <w:pPr>
              <w:pStyle w:val="BodyText"/>
              <w:rPr>
                <w:lang w:val="en-NZ"/>
              </w:rPr>
            </w:pPr>
            <w:r w:rsidRPr="00A56A53">
              <w:t xml:space="preserve">This competency standard </w:t>
            </w:r>
            <w:r w:rsidRPr="00A56A53">
              <w:rPr>
                <w:rStyle w:val="SpecialBold"/>
              </w:rPr>
              <w:t>could</w:t>
            </w:r>
            <w:r w:rsidRPr="00A56A53">
              <w:t xml:space="preserve"> be assessed on its own or in combination with other compet</w:t>
            </w:r>
            <w:r w:rsidRPr="00A56A53">
              <w:t xml:space="preserve">encies relevant to the job function.   </w:t>
            </w:r>
          </w:p>
        </w:tc>
      </w:tr>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56A53">
            <w:pPr>
              <w:pStyle w:val="BodyText"/>
              <w:rPr>
                <w:lang w:val="en-NZ"/>
              </w:rPr>
            </w:pPr>
          </w:p>
        </w:tc>
      </w:tr>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t xml:space="preserve">There is essential information about </w:t>
            </w:r>
            <w:r w:rsidRPr="00A56A53">
              <w:rPr>
                <w:rStyle w:val="SpecialBold"/>
              </w:rPr>
              <w:t>assessing this competency standard for consistent performance</w:t>
            </w:r>
            <w:r w:rsidRPr="00A56A53">
              <w:t xml:space="preserve"> and </w:t>
            </w:r>
            <w:r w:rsidRPr="00A56A53">
              <w:rPr>
                <w:rStyle w:val="SpecialBold"/>
              </w:rPr>
              <w:t>where and how it may be assessed</w:t>
            </w:r>
            <w:r w:rsidRPr="00A56A53">
              <w:t>, in the Assessment Guidelines for this Training Package.  A</w:t>
            </w:r>
            <w:r w:rsidRPr="00A56A53">
              <w:t xml:space="preserve">ll users of these competency standards must have </w:t>
            </w:r>
            <w:r w:rsidRPr="00A56A53">
              <w:rPr>
                <w:rStyle w:val="SpecialBold"/>
              </w:rPr>
              <w:t>access</w:t>
            </w:r>
            <w:r w:rsidRPr="00A56A53">
              <w:t xml:space="preserve"> to the </w:t>
            </w:r>
            <w:r w:rsidRPr="00A56A53">
              <w:rPr>
                <w:rStyle w:val="SpecialBold"/>
              </w:rPr>
              <w:t>Assessment Guidelines</w:t>
            </w:r>
            <w:r w:rsidRPr="00A56A53">
              <w:t xml:space="preserve">.  Further advice may also be sought from the relevant </w:t>
            </w:r>
            <w:r w:rsidRPr="00A56A53">
              <w:rPr>
                <w:rStyle w:val="SpecialBold"/>
              </w:rPr>
              <w:t>sector booklet</w:t>
            </w:r>
            <w:r w:rsidRPr="00A56A53">
              <w:t xml:space="preserve">. </w:t>
            </w:r>
          </w:p>
        </w:tc>
      </w:tr>
    </w:tbl>
    <w:p w:rsidR="00000000" w:rsidRPr="00A56A53" w:rsidP="00A56A53">
      <w:pPr>
        <w:pStyle w:val="BodyText"/>
      </w:pPr>
    </w:p>
    <w:p w:rsidR="00000000" w:rsidRPr="00A56A53" w:rsidP="00A56A53">
      <w:pPr>
        <w:pStyle w:val="AllowPageBreak"/>
      </w:pPr>
    </w:p>
    <w:p w:rsidR="00000000" w:rsidRPr="00A56A53" w:rsidP="00A56A53">
      <w:pPr>
        <w:pStyle w:val="Heading1"/>
      </w:pPr>
      <w:bookmarkStart w:id="11" w:name="O_319528"/>
      <w:bookmarkEnd w:id="11"/>
      <w:r w:rsidRPr="00A56A53">
        <w:t>Range Statement</w:t>
      </w:r>
    </w:p>
    <w:tbl>
      <w:tblPr>
        <w:tblW w:w="0" w:type="auto"/>
        <w:tblLayout w:type="fixed"/>
        <w:tblCellMar>
          <w:left w:w="62" w:type="dxa"/>
          <w:right w:w="62" w:type="dxa"/>
        </w:tblCellMar>
        <w:tblLook w:val="0000"/>
      </w:tblPr>
      <w:tblGrid>
        <w:gridCol w:w="4500"/>
        <w:gridCol w:w="4500"/>
      </w:tblGrid>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56A53" w:rsidP="00A56A53">
            <w:pPr>
              <w:pStyle w:val="BodyText"/>
            </w:pPr>
            <w:r w:rsidRPr="00A56A53">
              <w:rPr>
                <w:rStyle w:val="SpecialBold"/>
              </w:rPr>
              <w:t>Range of Variables</w:t>
            </w:r>
          </w:p>
          <w:p w:rsidR="00000000" w:rsidP="00A56A53">
            <w:pPr>
              <w:pStyle w:val="BodyText"/>
              <w:rPr>
                <w:lang w:val="en-NZ"/>
              </w:rPr>
            </w:pPr>
            <w:r w:rsidRPr="00A56A53">
              <w:t xml:space="preserve">The Range of Variables explains the contexts </w:t>
            </w:r>
            <w:r w:rsidRPr="00A56A53">
              <w:t>within which the performance and knowledge requirements of this standard may be assessed.  The scope of variables chosen in training and assessment requirements may depend on the work situations available</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What </w:t>
            </w:r>
            <w:r w:rsidRPr="00A56A53">
              <w:rPr>
                <w:rStyle w:val="SpecialBold"/>
              </w:rPr>
              <w:t>quality specifications</w:t>
            </w:r>
            <w:r w:rsidRPr="00A56A53">
              <w:t xml:space="preserve"> may be relevant to th</w:t>
            </w:r>
            <w:r w:rsidRPr="00A56A53">
              <w:t xml:space="preserve">is competency standard?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Quality specifications will have a range of measurable dimensions depending upon the product and may include guarantees related to the source and non-contamination of the product.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From where can market specifications be </w:t>
            </w:r>
            <w:r w:rsidRPr="00A56A53">
              <w:rPr>
                <w:rStyle w:val="SpecialBold"/>
              </w:rPr>
              <w:t>sourced</w:t>
            </w:r>
            <w:r w:rsidRPr="00A56A53">
              <w:t xml:space="preserve">?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Relevant quality specifications will be sourced from purchasers of the product e.g., processors or end-use customers.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What </w:t>
            </w:r>
            <w:r w:rsidRPr="00A56A53">
              <w:rPr>
                <w:rStyle w:val="SpecialBold"/>
              </w:rPr>
              <w:t>legislated requirements</w:t>
            </w:r>
            <w:r w:rsidRPr="00A56A53">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Relevant law may relate to the verification of product quality as part of consumer legislation or specific legislation related to product content or composition. </w:t>
            </w:r>
          </w:p>
        </w:tc>
      </w:tr>
      <w:tr w:rsidTr="001828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What </w:t>
            </w:r>
            <w:r w:rsidRPr="00A56A53">
              <w:rPr>
                <w:rStyle w:val="SpecialBold"/>
              </w:rPr>
              <w:t>hazards and critical control points</w:t>
            </w:r>
            <w:r w:rsidRPr="00A56A53">
              <w:t xml:space="preserve"> should be considered? </w:t>
            </w:r>
          </w:p>
        </w:tc>
        <w:tc>
          <w:tcPr>
            <w:tcW w:w="4500" w:type="dxa"/>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Hazards and critical control</w:t>
            </w:r>
            <w:r w:rsidRPr="00A56A53">
              <w:t xml:space="preserve"> points will be identified using the national HACCP procedures or a similar model for auditing the production process. </w:t>
            </w:r>
          </w:p>
        </w:tc>
      </w:tr>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56A53">
            <w:pPr>
              <w:pStyle w:val="BodyText"/>
              <w:rPr>
                <w:lang w:val="en-NZ"/>
              </w:rPr>
            </w:pPr>
            <w:r w:rsidRPr="00A56A53">
              <w:t xml:space="preserve">For more information on contexts, environment and variables for training and assessment refer to the Sector Booklet. </w:t>
            </w:r>
          </w:p>
        </w:tc>
      </w:tr>
      <w:tr w:rsidTr="001828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56A53" w:rsidP="00A56A53">
            <w:pPr>
              <w:pStyle w:val="BodyText"/>
            </w:pPr>
          </w:p>
        </w:tc>
      </w:tr>
    </w:tbl>
    <w:p w:rsidR="00000000" w:rsidRPr="00A56A53" w:rsidP="00A56A53">
      <w:pPr>
        <w:pStyle w:val="BodyText"/>
      </w:pPr>
    </w:p>
    <w:p w:rsidR="00000000" w:rsidRPr="00A56A53" w:rsidP="00A56A53">
      <w:pPr>
        <w:pStyle w:val="AllowPageBreak"/>
      </w:pPr>
    </w:p>
    <w:p w:rsidR="00000000" w:rsidRPr="00A56A53" w:rsidP="00A56A53">
      <w:pPr>
        <w:pStyle w:val="Heading1"/>
      </w:pPr>
      <w:bookmarkStart w:id="12" w:name="O_319532"/>
      <w:bookmarkEnd w:id="12"/>
      <w:r w:rsidRPr="00A56A53">
        <w:t>Unit Sector(s)</w:t>
      </w:r>
    </w:p>
    <w:p w:rsidR="00000000" w:rsidRPr="00A56A53" w:rsidP="00A56A53">
      <w:pPr>
        <w:pStyle w:val="BodyText"/>
      </w:pPr>
      <w:r w:rsidRPr="00A56A53">
        <w:t>Not applicable.</w:t>
      </w:r>
    </w:p>
    <w:p w:rsidR="00000000" w:rsidRPr="00A56A53" w:rsidP="00A56A53"/>
    <w:sectPr w:rsidSect="00A56A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8A5" w:rsidP="00182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A5" w:rsidP="00A56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828A5" w:rsidP="00A56A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828A5" w:rsidP="00A56A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8A5" w:rsidP="001828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8A5" w:rsidP="00A56A53">
    <w:pPr>
      <w:pStyle w:val="Header"/>
      <w:framePr w:wrap="around"/>
    </w:pPr>
    <w:r>
      <w:fldChar w:fldCharType="begin"/>
    </w:r>
    <w:r>
      <w:instrText xml:space="preserve"> TITLE   \* MERGEFORMAT </w:instrText>
    </w:r>
    <w:r>
      <w:fldChar w:fldCharType="separate"/>
    </w:r>
    <w:r>
      <w:t>RTE4915A Implement and monitor quality assurance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28A5" w:rsidP="00A56A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A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A53"/>
    <w:pPr>
      <w:spacing w:before="360" w:after="60"/>
      <w:outlineLvl w:val="0"/>
    </w:pPr>
    <w:rPr>
      <w:sz w:val="32"/>
    </w:rPr>
  </w:style>
  <w:style w:type="paragraph" w:styleId="Heading2">
    <w:name w:val="heading 2"/>
    <w:basedOn w:val="HeadingBase"/>
    <w:next w:val="BodyText"/>
    <w:link w:val="Heading2Char"/>
    <w:qFormat/>
    <w:rsid w:val="00A56A53"/>
    <w:pPr>
      <w:keepLines/>
      <w:spacing w:before="240" w:after="120"/>
      <w:outlineLvl w:val="1"/>
    </w:pPr>
    <w:rPr>
      <w:sz w:val="28"/>
      <w:szCs w:val="40"/>
    </w:rPr>
  </w:style>
  <w:style w:type="paragraph" w:styleId="Heading3">
    <w:name w:val="heading 3"/>
    <w:basedOn w:val="HeadingBase"/>
    <w:next w:val="BodyText"/>
    <w:link w:val="Heading3Char"/>
    <w:qFormat/>
    <w:rsid w:val="00A56A53"/>
    <w:pPr>
      <w:spacing w:before="180" w:after="120"/>
      <w:outlineLvl w:val="2"/>
    </w:pPr>
    <w:rPr>
      <w:spacing w:val="-10"/>
      <w:kern w:val="32"/>
    </w:rPr>
  </w:style>
  <w:style w:type="paragraph" w:styleId="Heading4">
    <w:name w:val="heading 4"/>
    <w:basedOn w:val="HeadingBase"/>
    <w:next w:val="BodyText"/>
    <w:link w:val="Heading4Char"/>
    <w:qFormat/>
    <w:rsid w:val="00A56A53"/>
    <w:pPr>
      <w:spacing w:before="160" w:after="120"/>
      <w:outlineLvl w:val="3"/>
    </w:pPr>
    <w:rPr>
      <w:sz w:val="22"/>
    </w:rPr>
  </w:style>
  <w:style w:type="paragraph" w:styleId="Heading5">
    <w:name w:val="heading 5"/>
    <w:basedOn w:val="HeadingBase"/>
    <w:next w:val="Normal"/>
    <w:link w:val="Heading5Char"/>
    <w:qFormat/>
    <w:rsid w:val="00A56A53"/>
    <w:pPr>
      <w:spacing w:before="80"/>
      <w:outlineLvl w:val="4"/>
    </w:pPr>
    <w:rPr>
      <w:color w:val="918585"/>
      <w:sz w:val="20"/>
    </w:rPr>
  </w:style>
  <w:style w:type="paragraph" w:styleId="Heading6">
    <w:name w:val="heading 6"/>
    <w:basedOn w:val="HeadingBase"/>
    <w:next w:val="Normal"/>
    <w:link w:val="Heading6Char"/>
    <w:qFormat/>
    <w:rsid w:val="00A56A53"/>
    <w:pPr>
      <w:spacing w:before="60"/>
      <w:outlineLvl w:val="5"/>
    </w:pPr>
    <w:rPr>
      <w:color w:val="918585"/>
      <w:sz w:val="20"/>
    </w:rPr>
  </w:style>
  <w:style w:type="paragraph" w:styleId="Heading7">
    <w:name w:val="heading 7"/>
    <w:basedOn w:val="Normal"/>
    <w:next w:val="Normal"/>
    <w:link w:val="Heading7Char"/>
    <w:qFormat/>
    <w:rsid w:val="00A56A53"/>
    <w:pPr>
      <w:ind w:left="720"/>
      <w:outlineLvl w:val="6"/>
    </w:pPr>
    <w:rPr>
      <w:i/>
    </w:rPr>
  </w:style>
  <w:style w:type="paragraph" w:styleId="Heading8">
    <w:name w:val="heading 8"/>
    <w:basedOn w:val="Normal"/>
    <w:next w:val="Normal"/>
    <w:link w:val="Heading8Char"/>
    <w:qFormat/>
    <w:rsid w:val="00A56A53"/>
    <w:pPr>
      <w:ind w:left="720"/>
      <w:outlineLvl w:val="7"/>
    </w:pPr>
    <w:rPr>
      <w:i/>
    </w:rPr>
  </w:style>
  <w:style w:type="paragraph" w:styleId="Heading9">
    <w:name w:val="heading 9"/>
    <w:basedOn w:val="Normal"/>
    <w:next w:val="Normal"/>
    <w:link w:val="Heading9Char"/>
    <w:qFormat/>
    <w:rsid w:val="00A56A53"/>
    <w:pPr>
      <w:ind w:left="720"/>
      <w:outlineLvl w:val="8"/>
    </w:pPr>
    <w:rPr>
      <w:i/>
    </w:rPr>
  </w:style>
  <w:style w:type="character" w:default="1" w:styleId="DefaultParagraphFont">
    <w:name w:val="Default Paragraph Font"/>
    <w:uiPriority w:val="1"/>
    <w:unhideWhenUsed/>
    <w:rsid w:val="00A56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A53"/>
  </w:style>
  <w:style w:type="character" w:customStyle="1" w:styleId="Heading1Char">
    <w:name w:val="Heading 1 Char"/>
    <w:link w:val="Heading1"/>
    <w:rsid w:val="00A56A53"/>
    <w:rPr>
      <w:rFonts w:ascii="Times New Roman" w:eastAsia="Times New Roman" w:hAnsi="Times New Roman" w:cs="Times New Roman"/>
      <w:b/>
      <w:sz w:val="32"/>
      <w:szCs w:val="20"/>
      <w:lang w:eastAsia="en-US"/>
    </w:rPr>
  </w:style>
  <w:style w:type="paragraph" w:styleId="BodyText">
    <w:name w:val="Body Text"/>
    <w:basedOn w:val="Normal"/>
    <w:link w:val="BodyTextChar"/>
    <w:rsid w:val="00A56A53"/>
    <w:pPr>
      <w:spacing w:before="120" w:after="120"/>
      <w:contextualSpacing/>
    </w:pPr>
    <w:rPr>
      <w:rFonts w:ascii="Times New Roman" w:hAnsi="Times New Roman"/>
      <w:sz w:val="24"/>
      <w:szCs w:val="22"/>
    </w:rPr>
  </w:style>
  <w:style w:type="character" w:customStyle="1" w:styleId="BodyTextChar">
    <w:name w:val="Body Text Char"/>
    <w:link w:val="BodyText"/>
    <w:rsid w:val="00A56A53"/>
    <w:rPr>
      <w:rFonts w:ascii="Times New Roman" w:eastAsia="Times New Roman" w:hAnsi="Times New Roman" w:cs="Times New Roman"/>
      <w:sz w:val="24"/>
      <w:lang w:val="en-US" w:eastAsia="en-US"/>
    </w:rPr>
  </w:style>
  <w:style w:type="paragraph" w:styleId="Footer">
    <w:name w:val="footer"/>
    <w:basedOn w:val="Normal"/>
    <w:link w:val="FooterChar"/>
    <w:rsid w:val="00A56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6A53"/>
    <w:rPr>
      <w:rFonts w:ascii="Times New Roman" w:eastAsia="Times New Roman" w:hAnsi="Times New Roman" w:cs="Times New Roman"/>
      <w:sz w:val="16"/>
      <w:lang w:val="en-US" w:eastAsia="en-US"/>
    </w:rPr>
  </w:style>
  <w:style w:type="character" w:customStyle="1" w:styleId="SpecialBold">
    <w:name w:val="Special Bold"/>
    <w:rsid w:val="00A56A53"/>
    <w:rPr>
      <w:b/>
      <w:spacing w:val="0"/>
    </w:rPr>
  </w:style>
  <w:style w:type="paragraph" w:styleId="Header">
    <w:name w:val="header"/>
    <w:basedOn w:val="Normal"/>
    <w:link w:val="HeaderChar"/>
    <w:rsid w:val="00A56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6A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A53"/>
    <w:pPr>
      <w:spacing w:before="240" w:after="120"/>
      <w:outlineLvl w:val="0"/>
    </w:pPr>
    <w:rPr>
      <w:rFonts w:ascii="Times New Roman" w:hAnsi="Times New Roman"/>
      <w:b/>
      <w:sz w:val="28"/>
    </w:rPr>
  </w:style>
  <w:style w:type="paragraph" w:customStyle="1" w:styleId="AllowPageBreak">
    <w:name w:val="AllowPageBreak"/>
    <w:rsid w:val="00A56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56A53"/>
    <w:rPr>
      <w:rFonts w:ascii="Times New Roman" w:eastAsia="Times New Roman" w:hAnsi="Times New Roman" w:cs="Times New Roman"/>
      <w:b/>
      <w:sz w:val="28"/>
      <w:szCs w:val="40"/>
      <w:lang w:eastAsia="en-US"/>
    </w:rPr>
  </w:style>
  <w:style w:type="character" w:customStyle="1" w:styleId="Heading3Char">
    <w:name w:val="Heading 3 Char"/>
    <w:link w:val="Heading3"/>
    <w:rsid w:val="00A56A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6A53"/>
    <w:rPr>
      <w:rFonts w:ascii="Times New Roman" w:eastAsia="Times New Roman" w:hAnsi="Times New Roman" w:cs="Times New Roman"/>
      <w:b/>
      <w:szCs w:val="20"/>
      <w:lang w:eastAsia="en-US"/>
    </w:rPr>
  </w:style>
  <w:style w:type="character" w:customStyle="1" w:styleId="Heading5Char">
    <w:name w:val="Heading 5 Char"/>
    <w:link w:val="Heading5"/>
    <w:rsid w:val="00A56A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6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A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A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A53"/>
    <w:rPr>
      <w:rFonts w:ascii="Courier New" w:eastAsia="Times New Roman" w:hAnsi="Courier New" w:cs="Times New Roman"/>
      <w:i/>
      <w:szCs w:val="20"/>
      <w:lang w:val="en-US" w:eastAsia="en-US"/>
    </w:rPr>
  </w:style>
  <w:style w:type="paragraph" w:customStyle="1" w:styleId="HeadingBase">
    <w:name w:val="Heading Base"/>
    <w:rsid w:val="00A56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A53"/>
    <w:pPr>
      <w:tabs>
        <w:tab w:val="right" w:leader="dot" w:pos="9072"/>
      </w:tabs>
      <w:ind w:left="567"/>
    </w:pPr>
    <w:rPr>
      <w:szCs w:val="22"/>
    </w:rPr>
  </w:style>
  <w:style w:type="paragraph" w:customStyle="1" w:styleId="TOCBase">
    <w:name w:val="TOC Base"/>
    <w:rsid w:val="00A56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A53"/>
    <w:pPr>
      <w:tabs>
        <w:tab w:val="right" w:leader="dot" w:pos="9072"/>
      </w:tabs>
      <w:spacing w:before="40" w:after="40"/>
      <w:ind w:left="284"/>
    </w:pPr>
    <w:rPr>
      <w:rFonts w:ascii="Times New Roman" w:hAnsi="Times New Roman"/>
    </w:rPr>
  </w:style>
  <w:style w:type="paragraph" w:styleId="TOC1">
    <w:name w:val="toc 1"/>
    <w:basedOn w:val="TOCBase"/>
    <w:next w:val="Normal"/>
    <w:rsid w:val="00A56A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A53"/>
    <w:pPr>
      <w:spacing w:before="5040"/>
      <w:jc w:val="center"/>
    </w:pPr>
    <w:rPr>
      <w:sz w:val="48"/>
      <w:szCs w:val="72"/>
      <w:lang w:val="en-US"/>
    </w:rPr>
  </w:style>
  <w:style w:type="character" w:customStyle="1" w:styleId="TitleChar">
    <w:name w:val="Title Char"/>
    <w:link w:val="Title"/>
    <w:rsid w:val="00A56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A53"/>
    <w:pPr>
      <w:tabs>
        <w:tab w:val="left" w:pos="3600"/>
        <w:tab w:val="left" w:pos="3958"/>
      </w:tabs>
    </w:pPr>
  </w:style>
  <w:style w:type="paragraph" w:styleId="List">
    <w:name w:val="List"/>
    <w:basedOn w:val="BodyText"/>
    <w:next w:val="BodyText"/>
    <w:rsid w:val="00A56A53"/>
    <w:pPr>
      <w:tabs>
        <w:tab w:val="left" w:pos="340"/>
      </w:tabs>
      <w:spacing w:before="60" w:after="60"/>
      <w:ind w:left="340" w:hanging="340"/>
    </w:pPr>
  </w:style>
  <w:style w:type="paragraph" w:styleId="ListBullet">
    <w:name w:val="List Bullet"/>
    <w:basedOn w:val="List"/>
    <w:rsid w:val="00A56A53"/>
    <w:pPr>
      <w:numPr>
        <w:numId w:val="11"/>
      </w:numPr>
      <w:tabs>
        <w:tab w:val="clear" w:pos="340"/>
      </w:tabs>
      <w:spacing w:before="40" w:after="40"/>
    </w:pPr>
  </w:style>
  <w:style w:type="paragraph" w:customStyle="1" w:styleId="Note">
    <w:name w:val="Note"/>
    <w:basedOn w:val="BodyText"/>
    <w:rsid w:val="00A56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A53"/>
    <w:pPr>
      <w:framePr w:wrap="auto" w:hAnchor="text" w:y="6049"/>
    </w:pPr>
    <w:rPr>
      <w:color w:val="000000"/>
      <w:sz w:val="40"/>
    </w:rPr>
  </w:style>
  <w:style w:type="paragraph" w:customStyle="1" w:styleId="TOCTitle">
    <w:name w:val="TOCTitle"/>
    <w:basedOn w:val="Heading1"/>
    <w:rsid w:val="00A56A53"/>
    <w:pPr>
      <w:spacing w:after="240"/>
      <w:jc w:val="center"/>
      <w:outlineLvl w:val="9"/>
    </w:pPr>
    <w:rPr>
      <w:caps/>
    </w:rPr>
  </w:style>
  <w:style w:type="paragraph" w:customStyle="1" w:styleId="Version">
    <w:name w:val="Version"/>
    <w:rsid w:val="00A56A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A53"/>
    <w:pPr>
      <w:numPr>
        <w:numId w:val="12"/>
      </w:numPr>
      <w:tabs>
        <w:tab w:val="clear" w:pos="680"/>
      </w:tabs>
    </w:pPr>
  </w:style>
  <w:style w:type="paragraph" w:styleId="Index1">
    <w:name w:val="index 1"/>
    <w:basedOn w:val="Normal"/>
    <w:next w:val="Normal"/>
    <w:semiHidden/>
    <w:rsid w:val="00A56A53"/>
    <w:pPr>
      <w:keepNext w:val="0"/>
      <w:tabs>
        <w:tab w:val="right" w:pos="4176"/>
      </w:tabs>
      <w:ind w:left="198" w:hanging="198"/>
    </w:pPr>
    <w:rPr>
      <w:rFonts w:ascii="Garamond" w:hAnsi="Garamond"/>
    </w:rPr>
  </w:style>
  <w:style w:type="paragraph" w:styleId="IndexHeading">
    <w:name w:val="index heading"/>
    <w:basedOn w:val="Normal"/>
    <w:next w:val="Index1"/>
    <w:semiHidden/>
    <w:rsid w:val="00A56A53"/>
    <w:pPr>
      <w:spacing w:before="120" w:after="120"/>
    </w:pPr>
    <w:rPr>
      <w:rFonts w:ascii="Arial" w:hAnsi="Arial"/>
      <w:b/>
      <w:color w:val="918585"/>
      <w:sz w:val="24"/>
    </w:rPr>
  </w:style>
  <w:style w:type="paragraph" w:customStyle="1" w:styleId="Chapter">
    <w:name w:val="Chapter"/>
    <w:basedOn w:val="Normal"/>
    <w:rsid w:val="00A56A53"/>
    <w:pPr>
      <w:spacing w:before="240"/>
    </w:pPr>
    <w:rPr>
      <w:rFonts w:ascii="Times New Roman" w:hAnsi="Times New Roman"/>
      <w:smallCaps/>
      <w:spacing w:val="80"/>
      <w:sz w:val="28"/>
    </w:rPr>
  </w:style>
  <w:style w:type="paragraph" w:customStyle="1" w:styleId="InChapter">
    <w:name w:val="InChapter"/>
    <w:basedOn w:val="Heading3"/>
    <w:rsid w:val="00A56A53"/>
    <w:pPr>
      <w:spacing w:after="240"/>
      <w:outlineLvl w:val="9"/>
    </w:pPr>
    <w:rPr>
      <w:noProof/>
    </w:rPr>
  </w:style>
  <w:style w:type="paragraph" w:styleId="Index2">
    <w:name w:val="index 2"/>
    <w:basedOn w:val="Normal"/>
    <w:next w:val="Normal"/>
    <w:semiHidden/>
    <w:rsid w:val="00A56A53"/>
    <w:pPr>
      <w:tabs>
        <w:tab w:val="right" w:pos="4176"/>
      </w:tabs>
      <w:ind w:left="568" w:hanging="284"/>
    </w:pPr>
    <w:rPr>
      <w:rFonts w:ascii="Garamond" w:hAnsi="Garamond"/>
    </w:rPr>
  </w:style>
  <w:style w:type="paragraph" w:customStyle="1" w:styleId="Byline">
    <w:name w:val="Byline"/>
    <w:rsid w:val="00A56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A53"/>
    <w:pPr>
      <w:tabs>
        <w:tab w:val="clear" w:pos="3600"/>
        <w:tab w:val="clear" w:pos="3958"/>
      </w:tabs>
      <w:jc w:val="right"/>
    </w:pPr>
  </w:style>
  <w:style w:type="character" w:styleId="Emphasis">
    <w:name w:val="Emphasis"/>
    <w:qFormat/>
    <w:rsid w:val="00A56A53"/>
    <w:rPr>
      <w:i/>
    </w:rPr>
  </w:style>
  <w:style w:type="paragraph" w:styleId="Caption">
    <w:name w:val="caption"/>
    <w:basedOn w:val="BodyText"/>
    <w:next w:val="Normal"/>
    <w:qFormat/>
    <w:rsid w:val="00A56A53"/>
    <w:pPr>
      <w:framePr w:w="2268" w:hSpace="181" w:vSpace="181" w:wrap="around" w:vAnchor="text" w:hAnchor="page" w:x="1135" w:y="285" w:anchorLock="1"/>
    </w:pPr>
    <w:rPr>
      <w:i/>
    </w:rPr>
  </w:style>
  <w:style w:type="paragraph" w:customStyle="1" w:styleId="MiniTOCTitle">
    <w:name w:val="MiniTOCTitle"/>
    <w:basedOn w:val="Heading4"/>
    <w:rsid w:val="00A56A53"/>
    <w:pPr>
      <w:spacing w:before="240"/>
      <w:outlineLvl w:val="9"/>
    </w:pPr>
    <w:rPr>
      <w:noProof/>
      <w:sz w:val="24"/>
    </w:rPr>
  </w:style>
  <w:style w:type="paragraph" w:customStyle="1" w:styleId="MiniTOCItem">
    <w:name w:val="MiniTOCItem"/>
    <w:basedOn w:val="ListBullet"/>
    <w:rsid w:val="00A56A53"/>
    <w:pPr>
      <w:numPr>
        <w:numId w:val="0"/>
      </w:numPr>
      <w:tabs>
        <w:tab w:val="right" w:leader="dot" w:pos="6521"/>
      </w:tabs>
      <w:spacing w:before="0" w:after="0"/>
    </w:pPr>
  </w:style>
  <w:style w:type="paragraph" w:customStyle="1" w:styleId="TOFTitle">
    <w:name w:val="TOFTitle"/>
    <w:basedOn w:val="TOCTitle"/>
    <w:rsid w:val="00A56A53"/>
  </w:style>
  <w:style w:type="paragraph" w:styleId="TableofFigures">
    <w:name w:val="table of figures"/>
    <w:basedOn w:val="Normal"/>
    <w:next w:val="Normal"/>
    <w:semiHidden/>
    <w:rsid w:val="00A56A53"/>
    <w:pPr>
      <w:tabs>
        <w:tab w:val="right" w:leader="dot" w:pos="9072"/>
      </w:tabs>
      <w:ind w:left="970" w:hanging="403"/>
    </w:pPr>
    <w:rPr>
      <w:rFonts w:ascii="Times New Roman" w:hAnsi="Times New Roman"/>
      <w:b/>
    </w:rPr>
  </w:style>
  <w:style w:type="paragraph" w:styleId="ListNumber">
    <w:name w:val="List Number"/>
    <w:basedOn w:val="List"/>
    <w:rsid w:val="00A56A53"/>
    <w:pPr>
      <w:numPr>
        <w:numId w:val="9"/>
      </w:numPr>
    </w:pPr>
  </w:style>
  <w:style w:type="character" w:customStyle="1" w:styleId="WingdingSymbols">
    <w:name w:val="Wingding Symbols"/>
    <w:rsid w:val="00A56A53"/>
    <w:rPr>
      <w:rFonts w:ascii="Wingdings" w:hAnsi="Wingdings"/>
    </w:rPr>
  </w:style>
  <w:style w:type="paragraph" w:customStyle="1" w:styleId="TableHeading">
    <w:name w:val="Table Heading"/>
    <w:basedOn w:val="HeadingBase"/>
    <w:rsid w:val="00A56A53"/>
    <w:pPr>
      <w:keepLines/>
      <w:pBdr>
        <w:bottom w:val="single" w:sz="6" w:space="1" w:color="918585"/>
      </w:pBdr>
      <w:spacing w:before="240"/>
    </w:pPr>
  </w:style>
  <w:style w:type="character" w:customStyle="1" w:styleId="HotSpot">
    <w:name w:val="HotSpot"/>
    <w:rsid w:val="00A56A53"/>
    <w:rPr>
      <w:color w:val="0033CC"/>
      <w:u w:val="none"/>
    </w:rPr>
  </w:style>
  <w:style w:type="paragraph" w:customStyle="1" w:styleId="BodyTextRight">
    <w:name w:val="Body Text Right"/>
    <w:basedOn w:val="BodyText"/>
    <w:rsid w:val="00A56A53"/>
    <w:pPr>
      <w:spacing w:before="0" w:after="0"/>
      <w:jc w:val="right"/>
    </w:pPr>
  </w:style>
  <w:style w:type="paragraph" w:styleId="Index3">
    <w:name w:val="index 3"/>
    <w:basedOn w:val="ListNumber2"/>
    <w:next w:val="Normal"/>
    <w:semiHidden/>
    <w:rsid w:val="00A56A53"/>
    <w:pPr>
      <w:numPr>
        <w:numId w:val="0"/>
      </w:numPr>
      <w:tabs>
        <w:tab w:val="right" w:leader="dot" w:pos="4176"/>
      </w:tabs>
    </w:pPr>
  </w:style>
  <w:style w:type="paragraph" w:styleId="ListNumber2">
    <w:name w:val="List Number 2"/>
    <w:basedOn w:val="List2"/>
    <w:rsid w:val="00A56A53"/>
    <w:pPr>
      <w:numPr>
        <w:numId w:val="8"/>
      </w:numPr>
      <w:tabs>
        <w:tab w:val="clear" w:pos="1060"/>
      </w:tabs>
    </w:pPr>
  </w:style>
  <w:style w:type="paragraph" w:customStyle="1" w:styleId="MarginNote">
    <w:name w:val="Margin Note"/>
    <w:basedOn w:val="BodyText"/>
    <w:rsid w:val="00A56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6A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A53"/>
    <w:rPr>
      <w:sz w:val="32"/>
    </w:rPr>
  </w:style>
  <w:style w:type="paragraph" w:customStyle="1" w:styleId="HeadingProcedure">
    <w:name w:val="Heading Procedure"/>
    <w:basedOn w:val="HeadingBase"/>
    <w:next w:val="Normal"/>
    <w:rsid w:val="00A56A53"/>
    <w:pPr>
      <w:tabs>
        <w:tab w:val="left" w:pos="0"/>
      </w:tabs>
      <w:spacing w:before="120" w:after="60"/>
    </w:pPr>
    <w:rPr>
      <w:i/>
      <w:color w:val="918585"/>
      <w:sz w:val="22"/>
    </w:rPr>
  </w:style>
  <w:style w:type="paragraph" w:customStyle="1" w:styleId="TableBodyText">
    <w:name w:val="Table Body Text"/>
    <w:basedOn w:val="BodyText"/>
    <w:rsid w:val="00A56A53"/>
    <w:pPr>
      <w:spacing w:before="60" w:after="60"/>
    </w:pPr>
  </w:style>
  <w:style w:type="paragraph" w:styleId="ListContinue">
    <w:name w:val="List Continue"/>
    <w:basedOn w:val="List"/>
    <w:rsid w:val="00A56A53"/>
    <w:pPr>
      <w:ind w:firstLine="0"/>
    </w:pPr>
  </w:style>
  <w:style w:type="paragraph" w:customStyle="1" w:styleId="ListNote">
    <w:name w:val="List Note"/>
    <w:basedOn w:val="List"/>
    <w:rsid w:val="00A56A53"/>
    <w:pPr>
      <w:pBdr>
        <w:top w:val="single" w:sz="6" w:space="2" w:color="918585"/>
        <w:bottom w:val="single" w:sz="6" w:space="2" w:color="918585"/>
      </w:pBdr>
      <w:tabs>
        <w:tab w:val="left" w:pos="1021"/>
      </w:tabs>
      <w:ind w:firstLine="0"/>
    </w:pPr>
  </w:style>
  <w:style w:type="paragraph" w:customStyle="1" w:styleId="Warning">
    <w:name w:val="Warning"/>
    <w:basedOn w:val="BodyText"/>
    <w:rsid w:val="00A56A53"/>
    <w:pPr>
      <w:shd w:val="clear" w:color="auto" w:fill="D9D9D9"/>
      <w:tabs>
        <w:tab w:val="left" w:pos="992"/>
      </w:tabs>
      <w:ind w:left="119" w:right="119"/>
    </w:pPr>
    <w:rPr>
      <w:sz w:val="20"/>
    </w:rPr>
  </w:style>
  <w:style w:type="paragraph" w:customStyle="1" w:styleId="MarginIcons">
    <w:name w:val="Margin Icons"/>
    <w:basedOn w:val="BodyText"/>
    <w:rsid w:val="00A56A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6A53"/>
    <w:rPr>
      <w:rFonts w:ascii="Courier New" w:hAnsi="Courier New"/>
    </w:rPr>
  </w:style>
  <w:style w:type="paragraph" w:customStyle="1" w:styleId="NoteBullet">
    <w:name w:val="Note Bullet"/>
    <w:basedOn w:val="Note"/>
    <w:rsid w:val="00A56A53"/>
    <w:pPr>
      <w:tabs>
        <w:tab w:val="clear" w:pos="680"/>
      </w:tabs>
      <w:spacing w:before="60" w:after="60"/>
    </w:pPr>
  </w:style>
  <w:style w:type="paragraph" w:customStyle="1" w:styleId="SubHeading2">
    <w:name w:val="SubHeading2"/>
    <w:basedOn w:val="HeadingBase"/>
    <w:rsid w:val="00A56A53"/>
    <w:pPr>
      <w:spacing w:before="240" w:after="60"/>
    </w:pPr>
    <w:rPr>
      <w:sz w:val="20"/>
    </w:rPr>
  </w:style>
  <w:style w:type="paragraph" w:customStyle="1" w:styleId="SubHeading1">
    <w:name w:val="SubHeading1"/>
    <w:basedOn w:val="HeadingBase"/>
    <w:rsid w:val="00A56A53"/>
    <w:pPr>
      <w:spacing w:before="240" w:after="60"/>
    </w:pPr>
    <w:rPr>
      <w:color w:val="918585"/>
      <w:sz w:val="22"/>
    </w:rPr>
  </w:style>
  <w:style w:type="paragraph" w:customStyle="1" w:styleId="SideHeading">
    <w:name w:val="Side Heading"/>
    <w:basedOn w:val="HeadingBase"/>
    <w:rsid w:val="00A56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A53"/>
    <w:pPr>
      <w:numPr>
        <w:numId w:val="10"/>
      </w:numPr>
    </w:pPr>
  </w:style>
  <w:style w:type="paragraph" w:styleId="PlainText">
    <w:name w:val="Plain Text"/>
    <w:basedOn w:val="Normal"/>
    <w:link w:val="PlainTextChar"/>
    <w:rsid w:val="00A56A53"/>
    <w:rPr>
      <w:sz w:val="20"/>
    </w:rPr>
  </w:style>
  <w:style w:type="character" w:customStyle="1" w:styleId="PlainTextChar">
    <w:name w:val="Plain Text Char"/>
    <w:basedOn w:val="DefaultParagraphFont"/>
    <w:link w:val="PlainText"/>
    <w:rsid w:val="00A56A53"/>
    <w:rPr>
      <w:rFonts w:ascii="Courier New" w:eastAsia="Times New Roman" w:hAnsi="Courier New" w:cs="Times New Roman"/>
      <w:sz w:val="20"/>
      <w:szCs w:val="20"/>
      <w:lang w:val="en-US" w:eastAsia="en-US"/>
    </w:rPr>
  </w:style>
  <w:style w:type="character" w:customStyle="1" w:styleId="MenuOption">
    <w:name w:val="Menu Option"/>
    <w:rsid w:val="00A56A53"/>
    <w:rPr>
      <w:b/>
      <w:smallCaps/>
    </w:rPr>
  </w:style>
  <w:style w:type="paragraph" w:customStyle="1" w:styleId="TableListNumber">
    <w:name w:val="Table List Number"/>
    <w:basedOn w:val="ListNumber"/>
    <w:rsid w:val="00A56A53"/>
    <w:pPr>
      <w:numPr>
        <w:numId w:val="0"/>
      </w:numPr>
    </w:pPr>
  </w:style>
  <w:style w:type="paragraph" w:styleId="TOC4">
    <w:name w:val="toc 4"/>
    <w:basedOn w:val="TOCBase"/>
    <w:next w:val="Normal"/>
    <w:semiHidden/>
    <w:rsid w:val="00A56A53"/>
    <w:pPr>
      <w:tabs>
        <w:tab w:val="right" w:leader="dot" w:pos="9071"/>
      </w:tabs>
      <w:ind w:left="1701"/>
    </w:pPr>
  </w:style>
  <w:style w:type="paragraph" w:customStyle="1" w:styleId="ListAlpha">
    <w:name w:val="List Alpha"/>
    <w:basedOn w:val="List"/>
    <w:rsid w:val="00A56A53"/>
    <w:pPr>
      <w:numPr>
        <w:numId w:val="7"/>
      </w:numPr>
    </w:pPr>
  </w:style>
  <w:style w:type="paragraph" w:customStyle="1" w:styleId="ListAlpha2">
    <w:name w:val="List Alpha 2"/>
    <w:basedOn w:val="List2"/>
    <w:rsid w:val="00A56A53"/>
    <w:pPr>
      <w:numPr>
        <w:numId w:val="6"/>
      </w:numPr>
    </w:pPr>
  </w:style>
  <w:style w:type="paragraph" w:styleId="List2">
    <w:name w:val="List 2"/>
    <w:basedOn w:val="BodyText"/>
    <w:rsid w:val="00A56A53"/>
    <w:pPr>
      <w:tabs>
        <w:tab w:val="left" w:pos="680"/>
      </w:tabs>
      <w:spacing w:before="60" w:after="60"/>
      <w:ind w:left="680" w:hanging="340"/>
    </w:pPr>
  </w:style>
  <w:style w:type="paragraph" w:styleId="List3">
    <w:name w:val="List 3"/>
    <w:basedOn w:val="BodyText"/>
    <w:rsid w:val="00A56A53"/>
    <w:pPr>
      <w:tabs>
        <w:tab w:val="left" w:pos="1021"/>
      </w:tabs>
      <w:spacing w:before="60" w:after="60"/>
      <w:ind w:left="1020" w:hanging="340"/>
    </w:pPr>
  </w:style>
  <w:style w:type="paragraph" w:styleId="List4">
    <w:name w:val="List 4"/>
    <w:basedOn w:val="BodyText"/>
    <w:rsid w:val="00A56A53"/>
    <w:pPr>
      <w:tabs>
        <w:tab w:val="left" w:pos="1361"/>
      </w:tabs>
      <w:spacing w:before="60" w:after="60"/>
      <w:ind w:left="1361" w:hanging="340"/>
    </w:pPr>
  </w:style>
  <w:style w:type="paragraph" w:styleId="List5">
    <w:name w:val="List 5"/>
    <w:basedOn w:val="BodyText"/>
    <w:rsid w:val="00A56A53"/>
    <w:pPr>
      <w:tabs>
        <w:tab w:val="left" w:pos="1701"/>
      </w:tabs>
      <w:spacing w:before="60" w:after="60"/>
      <w:ind w:left="1701" w:hanging="340"/>
    </w:pPr>
  </w:style>
  <w:style w:type="paragraph" w:styleId="ListBullet3">
    <w:name w:val="List Bullet 3"/>
    <w:basedOn w:val="List3"/>
    <w:rsid w:val="00A56A53"/>
    <w:pPr>
      <w:numPr>
        <w:numId w:val="13"/>
      </w:numPr>
      <w:tabs>
        <w:tab w:val="clear" w:pos="1021"/>
      </w:tabs>
      <w:ind w:left="1037" w:hanging="357"/>
    </w:pPr>
  </w:style>
  <w:style w:type="paragraph" w:styleId="ListBullet4">
    <w:name w:val="List Bullet 4"/>
    <w:basedOn w:val="List4"/>
    <w:rsid w:val="00A56A53"/>
    <w:pPr>
      <w:numPr>
        <w:numId w:val="1"/>
      </w:numPr>
    </w:pPr>
  </w:style>
  <w:style w:type="paragraph" w:styleId="ListBullet5">
    <w:name w:val="List Bullet 5"/>
    <w:basedOn w:val="List5"/>
    <w:rsid w:val="00A56A53"/>
    <w:pPr>
      <w:numPr>
        <w:numId w:val="2"/>
      </w:numPr>
    </w:pPr>
  </w:style>
  <w:style w:type="paragraph" w:styleId="ListContinue2">
    <w:name w:val="List Continue 2"/>
    <w:basedOn w:val="List2"/>
    <w:rsid w:val="00A56A53"/>
    <w:pPr>
      <w:ind w:firstLine="0"/>
    </w:pPr>
  </w:style>
  <w:style w:type="paragraph" w:styleId="ListContinue3">
    <w:name w:val="List Continue 3"/>
    <w:basedOn w:val="List3"/>
    <w:rsid w:val="00A56A53"/>
    <w:pPr>
      <w:ind w:left="1021" w:firstLine="0"/>
    </w:pPr>
  </w:style>
  <w:style w:type="paragraph" w:styleId="ListContinue4">
    <w:name w:val="List Continue 4"/>
    <w:basedOn w:val="List4"/>
    <w:rsid w:val="00A56A53"/>
    <w:pPr>
      <w:ind w:firstLine="0"/>
    </w:pPr>
  </w:style>
  <w:style w:type="paragraph" w:styleId="ListContinue5">
    <w:name w:val="List Continue 5"/>
    <w:basedOn w:val="List5"/>
    <w:rsid w:val="00A56A53"/>
    <w:pPr>
      <w:ind w:firstLine="0"/>
    </w:pPr>
  </w:style>
  <w:style w:type="paragraph" w:styleId="ListNumber3">
    <w:name w:val="List Number 3"/>
    <w:basedOn w:val="List3"/>
    <w:rsid w:val="00A56A53"/>
    <w:pPr>
      <w:numPr>
        <w:numId w:val="3"/>
      </w:numPr>
    </w:pPr>
  </w:style>
  <w:style w:type="paragraph" w:styleId="ListNumber4">
    <w:name w:val="List Number 4"/>
    <w:basedOn w:val="List4"/>
    <w:rsid w:val="00A56A53"/>
    <w:pPr>
      <w:numPr>
        <w:numId w:val="4"/>
      </w:numPr>
    </w:pPr>
  </w:style>
  <w:style w:type="paragraph" w:styleId="ListNumber5">
    <w:name w:val="List Number 5"/>
    <w:basedOn w:val="List5"/>
    <w:rsid w:val="00A56A53"/>
    <w:pPr>
      <w:numPr>
        <w:numId w:val="5"/>
      </w:numPr>
    </w:pPr>
  </w:style>
  <w:style w:type="paragraph" w:styleId="BlockText">
    <w:name w:val="Block Text"/>
    <w:basedOn w:val="Normal"/>
    <w:rsid w:val="00A56A53"/>
    <w:pPr>
      <w:spacing w:after="120"/>
      <w:ind w:left="1440" w:right="1440"/>
    </w:pPr>
  </w:style>
  <w:style w:type="character" w:customStyle="1" w:styleId="Subscript">
    <w:name w:val="Subscript"/>
    <w:rsid w:val="00A56A53"/>
    <w:rPr>
      <w:sz w:val="16"/>
      <w:vertAlign w:val="subscript"/>
    </w:rPr>
  </w:style>
  <w:style w:type="character" w:customStyle="1" w:styleId="Superscript">
    <w:name w:val="Superscript"/>
    <w:rsid w:val="00A56A53"/>
    <w:rPr>
      <w:sz w:val="16"/>
      <w:vertAlign w:val="superscript"/>
    </w:rPr>
  </w:style>
  <w:style w:type="character" w:customStyle="1" w:styleId="Symbols">
    <w:name w:val="Symbols"/>
    <w:rsid w:val="00A56A53"/>
    <w:rPr>
      <w:rFonts w:ascii="Symbol" w:hAnsi="Symbol"/>
    </w:rPr>
  </w:style>
  <w:style w:type="character" w:customStyle="1" w:styleId="MenuOptions">
    <w:name w:val="Menu Options"/>
    <w:rsid w:val="00A56A53"/>
    <w:rPr>
      <w:rFonts w:ascii="Arial Narrow" w:hAnsi="Arial Narrow"/>
      <w:smallCaps/>
    </w:rPr>
  </w:style>
  <w:style w:type="character" w:customStyle="1" w:styleId="Buttons">
    <w:name w:val="Buttons"/>
    <w:rsid w:val="00A56A53"/>
    <w:rPr>
      <w:b/>
    </w:rPr>
  </w:style>
  <w:style w:type="character" w:customStyle="1" w:styleId="Underlined">
    <w:name w:val="Underlined"/>
    <w:rsid w:val="00A56A53"/>
    <w:rPr>
      <w:u w:val="single"/>
    </w:rPr>
  </w:style>
  <w:style w:type="paragraph" w:customStyle="1" w:styleId="TableBodyTextRight">
    <w:name w:val="Table Body Text Right"/>
    <w:basedOn w:val="TableBodyText"/>
    <w:rsid w:val="00A56A53"/>
    <w:pPr>
      <w:widowControl w:val="0"/>
      <w:autoSpaceDE w:val="0"/>
      <w:autoSpaceDN w:val="0"/>
      <w:adjustRightInd w:val="0"/>
      <w:jc w:val="right"/>
    </w:pPr>
    <w:rPr>
      <w:rFonts w:cs="Arial"/>
      <w:szCs w:val="18"/>
    </w:rPr>
  </w:style>
  <w:style w:type="paragraph" w:customStyle="1" w:styleId="CopyrightText">
    <w:name w:val="Copyright Text"/>
    <w:basedOn w:val="BodyText"/>
    <w:rsid w:val="00A56A53"/>
    <w:rPr>
      <w:sz w:val="18"/>
    </w:rPr>
  </w:style>
  <w:style w:type="paragraph" w:customStyle="1" w:styleId="BodySmallRight">
    <w:name w:val="Body Small Right"/>
    <w:basedOn w:val="BodyTextRight"/>
    <w:rsid w:val="00A56A53"/>
    <w:rPr>
      <w:sz w:val="18"/>
      <w:szCs w:val="18"/>
    </w:rPr>
  </w:style>
  <w:style w:type="paragraph" w:customStyle="1" w:styleId="MarginEdition">
    <w:name w:val="Margin Edition"/>
    <w:basedOn w:val="MarginNote"/>
    <w:rsid w:val="00A56A53"/>
    <w:pPr>
      <w:spacing w:before="0" w:after="0"/>
    </w:pPr>
    <w:rPr>
      <w:rFonts w:ascii="Times New Roman" w:hAnsi="Times New Roman"/>
      <w:color w:val="999999"/>
    </w:rPr>
  </w:style>
  <w:style w:type="paragraph" w:customStyle="1" w:styleId="Spacer">
    <w:name w:val="Spacer"/>
    <w:basedOn w:val="Normal"/>
    <w:rsid w:val="00A56A53"/>
    <w:rPr>
      <w:sz w:val="2"/>
      <w:szCs w:val="2"/>
    </w:rPr>
  </w:style>
  <w:style w:type="character" w:customStyle="1" w:styleId="Small">
    <w:name w:val="Small"/>
    <w:rsid w:val="00A56A53"/>
    <w:rPr>
      <w:sz w:val="16"/>
    </w:rPr>
  </w:style>
  <w:style w:type="paragraph" w:customStyle="1" w:styleId="WideTable">
    <w:name w:val="Wide Table"/>
    <w:basedOn w:val="Normal"/>
    <w:rsid w:val="00A56A53"/>
    <w:pPr>
      <w:ind w:left="-1418"/>
    </w:pPr>
    <w:rPr>
      <w:sz w:val="2"/>
      <w:szCs w:val="2"/>
    </w:rPr>
  </w:style>
  <w:style w:type="character" w:styleId="PageNumber">
    <w:name w:val="page number"/>
    <w:rsid w:val="00A56A53"/>
  </w:style>
  <w:style w:type="paragraph" w:styleId="Quote">
    <w:name w:val="Quote"/>
    <w:basedOn w:val="Heading1"/>
    <w:link w:val="QuoteChar"/>
    <w:qFormat/>
    <w:rsid w:val="00A56A53"/>
    <w:rPr>
      <w:b w:val="0"/>
      <w:sz w:val="72"/>
      <w:szCs w:val="72"/>
      <w:lang w:val="en-NZ"/>
    </w:rPr>
  </w:style>
  <w:style w:type="character" w:customStyle="1" w:styleId="QuoteChar">
    <w:name w:val="Quote Char"/>
    <w:link w:val="Quote"/>
    <w:rsid w:val="00A56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A53"/>
    <w:pPr>
      <w:pageBreakBefore/>
    </w:pPr>
  </w:style>
  <w:style w:type="paragraph" w:customStyle="1" w:styleId="Border">
    <w:name w:val="Border"/>
    <w:basedOn w:val="Normal"/>
    <w:qFormat/>
    <w:rsid w:val="00A56A53"/>
    <w:pPr>
      <w:pBdr>
        <w:top w:val="single" w:sz="18" w:space="1" w:color="auto"/>
      </w:pBdr>
    </w:pPr>
    <w:rPr>
      <w:rFonts w:ascii="Times New Roman" w:hAnsi="Times New Roman"/>
      <w:color w:val="FFFFFF"/>
      <w:sz w:val="2"/>
    </w:rPr>
  </w:style>
  <w:style w:type="character" w:styleId="IntenseEmphasis">
    <w:name w:val="Intense Emphasis"/>
    <w:uiPriority w:val="21"/>
    <w:qFormat/>
    <w:rsid w:val="00A56A53"/>
    <w:rPr>
      <w:b/>
      <w:bCs/>
      <w:i/>
      <w:iCs/>
      <w:color w:val="auto"/>
    </w:rPr>
  </w:style>
  <w:style w:type="paragraph" w:styleId="IntenseQuote">
    <w:name w:val="Intense Quote"/>
    <w:basedOn w:val="Normal"/>
    <w:next w:val="Normal"/>
    <w:link w:val="IntenseQuoteChar"/>
    <w:uiPriority w:val="30"/>
    <w:qFormat/>
    <w:rsid w:val="00A56A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6A53"/>
    <w:rPr>
      <w:rFonts w:ascii="Courier New" w:eastAsia="Times New Roman" w:hAnsi="Courier New" w:cs="Times New Roman"/>
      <w:b/>
      <w:bCs/>
      <w:i/>
      <w:iCs/>
      <w:szCs w:val="20"/>
      <w:lang w:val="en-US" w:eastAsia="en-US"/>
    </w:rPr>
  </w:style>
  <w:style w:type="character" w:styleId="SubtleReference">
    <w:name w:val="Subtle Reference"/>
    <w:uiPriority w:val="31"/>
    <w:qFormat/>
    <w:rsid w:val="00A56A53"/>
    <w:rPr>
      <w:smallCaps/>
      <w:color w:val="auto"/>
      <w:u w:val="single"/>
    </w:rPr>
  </w:style>
  <w:style w:type="character" w:styleId="IntenseReference">
    <w:name w:val="Intense Reference"/>
    <w:uiPriority w:val="32"/>
    <w:qFormat/>
    <w:rsid w:val="00A56A53"/>
    <w:rPr>
      <w:b/>
      <w:bCs/>
      <w:smallCaps/>
      <w:color w:val="auto"/>
      <w:spacing w:val="5"/>
      <w:u w:val="single"/>
    </w:rPr>
  </w:style>
  <w:style w:type="paragraph" w:customStyle="1" w:styleId="2ColumnHeading">
    <w:name w:val="2Column Heading"/>
    <w:basedOn w:val="BodyText"/>
    <w:qFormat/>
    <w:rsid w:val="00A56A53"/>
    <w:pPr>
      <w:spacing w:after="60"/>
      <w:ind w:left="-2268"/>
    </w:pPr>
    <w:rPr>
      <w:b/>
    </w:rPr>
  </w:style>
  <w:style w:type="paragraph" w:customStyle="1" w:styleId="Heading1TOC">
    <w:name w:val="Heading1 TOC"/>
    <w:basedOn w:val="Normal"/>
    <w:qFormat/>
    <w:rsid w:val="00A56A53"/>
    <w:pPr>
      <w:spacing w:before="240" w:after="120"/>
    </w:pPr>
    <w:rPr>
      <w:rFonts w:ascii="Times New Roman" w:hAnsi="Times New Roman"/>
      <w:b/>
      <w:sz w:val="32"/>
    </w:rPr>
  </w:style>
  <w:style w:type="paragraph" w:customStyle="1" w:styleId="Heading2TOC">
    <w:name w:val="Heading2 TOC"/>
    <w:basedOn w:val="Normal"/>
    <w:qFormat/>
    <w:rsid w:val="00A56A53"/>
    <w:pPr>
      <w:spacing w:before="240" w:after="60"/>
    </w:pPr>
    <w:rPr>
      <w:rFonts w:ascii="Times New Roman" w:hAnsi="Times New Roman"/>
      <w:b/>
      <w:sz w:val="28"/>
    </w:rPr>
  </w:style>
  <w:style w:type="character" w:customStyle="1" w:styleId="Underline">
    <w:name w:val="Underline"/>
    <w:qFormat/>
    <w:rsid w:val="00A56A53"/>
    <w:rPr>
      <w:u w:val="single"/>
    </w:rPr>
  </w:style>
  <w:style w:type="character" w:customStyle="1" w:styleId="BoldandItalics">
    <w:name w:val="Bold and Italics"/>
    <w:qFormat/>
    <w:rsid w:val="00A56A53"/>
    <w:rPr>
      <w:b/>
      <w:i/>
      <w:u w:val="none"/>
    </w:rPr>
  </w:style>
  <w:style w:type="paragraph" w:styleId="BalloonText">
    <w:name w:val="Balloon Text"/>
    <w:basedOn w:val="Normal"/>
    <w:link w:val="BalloonTextChar"/>
    <w:rsid w:val="00A56A53"/>
    <w:rPr>
      <w:rFonts w:ascii="Tahoma" w:hAnsi="Tahoma" w:cs="Tahoma"/>
      <w:sz w:val="16"/>
      <w:szCs w:val="16"/>
    </w:rPr>
  </w:style>
  <w:style w:type="character" w:customStyle="1" w:styleId="BalloonTextChar">
    <w:name w:val="Balloon Text Char"/>
    <w:link w:val="BalloonText"/>
    <w:rsid w:val="00A56A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A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6A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6163</Characters>
  <Application>Microsoft Office Word</Application>
  <DocSecurity>0</DocSecurity>
  <Lines>230</Lines>
  <Paragraphs>105</Paragraphs>
  <ScaleCrop>false</ScaleCrop>
  <Company>Author-it Software Corporation Ltd.</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RTE4915A Implement and monitor quality assurance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2012-05-27T07:43:00Z</dcterms:created>
  <dcterms:modified xsi:type="dcterms:W3CDTF">2012-05-27T07:43:00Z</dcterms:modified>
</cp:coreProperties>
</file>